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210185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241935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9" w:lineRule="exact"/>
        <w:rPr>
          <w:sz w:val="24"/>
          <w:szCs w:val="24"/>
          <w:color w:val="auto"/>
        </w:rPr>
      </w:pPr>
    </w:p>
    <w:p>
      <w:pPr>
        <w:ind w:left="3900" w:right="1600" w:hanging="3879"/>
        <w:spacing w:after="0" w:line="360" w:lineRule="auto"/>
        <w:tabs>
          <w:tab w:leader="none" w:pos="493"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July 30, 2022</w:t>
      </w:r>
    </w:p>
    <w:p>
      <w:pPr>
        <w:spacing w:after="0" w:line="1"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4240" w:right="1580" w:hanging="4219"/>
        <w:spacing w:after="0" w:line="412" w:lineRule="auto"/>
        <w:tabs>
          <w:tab w:leader="none" w:pos="495"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210185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04-2623104</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 w:lineRule="exact"/>
        <w:rPr>
          <w:sz w:val="24"/>
          <w:szCs w:val="24"/>
          <w:color w:val="auto"/>
        </w:rPr>
      </w:pPr>
    </w:p>
    <w:p>
      <w:pPr>
        <w:sectPr>
          <w:pgSz w:w="11900" w:h="16838" w:orient="portrait"/>
          <w:cols w:equalWidth="0" w:num="2">
            <w:col w:w="7220" w:space="720"/>
            <w:col w:w="3300"/>
          </w:cols>
          <w:pgMar w:left="320" w:top="727" w:right="339" w:bottom="1440" w:gutter="0" w:footer="0" w:header="0"/>
          <w:type w:val="continuous"/>
        </w:sectPr>
      </w:pPr>
    </w:p>
    <w:tbl>
      <w:tblPr>
        <w:tblLayout w:type="fixed"/>
        <w:tblInd w:w="1780" w:type="dxa"/>
        <w:tblCellMar>
          <w:top w:w="0" w:type="dxa"/>
          <w:left w:w="0" w:type="dxa"/>
          <w:bottom w:w="0" w:type="dxa"/>
          <w:right w:w="0" w:type="dxa"/>
        </w:tblCellMar>
      </w:tblPr>
      <w:tr>
        <w:trPr>
          <w:trHeight w:val="207"/>
        </w:trPr>
        <w:tc>
          <w:tcPr>
            <w:tcW w:w="4220" w:type="dxa"/>
            <w:vAlign w:val="bottom"/>
          </w:tcPr>
          <w:p>
            <w:pPr>
              <w:jc w:val="center"/>
              <w:ind w:right="2059"/>
              <w:spacing w:after="0"/>
              <w:rPr>
                <w:sz w:val="20"/>
                <w:szCs w:val="20"/>
                <w:color w:val="auto"/>
              </w:rPr>
            </w:pPr>
            <w:r>
              <w:rPr>
                <w:rFonts w:ascii="Times New Roman" w:cs="Times New Roman" w:eastAsia="Times New Roman" w:hAnsi="Times New Roman"/>
                <w:sz w:val="18"/>
                <w:szCs w:val="18"/>
                <w:b w:val="1"/>
                <w:bCs w:val="1"/>
                <w:color w:val="auto"/>
                <w:w w:val="98"/>
              </w:rPr>
              <w:t>555 Turnpike Street</w:t>
            </w:r>
          </w:p>
        </w:tc>
        <w:tc>
          <w:tcPr>
            <w:tcW w:w="2720" w:type="dxa"/>
            <w:vAlign w:val="bottom"/>
          </w:tcPr>
          <w:p>
            <w:pPr>
              <w:spacing w:after="0"/>
              <w:rPr>
                <w:sz w:val="18"/>
                <w:szCs w:val="18"/>
                <w:color w:val="auto"/>
              </w:rPr>
            </w:pPr>
          </w:p>
        </w:tc>
      </w:tr>
      <w:tr>
        <w:trPr>
          <w:trHeight w:val="232"/>
        </w:trPr>
        <w:tc>
          <w:tcPr>
            <w:tcW w:w="4220" w:type="dxa"/>
            <w:vAlign w:val="bottom"/>
          </w:tcPr>
          <w:p>
            <w:pPr>
              <w:jc w:val="center"/>
              <w:ind w:right="2019"/>
              <w:spacing w:after="0"/>
              <w:rPr>
                <w:sz w:val="20"/>
                <w:szCs w:val="20"/>
                <w:color w:val="auto"/>
              </w:rPr>
            </w:pPr>
            <w:r>
              <w:rPr>
                <w:rFonts w:ascii="Times New Roman" w:cs="Times New Roman" w:eastAsia="Times New Roman" w:hAnsi="Times New Roman"/>
                <w:sz w:val="18"/>
                <w:szCs w:val="18"/>
                <w:b w:val="1"/>
                <w:bCs w:val="1"/>
                <w:color w:val="auto"/>
                <w:w w:val="99"/>
              </w:rPr>
              <w:t>Canton, MA</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66"/>
        </w:trPr>
        <w:tc>
          <w:tcPr>
            <w:tcW w:w="4220" w:type="dxa"/>
            <w:vAlign w:val="bottom"/>
          </w:tcPr>
          <w:p>
            <w:pPr>
              <w:jc w:val="center"/>
              <w:ind w:right="205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720" w:type="dxa"/>
            <w:vAlign w:val="bottom"/>
          </w:tcPr>
          <w:p>
            <w:pPr>
              <w:jc w:val="center"/>
              <w:ind w:left="206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780" w:type="dxa"/>
            <w:vAlign w:val="bottom"/>
          </w:tcPr>
          <w:p>
            <w:pPr>
              <w:spacing w:after="0"/>
              <w:rPr>
                <w:sz w:val="18"/>
                <w:szCs w:val="18"/>
                <w:color w:val="auto"/>
              </w:rPr>
            </w:pPr>
          </w:p>
        </w:tc>
        <w:tc>
          <w:tcPr>
            <w:tcW w:w="4700" w:type="dxa"/>
            <w:vAlign w:val="bottom"/>
          </w:tcPr>
          <w:p>
            <w:pPr>
              <w:spacing w:after="0"/>
              <w:rPr>
                <w:sz w:val="18"/>
                <w:szCs w:val="18"/>
                <w:color w:val="auto"/>
              </w:rPr>
            </w:pPr>
          </w:p>
        </w:tc>
      </w:tr>
      <w:tr>
        <w:trPr>
          <w:trHeight w:val="334"/>
        </w:trPr>
        <w:tc>
          <w:tcPr>
            <w:tcW w:w="120" w:type="dxa"/>
            <w:vAlign w:val="bottom"/>
            <w:tcBorders>
              <w:right w:val="single" w:sz="8" w:color="auto"/>
            </w:tcBorders>
          </w:tcPr>
          <w:p>
            <w:pPr>
              <w:spacing w:after="0"/>
              <w:rPr>
                <w:sz w:val="24"/>
                <w:szCs w:val="24"/>
                <w:color w:val="auto"/>
              </w:rPr>
            </w:pPr>
          </w:p>
        </w:tc>
        <w:tc>
          <w:tcPr>
            <w:tcW w:w="4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30"/>
        </w:trPr>
        <w:tc>
          <w:tcPr>
            <w:tcW w:w="120" w:type="dxa"/>
            <w:vAlign w:val="bottom"/>
            <w:tcBorders>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DXLG</w:t>
            </w:r>
          </w:p>
        </w:tc>
        <w:tc>
          <w:tcPr>
            <w:tcW w:w="4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81" w:lineRule="exact"/>
        <w:rPr>
          <w:sz w:val="24"/>
          <w:szCs w:val="24"/>
          <w:color w:val="auto"/>
        </w:rPr>
      </w:pPr>
    </w:p>
    <w:p>
      <w:pPr>
        <w:jc w:val="both"/>
        <w:ind w:firstLine="599"/>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96" w:lineRule="exact"/>
        <w:tabs>
          <w:tab w:leader="none" w:pos="62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7"/>
          <w:szCs w:val="17"/>
          <w:color w:val="auto"/>
        </w:rPr>
        <w:t>☐</w:t>
      </w:r>
    </w:p>
    <w:p>
      <w:pPr>
        <w:spacing w:after="0" w:line="47" w:lineRule="exact"/>
        <w:rPr>
          <w:sz w:val="24"/>
          <w:szCs w:val="24"/>
          <w:color w:val="auto"/>
        </w:rPr>
      </w:pPr>
    </w:p>
    <w:p>
      <w:pPr>
        <w:ind w:right="100" w:firstLine="599"/>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8" w:lineRule="exact"/>
        <w:rPr>
          <w:sz w:val="24"/>
          <w:szCs w:val="24"/>
          <w:color w:val="auto"/>
        </w:rPr>
      </w:pPr>
    </w:p>
    <w:p>
      <w:pPr>
        <w:ind w:right="160" w:firstLine="599"/>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9"/>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63" w:lineRule="exact"/>
        <w:rPr>
          <w:sz w:val="24"/>
          <w:szCs w:val="24"/>
          <w:color w:val="auto"/>
        </w:rPr>
      </w:pPr>
    </w:p>
    <w:p>
      <w:pPr>
        <w:ind w:right="5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040"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As of August 19, 2022, the registrant had 61,756,167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PART I. FINANCIAL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CONSOLIDATED BALANCE SHEETS</w:t>
      </w:r>
    </w:p>
    <w:p>
      <w:pPr>
        <w:jc w:val="center"/>
        <w:spacing w:after="0" w:line="234" w:lineRule="auto"/>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July 30, 2022</w:t>
            </w:r>
          </w:p>
        </w:tc>
        <w:tc>
          <w:tcPr>
            <w:tcW w:w="200" w:type="dxa"/>
            <w:vAlign w:val="bottom"/>
          </w:tcPr>
          <w:p>
            <w:pPr>
              <w:spacing w:after="0"/>
              <w:rPr>
                <w:sz w:val="15"/>
                <w:szCs w:val="15"/>
                <w:color w:val="auto"/>
              </w:rPr>
            </w:pP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January 29, 2022</w:t>
            </w:r>
          </w:p>
        </w:tc>
      </w:tr>
      <w:tr>
        <w:trPr>
          <w:trHeight w:val="185"/>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color w:val="auto"/>
              </w:rPr>
              <w:t>(Fiscal 2022)</w:t>
            </w:r>
          </w:p>
        </w:tc>
        <w:tc>
          <w:tcPr>
            <w:tcW w:w="200" w:type="dxa"/>
            <w:vAlign w:val="bottom"/>
          </w:tcPr>
          <w:p>
            <w:pPr>
              <w:spacing w:after="0"/>
              <w:rPr>
                <w:sz w:val="16"/>
                <w:szCs w:val="16"/>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(Fiscal 2021)</w:t>
            </w:r>
          </w:p>
        </w:tc>
      </w:tr>
      <w:tr>
        <w:trPr>
          <w:trHeight w:val="169"/>
        </w:trPr>
        <w:tc>
          <w:tcPr>
            <w:tcW w:w="76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Current assets:</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22,176</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15,506</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96,728</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81,764</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8,504</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100" w:type="dxa"/>
            <w:vAlign w:val="bottom"/>
          </w:tcPr>
          <w:p>
            <w:pPr>
              <w:spacing w:after="0"/>
              <w:rPr>
                <w:sz w:val="18"/>
                <w:szCs w:val="18"/>
                <w:color w:val="auto"/>
              </w:rPr>
            </w:pPr>
          </w:p>
        </w:tc>
      </w:tr>
      <w:tr>
        <w:trPr>
          <w:trHeight w:val="210"/>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128,858</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105,995</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Non-current assets:</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and amortization</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44,442</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127,443</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127,812</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 net of valuation allowance</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8"/>
                <w:szCs w:val="18"/>
                <w:color w:val="auto"/>
              </w:rPr>
            </w:pPr>
          </w:p>
        </w:tc>
      </w:tr>
      <w:tr>
        <w:trPr>
          <w:trHeight w:val="249"/>
        </w:trPr>
        <w:tc>
          <w:tcPr>
            <w:tcW w:w="7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333,319</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279,958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27,962</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25,165</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35,102</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leases, current</w:t>
            </w:r>
          </w:p>
        </w:tc>
        <w:tc>
          <w:tcPr>
            <w:tcW w:w="2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37,114</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35,191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94,663</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95,458</w:t>
            </w:r>
          </w:p>
        </w:tc>
        <w:tc>
          <w:tcPr>
            <w:tcW w:w="100" w:type="dxa"/>
            <w:vAlign w:val="bottom"/>
          </w:tcPr>
          <w:p>
            <w:pPr>
              <w:spacing w:after="0"/>
              <w:rPr>
                <w:sz w:val="18"/>
                <w:szCs w:val="18"/>
                <w:color w:val="auto"/>
              </w:rPr>
            </w:pPr>
          </w:p>
        </w:tc>
      </w:tr>
      <w:tr>
        <w:trPr>
          <w:trHeight w:val="210"/>
        </w:trPr>
        <w:tc>
          <w:tcPr>
            <w:tcW w:w="7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Long-term liabilities:</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leases, non-current</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114,456</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120,414</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5,867</w:t>
            </w:r>
          </w:p>
        </w:tc>
        <w:tc>
          <w:tcPr>
            <w:tcW w:w="100" w:type="dxa"/>
            <w:vAlign w:val="bottom"/>
          </w:tcPr>
          <w:p>
            <w:pPr>
              <w:spacing w:after="0"/>
              <w:rPr>
                <w:sz w:val="18"/>
                <w:szCs w:val="18"/>
                <w:color w:val="auto"/>
              </w:rPr>
            </w:pPr>
          </w:p>
        </w:tc>
      </w:tr>
      <w:tr>
        <w:trPr>
          <w:trHeight w:val="210"/>
        </w:trPr>
        <w:tc>
          <w:tcPr>
            <w:tcW w:w="7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120,961</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Stockholders' equity:</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$0.01 par value, 1,000,000 shares authorized, none issued</w:t>
            </w:r>
          </w:p>
        </w:tc>
        <w:tc>
          <w:tcPr>
            <w:tcW w:w="26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768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Common stock, $0.01 par value, 125,000,000 shares authorized, 77,359,687 and 77,025,419 shares</w:t>
            </w:r>
          </w:p>
        </w:tc>
        <w:tc>
          <w:tcPr>
            <w:tcW w:w="26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issued at July 30, 2022 and January 29, 2022, respectively</w:t>
            </w:r>
          </w:p>
        </w:tc>
        <w:tc>
          <w:tcPr>
            <w:tcW w:w="2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FF0FC"/>
          </w:tcPr>
          <w:p>
            <w:pPr>
              <w:spacing w:after="0"/>
              <w:rPr>
                <w:sz w:val="20"/>
                <w:szCs w:val="20"/>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321,253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319,511</w:t>
            </w:r>
          </w:p>
        </w:tc>
        <w:tc>
          <w:tcPr>
            <w:tcW w:w="100" w:type="dxa"/>
            <w:vAlign w:val="bottom"/>
          </w:tcPr>
          <w:p>
            <w:pPr>
              <w:spacing w:after="0"/>
              <w:rPr>
                <w:sz w:val="18"/>
                <w:szCs w:val="18"/>
                <w:color w:val="auto"/>
              </w:rPr>
            </w:pPr>
          </w:p>
        </w:tc>
      </w:tr>
      <w:tr>
        <w:trPr>
          <w:trHeight w:val="171"/>
        </w:trPr>
        <w:tc>
          <w:tcPr>
            <w:tcW w:w="768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Treasury stock at cost, 15,625,172 shares and 12,755,873 shares at July 30, 2022 and January 29,</w:t>
            </w:r>
          </w:p>
        </w:tc>
        <w:tc>
          <w:tcPr>
            <w:tcW w:w="26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2022, respectively</w:t>
            </w:r>
          </w:p>
        </w:tc>
        <w:tc>
          <w:tcPr>
            <w:tcW w:w="26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(105,386 )</w:t>
            </w:r>
          </w:p>
        </w:tc>
        <w:tc>
          <w:tcPr>
            <w:tcW w:w="2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(92,658 )</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(93,549 )</w:t>
            </w: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(163,879 )</w:t>
            </w: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(5,397 )</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(5,525 )</w:t>
            </w:r>
          </w:p>
        </w:tc>
      </w:tr>
      <w:tr>
        <w:trPr>
          <w:trHeight w:val="210"/>
        </w:trPr>
        <w:tc>
          <w:tcPr>
            <w:tcW w:w="76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117,695</w:t>
            </w:r>
          </w:p>
        </w:tc>
        <w:tc>
          <w:tcPr>
            <w:tcW w:w="2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58,219</w:t>
            </w:r>
          </w:p>
        </w:tc>
        <w:tc>
          <w:tcPr>
            <w:tcW w:w="100" w:type="dxa"/>
            <w:vAlign w:val="bottom"/>
            <w:tcBorders>
              <w:top w:val="single" w:sz="8" w:color="CFF0FC"/>
            </w:tcBorders>
          </w:tcPr>
          <w:p>
            <w:pPr>
              <w:spacing w:after="0"/>
              <w:rPr>
                <w:sz w:val="18"/>
                <w:szCs w:val="18"/>
                <w:color w:val="auto"/>
              </w:rPr>
            </w:pPr>
          </w:p>
        </w:tc>
      </w:tr>
      <w:tr>
        <w:trPr>
          <w:trHeight w:val="249"/>
        </w:trPr>
        <w:tc>
          <w:tcPr>
            <w:tcW w:w="76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333,319</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279,958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-3634105</wp:posOffset>
            </wp:positionV>
            <wp:extent cx="124333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4333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-2785110</wp:posOffset>
            </wp:positionV>
            <wp:extent cx="6858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-2785110</wp:posOffset>
            </wp:positionV>
            <wp:extent cx="6858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-1936750</wp:posOffset>
            </wp:positionV>
            <wp:extent cx="6858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-316230</wp:posOffset>
            </wp:positionV>
            <wp:extent cx="6858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ind w:left="432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CONSOLIDATED STATEMENTS OF OPERATIONS</w:t>
      </w:r>
    </w:p>
    <w:p>
      <w:pPr>
        <w:jc w:val="center"/>
        <w:ind w:right="40"/>
        <w:spacing w:after="0" w:line="234" w:lineRule="auto"/>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220" w:type="dxa"/>
            <w:vAlign w:val="bottom"/>
          </w:tcPr>
          <w:p>
            <w:pPr>
              <w:spacing w:after="0"/>
              <w:rPr>
                <w:sz w:val="15"/>
                <w:szCs w:val="15"/>
                <w:color w:val="auto"/>
              </w:rPr>
            </w:pPr>
          </w:p>
        </w:tc>
        <w:tc>
          <w:tcPr>
            <w:tcW w:w="304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color w:val="auto"/>
              </w:rPr>
              <w:t>For the Six Months Ended</w:t>
            </w:r>
          </w:p>
        </w:tc>
      </w:tr>
      <w:tr>
        <w:trPr>
          <w:trHeight w:val="176"/>
        </w:trPr>
        <w:tc>
          <w:tcPr>
            <w:tcW w:w="4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July 30, 2022</w:t>
            </w:r>
          </w:p>
        </w:tc>
        <w:tc>
          <w:tcPr>
            <w:tcW w:w="180" w:type="dxa"/>
            <w:vAlign w:val="bottom"/>
          </w:tcPr>
          <w:p>
            <w:pPr>
              <w:spacing w:after="0"/>
              <w:rPr>
                <w:sz w:val="15"/>
                <w:szCs w:val="15"/>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July 31, 2021</w:t>
            </w:r>
          </w:p>
        </w:tc>
        <w:tc>
          <w:tcPr>
            <w:tcW w:w="220" w:type="dxa"/>
            <w:vAlign w:val="bottom"/>
          </w:tcPr>
          <w:p>
            <w:pPr>
              <w:spacing w:after="0"/>
              <w:rPr>
                <w:sz w:val="15"/>
                <w:szCs w:val="15"/>
                <w:color w:val="auto"/>
              </w:rPr>
            </w:pP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July 30, 2022</w:t>
            </w:r>
          </w:p>
        </w:tc>
        <w:tc>
          <w:tcPr>
            <w:tcW w:w="240" w:type="dxa"/>
            <w:vAlign w:val="bottom"/>
          </w:tcPr>
          <w:p>
            <w:pPr>
              <w:spacing w:after="0"/>
              <w:rPr>
                <w:sz w:val="15"/>
                <w:szCs w:val="15"/>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July 31, 2021</w:t>
            </w:r>
          </w:p>
        </w:tc>
      </w:tr>
      <w:tr>
        <w:trPr>
          <w:trHeight w:val="185"/>
        </w:trPr>
        <w:tc>
          <w:tcPr>
            <w:tcW w:w="4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(Fiscal 2022)</w:t>
            </w:r>
          </w:p>
        </w:tc>
        <w:tc>
          <w:tcPr>
            <w:tcW w:w="180" w:type="dxa"/>
            <w:vAlign w:val="bottom"/>
          </w:tcPr>
          <w:p>
            <w:pPr>
              <w:spacing w:after="0"/>
              <w:rPr>
                <w:sz w:val="16"/>
                <w:szCs w:val="16"/>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(Fiscal 2021)</w:t>
            </w:r>
          </w:p>
        </w:tc>
        <w:tc>
          <w:tcPr>
            <w:tcW w:w="220" w:type="dxa"/>
            <w:vAlign w:val="bottom"/>
          </w:tcPr>
          <w:p>
            <w:pPr>
              <w:spacing w:after="0"/>
              <w:rPr>
                <w:sz w:val="16"/>
                <w:szCs w:val="16"/>
                <w:color w:val="auto"/>
              </w:rPr>
            </w:pP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(Fiscal 2022)</w:t>
            </w:r>
          </w:p>
        </w:tc>
        <w:tc>
          <w:tcPr>
            <w:tcW w:w="240" w:type="dxa"/>
            <w:vAlign w:val="bottom"/>
          </w:tcPr>
          <w:p>
            <w:pPr>
              <w:spacing w:after="0"/>
              <w:rPr>
                <w:sz w:val="16"/>
                <w:szCs w:val="16"/>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(Fiscal 2021)</w:t>
            </w:r>
          </w:p>
        </w:tc>
      </w:tr>
      <w:tr>
        <w:trPr>
          <w:trHeight w:val="169"/>
        </w:trPr>
        <w:tc>
          <w:tcPr>
            <w:tcW w:w="47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144,634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138,590</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272,289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250,084</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including occupancy costs</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69,316</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66,988</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133,104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127,649</w:t>
            </w:r>
          </w:p>
        </w:tc>
        <w:tc>
          <w:tcPr>
            <w:tcW w:w="100" w:type="dxa"/>
            <w:vAlign w:val="bottom"/>
          </w:tcPr>
          <w:p>
            <w:pPr>
              <w:spacing w:after="0"/>
              <w:rPr>
                <w:sz w:val="18"/>
                <w:szCs w:val="18"/>
                <w:color w:val="auto"/>
              </w:rPr>
            </w:pPr>
          </w:p>
        </w:tc>
      </w:tr>
      <w:tr>
        <w:trPr>
          <w:trHeight w:val="209"/>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75,318</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71,602</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139,185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122,435</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78,894</w:t>
            </w:r>
          </w:p>
        </w:tc>
        <w:tc>
          <w:tcPr>
            <w:tcW w:w="100" w:type="dxa"/>
            <w:vAlign w:val="bottom"/>
          </w:tcPr>
          <w:p>
            <w:pPr>
              <w:spacing w:after="0"/>
              <w:rPr>
                <w:sz w:val="18"/>
                <w:szCs w:val="18"/>
                <w:color w:val="auto"/>
              </w:rPr>
            </w:pPr>
          </w:p>
        </w:tc>
      </w:tr>
      <w:tr>
        <w:trPr>
          <w:trHeight w:val="216"/>
        </w:trPr>
        <w:tc>
          <w:tcPr>
            <w:tcW w:w="4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(gain) of assets</w:t>
            </w:r>
          </w:p>
        </w:tc>
        <w:tc>
          <w:tcPr>
            <w:tcW w:w="2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(47 )</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(365 )</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(398 )</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(1,017 )</w:t>
            </w:r>
          </w:p>
        </w:tc>
      </w:tr>
      <w:tr>
        <w:trPr>
          <w:trHeight w:val="216"/>
        </w:trPr>
        <w:tc>
          <w:tcPr>
            <w:tcW w:w="4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8,889</w:t>
            </w:r>
          </w:p>
        </w:tc>
        <w:tc>
          <w:tcPr>
            <w:tcW w:w="100" w:type="dxa"/>
            <w:vAlign w:val="bottom"/>
          </w:tcPr>
          <w:p>
            <w:pPr>
              <w:spacing w:after="0"/>
              <w:rPr>
                <w:sz w:val="18"/>
                <w:szCs w:val="18"/>
                <w:color w:val="auto"/>
              </w:rPr>
            </w:pPr>
          </w:p>
        </w:tc>
      </w:tr>
      <w:tr>
        <w:trPr>
          <w:trHeight w:val="209"/>
        </w:trPr>
        <w:tc>
          <w:tcPr>
            <w:tcW w:w="4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53,406</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45,800</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103,639</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21,912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25,802</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35,546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35,669</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r>
      <w:tr>
        <w:trPr>
          <w:trHeight w:val="216"/>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(925 )</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(243 )</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(2,067 )</w:t>
            </w:r>
          </w:p>
        </w:tc>
      </w:tr>
      <w:tr>
        <w:trPr>
          <w:trHeight w:val="210"/>
        </w:trPr>
        <w:tc>
          <w:tcPr>
            <w:tcW w:w="478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provision (benefit) for income taxes</w:t>
            </w: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21,812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24,877</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35,303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33,602</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(35,130 )</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(35,027 )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8"/>
                <w:szCs w:val="18"/>
                <w:color w:val="auto"/>
              </w:rPr>
            </w:pPr>
          </w:p>
        </w:tc>
      </w:tr>
      <w:tr>
        <w:trPr>
          <w:trHeight w:val="209"/>
        </w:trPr>
        <w:tc>
          <w:tcPr>
            <w:tcW w:w="47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4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56,942</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24,451</w:t>
            </w:r>
          </w:p>
        </w:tc>
        <w:tc>
          <w:tcPr>
            <w:tcW w:w="2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70,330</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6"/>
        </w:trPr>
        <w:tc>
          <w:tcPr>
            <w:tcW w:w="4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Pr>
          <w:p>
            <w:pPr>
              <w:spacing w:after="0"/>
              <w:rPr>
                <w:sz w:val="18"/>
                <w:szCs w:val="18"/>
                <w:color w:val="auto"/>
              </w:rPr>
            </w:pPr>
          </w:p>
        </w:tc>
      </w:tr>
      <w:tr>
        <w:trPr>
          <w:trHeight w:val="216"/>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63,527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62,840</w:t>
            </w:r>
          </w:p>
        </w:tc>
        <w:tc>
          <w:tcPr>
            <w:tcW w:w="100" w:type="dxa"/>
            <w:vAlign w:val="bottom"/>
          </w:tcPr>
          <w:p>
            <w:pPr>
              <w:spacing w:after="0"/>
              <w:rPr>
                <w:sz w:val="18"/>
                <w:szCs w:val="18"/>
                <w:color w:val="auto"/>
              </w:rPr>
            </w:pPr>
          </w:p>
        </w:tc>
      </w:tr>
      <w:tr>
        <w:trPr>
          <w:trHeight w:val="216"/>
        </w:trPr>
        <w:tc>
          <w:tcPr>
            <w:tcW w:w="4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66,670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67,615</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67,519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65,938</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-2519680</wp:posOffset>
            </wp:positionV>
            <wp:extent cx="7747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-2519680</wp:posOffset>
            </wp:positionV>
            <wp:extent cx="6858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-2519680</wp:posOffset>
            </wp:positionV>
            <wp:extent cx="6858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-2519680</wp:posOffset>
            </wp:positionV>
            <wp:extent cx="6858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-1962150</wp:posOffset>
            </wp:positionV>
            <wp:extent cx="7747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-1962150</wp:posOffset>
            </wp:positionV>
            <wp:extent cx="6858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-1962150</wp:posOffset>
            </wp:positionV>
            <wp:extent cx="6858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-1122045</wp:posOffset>
            </wp:positionV>
            <wp:extent cx="322326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23260" cy="162560"/>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ind w:left="432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jc w:val="center"/>
        <w:ind w:right="40"/>
        <w:spacing w:after="0" w:line="234" w:lineRule="auto"/>
        <w:rPr>
          <w:sz w:val="20"/>
          <w:szCs w:val="20"/>
          <w:color w:val="auto"/>
        </w:rPr>
      </w:pPr>
      <w:r>
        <w:rPr>
          <w:rFonts w:ascii="Times New Roman" w:cs="Times New Roman" w:eastAsia="Times New Roman" w:hAnsi="Times New Roman"/>
          <w:sz w:val="18"/>
          <w:szCs w:val="18"/>
          <w:i w:val="1"/>
          <w:iCs w:val="1"/>
          <w:color w:val="auto"/>
        </w:rPr>
        <w:t>(In thousands)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6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80" w:type="dxa"/>
            <w:vAlign w:val="bottom"/>
          </w:tcPr>
          <w:p>
            <w:pPr>
              <w:spacing w:after="0"/>
              <w:rPr>
                <w:sz w:val="15"/>
                <w:szCs w:val="15"/>
                <w:color w:val="auto"/>
              </w:rPr>
            </w:pPr>
          </w:p>
        </w:tc>
        <w:tc>
          <w:tcPr>
            <w:tcW w:w="280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color w:val="auto"/>
              </w:rPr>
              <w:t>For the Six Months Ended</w:t>
            </w:r>
          </w:p>
        </w:tc>
      </w:tr>
      <w:tr>
        <w:trPr>
          <w:trHeight w:val="176"/>
        </w:trPr>
        <w:tc>
          <w:tcPr>
            <w:tcW w:w="5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July 30, 2022</w:t>
            </w:r>
          </w:p>
        </w:tc>
        <w:tc>
          <w:tcPr>
            <w:tcW w:w="140" w:type="dxa"/>
            <w:vAlign w:val="bottom"/>
          </w:tcPr>
          <w:p>
            <w:pPr>
              <w:spacing w:after="0"/>
              <w:rPr>
                <w:sz w:val="15"/>
                <w:szCs w:val="15"/>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July 31, 2021</w:t>
            </w:r>
          </w:p>
        </w:tc>
        <w:tc>
          <w:tcPr>
            <w:tcW w:w="180" w:type="dxa"/>
            <w:vAlign w:val="bottom"/>
          </w:tcPr>
          <w:p>
            <w:pPr>
              <w:spacing w:after="0"/>
              <w:rPr>
                <w:sz w:val="15"/>
                <w:szCs w:val="15"/>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July 30, 2022</w:t>
            </w:r>
          </w:p>
        </w:tc>
        <w:tc>
          <w:tcPr>
            <w:tcW w:w="180" w:type="dxa"/>
            <w:vAlign w:val="bottom"/>
          </w:tcPr>
          <w:p>
            <w:pPr>
              <w:spacing w:after="0"/>
              <w:rPr>
                <w:sz w:val="15"/>
                <w:szCs w:val="15"/>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July 31, 2021</w:t>
            </w:r>
          </w:p>
        </w:tc>
      </w:tr>
      <w:tr>
        <w:trPr>
          <w:trHeight w:val="185"/>
        </w:trPr>
        <w:tc>
          <w:tcPr>
            <w:tcW w:w="5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(Fiscal 2022)</w:t>
            </w:r>
          </w:p>
        </w:tc>
        <w:tc>
          <w:tcPr>
            <w:tcW w:w="140" w:type="dxa"/>
            <w:vAlign w:val="bottom"/>
          </w:tcPr>
          <w:p>
            <w:pPr>
              <w:spacing w:after="0"/>
              <w:rPr>
                <w:sz w:val="16"/>
                <w:szCs w:val="16"/>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(Fiscal 2021)</w:t>
            </w:r>
          </w:p>
        </w:tc>
        <w:tc>
          <w:tcPr>
            <w:tcW w:w="180" w:type="dxa"/>
            <w:vAlign w:val="bottom"/>
          </w:tcPr>
          <w:p>
            <w:pPr>
              <w:spacing w:after="0"/>
              <w:rPr>
                <w:sz w:val="16"/>
                <w:szCs w:val="16"/>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(Fiscal 2022)</w:t>
            </w:r>
          </w:p>
        </w:tc>
        <w:tc>
          <w:tcPr>
            <w:tcW w:w="180" w:type="dxa"/>
            <w:vAlign w:val="bottom"/>
          </w:tcPr>
          <w:p>
            <w:pPr>
              <w:spacing w:after="0"/>
              <w:rPr>
                <w:sz w:val="16"/>
                <w:szCs w:val="16"/>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(Fiscal 2021)</w:t>
            </w:r>
          </w:p>
        </w:tc>
      </w:tr>
      <w:tr>
        <w:trPr>
          <w:trHeight w:val="210"/>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56,942</w:t>
            </w: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24,451</w:t>
            </w: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70,330</w:t>
            </w: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33,148</w:t>
            </w:r>
          </w:p>
        </w:tc>
        <w:tc>
          <w:tcPr>
            <w:tcW w:w="24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taxes:</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(17 )</w:t>
            </w:r>
          </w:p>
        </w:tc>
        <w:tc>
          <w:tcPr>
            <w:tcW w:w="1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(7 )</w:t>
            </w:r>
          </w:p>
        </w:tc>
        <w:tc>
          <w:tcPr>
            <w:tcW w:w="1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(42 )</w:t>
            </w:r>
          </w:p>
        </w:tc>
      </w:tr>
      <w:tr>
        <w:trPr>
          <w:trHeight w:val="216"/>
        </w:trPr>
        <w:tc>
          <w:tcPr>
            <w:tcW w:w="5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Pension plans</w:t>
            </w: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tcBorders>
              <w:bottom w:val="single" w:sz="8" w:color="CFF0FC"/>
            </w:tcBorders>
            <w:shd w:val="clear" w:color="auto" w:fill="CFF0FC"/>
          </w:tcPr>
          <w:p>
            <w:pPr>
              <w:spacing w:after="0"/>
              <w:rPr>
                <w:sz w:val="18"/>
                <w:szCs w:val="18"/>
                <w:color w:val="auto"/>
              </w:rPr>
            </w:pPr>
          </w:p>
        </w:tc>
      </w:tr>
      <w:tr>
        <w:trPr>
          <w:trHeight w:val="209"/>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comprehensive income before taxes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Pr>
          <w:p>
            <w:pPr>
              <w:spacing w:after="0"/>
              <w:rPr>
                <w:sz w:val="18"/>
                <w:szCs w:val="18"/>
                <w:color w:val="auto"/>
              </w:rPr>
            </w:pP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provision related to items of other comprehensive income</w:t>
            </w: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3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Borders>
              <w:top w:val="single" w:sz="8" w:color="CFF0FC"/>
            </w:tcBorders>
          </w:tcPr>
          <w:p>
            <w:pPr>
              <w:spacing w:after="0"/>
              <w:rPr>
                <w:sz w:val="18"/>
                <w:szCs w:val="18"/>
                <w:color w:val="auto"/>
              </w:rPr>
            </w:pPr>
          </w:p>
        </w:tc>
      </w:tr>
      <w:tr>
        <w:trPr>
          <w:trHeight w:val="250"/>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57,007</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24,512</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70,458</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33,262</w:t>
            </w:r>
          </w:p>
        </w:tc>
        <w:tc>
          <w:tcPr>
            <w:tcW w:w="24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-599440</wp:posOffset>
            </wp:positionV>
            <wp:extent cx="7747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-599440</wp:posOffset>
            </wp:positionV>
            <wp:extent cx="7747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-599440</wp:posOffset>
            </wp:positionV>
            <wp:extent cx="6858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-599440</wp:posOffset>
            </wp:positionV>
            <wp:extent cx="6858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-316230</wp:posOffset>
            </wp:positionV>
            <wp:extent cx="7747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-316230</wp:posOffset>
            </wp:positionV>
            <wp:extent cx="7747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-316230</wp:posOffset>
            </wp:positionV>
            <wp:extent cx="6858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-316230</wp:posOffset>
            </wp:positionV>
            <wp:extent cx="6858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-24765</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-7620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w:t>
      </w: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w w:val="98"/>
              </w:rPr>
              <w:t>Accumulated</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w w:val="97"/>
              </w:rPr>
              <w:t>Additional</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w w:val="94"/>
              </w:rPr>
              <w:t>Other</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1840" w:type="dxa"/>
            <w:vAlign w:val="bottom"/>
            <w:gridSpan w:val="5"/>
          </w:tcPr>
          <w:p>
            <w:pPr>
              <w:jc w:val="right"/>
              <w:ind w:right="640"/>
              <w:spacing w:after="0"/>
              <w:rPr>
                <w:sz w:val="20"/>
                <w:szCs w:val="20"/>
                <w:color w:val="auto"/>
              </w:rPr>
            </w:pPr>
            <w:r>
              <w:rPr>
                <w:rFonts w:ascii="Times New Roman" w:cs="Times New Roman" w:eastAsia="Times New Roman" w:hAnsi="Times New Roman"/>
                <w:sz w:val="13"/>
                <w:szCs w:val="13"/>
                <w:color w:val="auto"/>
              </w:rPr>
              <w:t>Common Stock</w:t>
            </w:r>
          </w:p>
        </w:tc>
        <w:tc>
          <w:tcPr>
            <w:tcW w:w="14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Paid-in</w:t>
            </w:r>
          </w:p>
        </w:tc>
        <w:tc>
          <w:tcPr>
            <w:tcW w:w="1860" w:type="dxa"/>
            <w:vAlign w:val="bottom"/>
            <w:gridSpan w:val="5"/>
          </w:tcPr>
          <w:p>
            <w:pPr>
              <w:jc w:val="right"/>
              <w:ind w:right="640"/>
              <w:spacing w:after="0"/>
              <w:rPr>
                <w:sz w:val="20"/>
                <w:szCs w:val="20"/>
                <w:color w:val="auto"/>
              </w:rPr>
            </w:pPr>
            <w:r>
              <w:rPr>
                <w:rFonts w:ascii="Times New Roman" w:cs="Times New Roman" w:eastAsia="Times New Roman" w:hAnsi="Times New Roman"/>
                <w:sz w:val="13"/>
                <w:szCs w:val="13"/>
                <w:color w:val="auto"/>
              </w:rPr>
              <w:t>Treasury Stock</w:t>
            </w: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Accumulated</w:t>
            </w:r>
          </w:p>
        </w:tc>
        <w:tc>
          <w:tcPr>
            <w:tcW w:w="12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w w:val="97"/>
              </w:rPr>
              <w:t>Comprehensive</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320" w:type="dxa"/>
            <w:vAlign w:val="bottom"/>
          </w:tcPr>
          <w:p>
            <w:pPr>
              <w:spacing w:after="0"/>
              <w:rPr>
                <w:sz w:val="15"/>
                <w:szCs w:val="15"/>
                <w:color w:val="auto"/>
              </w:rPr>
            </w:pPr>
          </w:p>
        </w:tc>
        <w:tc>
          <w:tcPr>
            <w:tcW w:w="6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3"/>
                <w:szCs w:val="13"/>
                <w:color w:val="auto"/>
              </w:rPr>
              <w:t>Shares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3"/>
                <w:szCs w:val="13"/>
                <w:color w:val="auto"/>
                <w:w w:val="96"/>
              </w:rPr>
              <w:t>Amounts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3"/>
                <w:szCs w:val="13"/>
                <w:color w:val="auto"/>
              </w:rPr>
              <w:t>Capital</w:t>
            </w:r>
          </w:p>
        </w:tc>
        <w:tc>
          <w:tcPr>
            <w:tcW w:w="220" w:type="dxa"/>
            <w:vAlign w:val="bottom"/>
          </w:tcPr>
          <w:p>
            <w:pPr>
              <w:spacing w:after="0"/>
              <w:rPr>
                <w:sz w:val="15"/>
                <w:szCs w:val="15"/>
                <w:color w:val="auto"/>
              </w:rPr>
            </w:pPr>
          </w:p>
        </w:tc>
        <w:tc>
          <w:tcPr>
            <w:tcW w:w="6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3"/>
                <w:szCs w:val="13"/>
                <w:color w:val="auto"/>
              </w:rPr>
              <w:t>Shares</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3"/>
                <w:szCs w:val="13"/>
                <w:color w:val="auto"/>
              </w:rPr>
              <w:t>Amounts</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3"/>
                <w:szCs w:val="13"/>
                <w:color w:val="auto"/>
              </w:rPr>
              <w:t>Deficit</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3"/>
                <w:szCs w:val="13"/>
                <w:color w:val="auto"/>
                <w:w w:val="97"/>
              </w:rPr>
              <w:t>Loss</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Balance at January 29, 2022</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77,025</w:t>
            </w:r>
          </w:p>
        </w:tc>
        <w:tc>
          <w:tcPr>
            <w:tcW w:w="2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2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319,511</w:t>
            </w:r>
          </w:p>
        </w:tc>
        <w:tc>
          <w:tcPr>
            <w:tcW w:w="22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auto"/>
              </w:rPr>
              <w:t>(12,75</w:t>
            </w:r>
          </w:p>
        </w:tc>
        <w:tc>
          <w:tcPr>
            <w:tcW w:w="2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(92,658 )</w:t>
            </w:r>
          </w:p>
        </w:tc>
        <w:tc>
          <w:tcPr>
            <w:tcW w:w="18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(163,879 )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(5,525 )</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58,219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3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5 )</w:t>
            </w:r>
          </w:p>
        </w:tc>
        <w:tc>
          <w:tcPr>
            <w:tcW w:w="14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Board of directors compensation</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320" w:type="dxa"/>
            <w:vAlign w:val="bottom"/>
            <w:shd w:val="clear" w:color="auto" w:fill="CFF0FC"/>
          </w:tcPr>
          <w:p>
            <w:pPr>
              <w:ind w:left="20"/>
              <w:spacing w:after="0" w:line="148" w:lineRule="exact"/>
              <w:rPr>
                <w:sz w:val="20"/>
                <w:szCs w:val="20"/>
                <w:color w:val="auto"/>
              </w:rPr>
            </w:pPr>
            <w:r>
              <w:rPr>
                <w:rFonts w:ascii="Times New Roman" w:cs="Times New Roman" w:eastAsia="Times New Roman" w:hAnsi="Times New Roman"/>
                <w:sz w:val="16"/>
                <w:szCs w:val="16"/>
                <w:color w:val="auto"/>
              </w:rPr>
              <w:t>Restricted stock units (RSUs) granted for</w:t>
            </w: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32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6"/>
                <w:szCs w:val="16"/>
                <w:color w:val="auto"/>
              </w:rPr>
              <w:t>achievement of performance-based</w:t>
            </w:r>
          </w:p>
        </w:tc>
        <w:tc>
          <w:tcPr>
            <w:tcW w:w="6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6"/>
                <w:szCs w:val="16"/>
                <w:color w:val="auto"/>
              </w:rPr>
              <w:t>compensation, reclassified from liability to</w:t>
            </w:r>
          </w:p>
        </w:tc>
        <w:tc>
          <w:tcPr>
            <w:tcW w:w="6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RSUs release</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(3 )</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9"/>
        </w:trPr>
        <w:tc>
          <w:tcPr>
            <w:tcW w:w="3320" w:type="dxa"/>
            <w:vAlign w:val="bottom"/>
            <w:shd w:val="clear" w:color="auto" w:fill="CFF0FC"/>
          </w:tcPr>
          <w:p>
            <w:pPr>
              <w:ind w:left="20"/>
              <w:spacing w:after="0" w:line="148" w:lineRule="exact"/>
              <w:rPr>
                <w:sz w:val="20"/>
                <w:szCs w:val="20"/>
                <w:color w:val="auto"/>
              </w:rPr>
            </w:pPr>
            <w:r>
              <w:rPr>
                <w:rFonts w:ascii="Times New Roman" w:cs="Times New Roman" w:eastAsia="Times New Roman" w:hAnsi="Times New Roman"/>
                <w:sz w:val="16"/>
                <w:szCs w:val="16"/>
                <w:color w:val="auto"/>
              </w:rPr>
              <w:t>Shares withheld for taxes related to net share</w:t>
            </w:r>
          </w:p>
        </w:tc>
        <w:tc>
          <w:tcPr>
            <w:tcW w:w="8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(85 )</w:t>
            </w:r>
          </w:p>
        </w:tc>
        <w:tc>
          <w:tcPr>
            <w:tcW w:w="12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(1 )</w:t>
            </w:r>
          </w:p>
        </w:tc>
        <w:tc>
          <w:tcPr>
            <w:tcW w:w="14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(414 )</w:t>
            </w: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(415 )</w:t>
            </w: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settlement</w:t>
            </w:r>
          </w:p>
        </w:tc>
        <w:tc>
          <w:tcPr>
            <w:tcW w:w="88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gridSpan w:val="2"/>
            <w:vMerge w:val="continue"/>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(946 )</w:t>
            </w:r>
          </w:p>
        </w:tc>
        <w:tc>
          <w:tcPr>
            <w:tcW w:w="1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(4,847 )</w:t>
            </w: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(4,847 )</w:t>
            </w:r>
          </w:p>
        </w:tc>
        <w:tc>
          <w:tcPr>
            <w:tcW w:w="0" w:type="dxa"/>
            <w:vAlign w:val="bottom"/>
          </w:tcPr>
          <w:p>
            <w:pPr>
              <w:spacing w:after="0"/>
              <w:rPr>
                <w:sz w:val="1"/>
                <w:szCs w:val="1"/>
                <w:color w:val="auto"/>
              </w:rPr>
            </w:pPr>
          </w:p>
        </w:tc>
      </w:tr>
      <w:tr>
        <w:trPr>
          <w:trHeight w:val="148"/>
        </w:trPr>
        <w:tc>
          <w:tcPr>
            <w:tcW w:w="332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Accumulated other comprehensive income</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Pension plan, net of taxes</w:t>
            </w: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Foreign currency, net of taxes</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(4 )</w:t>
            </w:r>
          </w:p>
        </w:tc>
        <w:tc>
          <w:tcPr>
            <w:tcW w:w="16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r>
        <w:trPr>
          <w:trHeight w:val="203"/>
        </w:trPr>
        <w:tc>
          <w:tcPr>
            <w:tcW w:w="3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4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13,388</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13,388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Balance at April 30, 2022</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77,323</w:t>
            </w:r>
          </w:p>
        </w:tc>
        <w:tc>
          <w:tcPr>
            <w:tcW w:w="2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2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320,745</w:t>
            </w:r>
          </w:p>
        </w:tc>
        <w:tc>
          <w:tcPr>
            <w:tcW w:w="22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(13,70</w:t>
            </w:r>
          </w:p>
        </w:tc>
        <w:tc>
          <w:tcPr>
            <w:tcW w:w="2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(97,505 )</w:t>
            </w:r>
          </w:p>
        </w:tc>
        <w:tc>
          <w:tcPr>
            <w:tcW w:w="18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(150,491 )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(5,462 )</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68,060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3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2 )</w:t>
            </w:r>
          </w:p>
        </w:tc>
        <w:tc>
          <w:tcPr>
            <w:tcW w:w="14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Board of directors compensation</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RSUs release</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9"/>
        </w:trPr>
        <w:tc>
          <w:tcPr>
            <w:tcW w:w="332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Shares withheld for taxes related to net share</w:t>
            </w: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(6 )</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(6 )</w:t>
            </w:r>
          </w:p>
        </w:tc>
        <w:tc>
          <w:tcPr>
            <w:tcW w:w="0" w:type="dxa"/>
            <w:vAlign w:val="bottom"/>
          </w:tcPr>
          <w:p>
            <w:pPr>
              <w:spacing w:after="0"/>
              <w:rPr>
                <w:sz w:val="1"/>
                <w:szCs w:val="1"/>
                <w:color w:val="auto"/>
              </w:rPr>
            </w:pPr>
          </w:p>
        </w:tc>
      </w:tr>
      <w:tr>
        <w:trPr>
          <w:trHeight w:val="213"/>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w:t>
            </w: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(1,923 )</w:t>
            </w:r>
          </w:p>
        </w:tc>
        <w:tc>
          <w:tcPr>
            <w:tcW w:w="14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(7,881 )</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(7,881 )</w:t>
            </w:r>
          </w:p>
        </w:tc>
        <w:tc>
          <w:tcPr>
            <w:tcW w:w="0" w:type="dxa"/>
            <w:vAlign w:val="bottom"/>
          </w:tcPr>
          <w:p>
            <w:pPr>
              <w:spacing w:after="0"/>
              <w:rPr>
                <w:sz w:val="1"/>
                <w:szCs w:val="1"/>
                <w:color w:val="auto"/>
              </w:rPr>
            </w:pPr>
          </w:p>
        </w:tc>
      </w:tr>
      <w:tr>
        <w:trPr>
          <w:trHeight w:val="148"/>
        </w:trPr>
        <w:tc>
          <w:tcPr>
            <w:tcW w:w="3320" w:type="dxa"/>
            <w:vAlign w:val="bottom"/>
            <w:shd w:val="clear" w:color="auto" w:fill="CFF0FC"/>
          </w:tcPr>
          <w:p>
            <w:pPr>
              <w:ind w:left="20"/>
              <w:spacing w:after="0" w:line="148" w:lineRule="exact"/>
              <w:rPr>
                <w:sz w:val="20"/>
                <w:szCs w:val="20"/>
                <w:color w:val="auto"/>
              </w:rPr>
            </w:pPr>
            <w:r>
              <w:rPr>
                <w:rFonts w:ascii="Times New Roman" w:cs="Times New Roman" w:eastAsia="Times New Roman" w:hAnsi="Times New Roman"/>
                <w:sz w:val="16"/>
                <w:szCs w:val="16"/>
                <w:color w:val="auto"/>
              </w:rPr>
              <w:t>Accumulated other comprehensive income</w:t>
            </w: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w:t>
            </w: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Pension plan, net of taxes</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Foreign currency, net of taxes</w:t>
            </w: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(3 )</w:t>
            </w:r>
          </w:p>
        </w:tc>
        <w:tc>
          <w:tcPr>
            <w:tcW w:w="1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56,942</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3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July 30, 2022</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77,360</w:t>
            </w:r>
          </w:p>
        </w:tc>
        <w:tc>
          <w:tcPr>
            <w:tcW w:w="24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220" w:type="dxa"/>
            <w:vAlign w:val="bottom"/>
            <w:shd w:val="clear" w:color="auto" w:fill="CFF0FC"/>
          </w:tcPr>
          <w:p>
            <w:pPr>
              <w:spacing w:after="0"/>
              <w:rPr>
                <w:sz w:val="12"/>
                <w:szCs w:val="12"/>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321,253</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6"/>
                <w:szCs w:val="16"/>
                <w:color w:val="auto"/>
              </w:rPr>
              <w:t>(15,62</w:t>
            </w:r>
          </w:p>
        </w:tc>
        <w:tc>
          <w:tcPr>
            <w:tcW w:w="200" w:type="dxa"/>
            <w:vAlign w:val="bottom"/>
            <w:shd w:val="clear" w:color="auto" w:fill="CFF0FC"/>
          </w:tcPr>
          <w:p>
            <w:pPr>
              <w:spacing w:after="0"/>
              <w:rPr>
                <w:sz w:val="12"/>
                <w:szCs w:val="12"/>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(105,386 )</w:t>
            </w:r>
          </w:p>
        </w:tc>
        <w:tc>
          <w:tcPr>
            <w:tcW w:w="180" w:type="dxa"/>
            <w:vAlign w:val="bottom"/>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(93,549 )</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(5,397 )</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117,695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20" w:type="dxa"/>
            <w:vAlign w:val="bottom"/>
            <w:vMerge w:val="continue"/>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62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72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5 )</w:t>
            </w:r>
          </w:p>
        </w:tc>
        <w:tc>
          <w:tcPr>
            <w:tcW w:w="140" w:type="dxa"/>
            <w:vAlign w:val="bottom"/>
            <w:vMerge w:val="continue"/>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860" w:type="dxa"/>
            <w:vAlign w:val="bottom"/>
            <w:gridSpan w:val="2"/>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120" w:type="dxa"/>
            <w:vAlign w:val="bottom"/>
            <w:gridSpan w:val="2"/>
            <w:vMerge w:val="continue"/>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6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-1971040</wp:posOffset>
            </wp:positionV>
            <wp:extent cx="76835" cy="2400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-1971040</wp:posOffset>
            </wp:positionV>
            <wp:extent cx="77470" cy="240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-1971040</wp:posOffset>
            </wp:positionV>
            <wp:extent cx="77470" cy="2400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-1971040</wp:posOffset>
            </wp:positionV>
            <wp:extent cx="68580" cy="2400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-1971040</wp:posOffset>
            </wp:positionV>
            <wp:extent cx="68580" cy="2400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-1971040</wp:posOffset>
            </wp:positionV>
            <wp:extent cx="68580" cy="2400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-1971040</wp:posOffset>
            </wp:positionV>
            <wp:extent cx="68580" cy="2400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2400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240030"/>
                    </a:xfrm>
                    <a:prstGeom prst="rect">
                      <a:avLst/>
                    </a:prstGeom>
                    <a:noFill/>
                  </pic:spPr>
                </pic:pic>
              </a:graphicData>
            </a:graphic>
          </wp:anchor>
        </w:drawing>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(DEFICIT)</w:t>
      </w:r>
    </w:p>
    <w:p>
      <w:pPr>
        <w:ind w:left="5080"/>
        <w:spacing w:after="0" w:line="234" w:lineRule="auto"/>
        <w:rPr>
          <w:sz w:val="20"/>
          <w:szCs w:val="20"/>
          <w:color w:val="auto"/>
        </w:rPr>
      </w:pPr>
      <w:r>
        <w:rPr>
          <w:rFonts w:ascii="Times New Roman" w:cs="Times New Roman" w:eastAsia="Times New Roman" w:hAnsi="Times New Roman"/>
          <w:sz w:val="18"/>
          <w:szCs w:val="18"/>
          <w:i w:val="1"/>
          <w:iCs w:val="1"/>
          <w:color w:val="auto"/>
        </w:rPr>
        <w:t>(In thousands)</w:t>
      </w:r>
    </w:p>
    <w:p>
      <w:pPr>
        <w:spacing w:after="0" w:line="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w w:val="98"/>
              </w:rPr>
              <w:t>Accumulated</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Additional</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w w:val="94"/>
              </w:rPr>
              <w:t>Other</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640" w:type="dxa"/>
            <w:vAlign w:val="bottom"/>
            <w:gridSpan w:val="4"/>
          </w:tcPr>
          <w:p>
            <w:pPr>
              <w:jc w:val="right"/>
              <w:ind w:right="341"/>
              <w:spacing w:after="0"/>
              <w:rPr>
                <w:sz w:val="20"/>
                <w:szCs w:val="20"/>
                <w:color w:val="auto"/>
              </w:rPr>
            </w:pPr>
            <w:r>
              <w:rPr>
                <w:rFonts w:ascii="Times New Roman" w:cs="Times New Roman" w:eastAsia="Times New Roman" w:hAnsi="Times New Roman"/>
                <w:sz w:val="13"/>
                <w:szCs w:val="13"/>
                <w:color w:val="auto"/>
              </w:rPr>
              <w:t>Common Stock</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Paid-in</w:t>
            </w:r>
          </w:p>
        </w:tc>
        <w:tc>
          <w:tcPr>
            <w:tcW w:w="1860" w:type="dxa"/>
            <w:vAlign w:val="bottom"/>
            <w:gridSpan w:val="5"/>
          </w:tcPr>
          <w:p>
            <w:pPr>
              <w:jc w:val="right"/>
              <w:ind w:right="640"/>
              <w:spacing w:after="0"/>
              <w:rPr>
                <w:sz w:val="20"/>
                <w:szCs w:val="20"/>
                <w:color w:val="auto"/>
              </w:rPr>
            </w:pPr>
            <w:r>
              <w:rPr>
                <w:rFonts w:ascii="Times New Roman" w:cs="Times New Roman" w:eastAsia="Times New Roman" w:hAnsi="Times New Roman"/>
                <w:sz w:val="13"/>
                <w:szCs w:val="13"/>
                <w:color w:val="auto"/>
              </w:rPr>
              <w:t>Treasury Stock</w:t>
            </w: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Accumulated</w:t>
            </w:r>
          </w:p>
        </w:tc>
        <w:tc>
          <w:tcPr>
            <w:tcW w:w="12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w w:val="97"/>
              </w:rPr>
              <w:t>Comprehensive</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300" w:type="dxa"/>
            <w:vAlign w:val="bottom"/>
          </w:tcPr>
          <w:p>
            <w:pPr>
              <w:spacing w:after="0"/>
              <w:rPr>
                <w:sz w:val="15"/>
                <w:szCs w:val="15"/>
                <w:color w:val="auto"/>
              </w:rPr>
            </w:pPr>
          </w:p>
        </w:tc>
        <w:tc>
          <w:tcPr>
            <w:tcW w:w="6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3"/>
                <w:szCs w:val="13"/>
                <w:color w:val="auto"/>
              </w:rPr>
              <w:t>Shares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3"/>
                <w:szCs w:val="13"/>
                <w:color w:val="auto"/>
                <w:w w:val="96"/>
              </w:rPr>
              <w:t>Amounts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3"/>
                <w:szCs w:val="13"/>
                <w:color w:val="auto"/>
              </w:rPr>
              <w:t>Capital</w:t>
            </w:r>
          </w:p>
        </w:tc>
        <w:tc>
          <w:tcPr>
            <w:tcW w:w="220" w:type="dxa"/>
            <w:vAlign w:val="bottom"/>
          </w:tcPr>
          <w:p>
            <w:pPr>
              <w:spacing w:after="0"/>
              <w:rPr>
                <w:sz w:val="15"/>
                <w:szCs w:val="15"/>
                <w:color w:val="auto"/>
              </w:rPr>
            </w:pPr>
          </w:p>
        </w:tc>
        <w:tc>
          <w:tcPr>
            <w:tcW w:w="6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3"/>
                <w:szCs w:val="13"/>
                <w:color w:val="auto"/>
              </w:rPr>
              <w:t>Shares</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3"/>
                <w:szCs w:val="13"/>
                <w:color w:val="auto"/>
              </w:rPr>
              <w:t>Amounts</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3"/>
                <w:szCs w:val="13"/>
                <w:color w:val="auto"/>
              </w:rPr>
              <w:t>Deficit</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3"/>
                <w:szCs w:val="13"/>
                <w:color w:val="auto"/>
                <w:w w:val="97"/>
              </w:rPr>
              <w:t>Loss</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3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January 30, 2021</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64,656</w:t>
            </w:r>
          </w:p>
        </w:tc>
        <w:tc>
          <w:tcPr>
            <w:tcW w:w="3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3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314,747</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6"/>
                <w:szCs w:val="16"/>
                <w:color w:val="auto"/>
              </w:rPr>
              <w:t>(12,75</w:t>
            </w:r>
          </w:p>
        </w:tc>
        <w:tc>
          <w:tcPr>
            <w:tcW w:w="200" w:type="dxa"/>
            <w:vAlign w:val="bottom"/>
            <w:shd w:val="clear" w:color="auto" w:fill="CFF0FC"/>
          </w:tcPr>
          <w:p>
            <w:pPr>
              <w:spacing w:after="0"/>
              <w:rPr>
                <w:sz w:val="12"/>
                <w:szCs w:val="12"/>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(92,658 )</w:t>
            </w:r>
          </w:p>
        </w:tc>
        <w:tc>
          <w:tcPr>
            <w:tcW w:w="180" w:type="dxa"/>
            <w:vAlign w:val="bottom"/>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(220,592 )</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(6,221 )</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(4,077 )</w:t>
            </w:r>
          </w:p>
        </w:tc>
        <w:tc>
          <w:tcPr>
            <w:tcW w:w="0" w:type="dxa"/>
            <w:vAlign w:val="bottom"/>
          </w:tcPr>
          <w:p>
            <w:pPr>
              <w:spacing w:after="0"/>
              <w:rPr>
                <w:sz w:val="1"/>
                <w:szCs w:val="1"/>
                <w:color w:val="auto"/>
              </w:rPr>
            </w:pPr>
          </w:p>
        </w:tc>
      </w:tr>
      <w:tr>
        <w:trPr>
          <w:trHeight w:val="216"/>
        </w:trPr>
        <w:tc>
          <w:tcPr>
            <w:tcW w:w="3300" w:type="dxa"/>
            <w:vAlign w:val="bottom"/>
            <w:vMerge w:val="continue"/>
            <w:shd w:val="clear" w:color="auto" w:fill="CFF0FC"/>
          </w:tcPr>
          <w:p>
            <w:pPr>
              <w:spacing w:after="0"/>
              <w:rPr>
                <w:sz w:val="18"/>
                <w:szCs w:val="18"/>
                <w:color w:val="auto"/>
              </w:rPr>
            </w:pPr>
          </w:p>
        </w:tc>
        <w:tc>
          <w:tcPr>
            <w:tcW w:w="660" w:type="dxa"/>
            <w:vAlign w:val="bottom"/>
            <w:vMerge w:val="continue"/>
            <w:shd w:val="clear" w:color="auto" w:fill="CFF0FC"/>
          </w:tcPr>
          <w:p>
            <w:pPr>
              <w:spacing w:after="0"/>
              <w:rPr>
                <w:sz w:val="18"/>
                <w:szCs w:val="18"/>
                <w:color w:val="auto"/>
              </w:rPr>
            </w:pPr>
          </w:p>
        </w:tc>
        <w:tc>
          <w:tcPr>
            <w:tcW w:w="360" w:type="dxa"/>
            <w:vAlign w:val="bottom"/>
            <w:gridSpan w:val="2"/>
            <w:vMerge w:val="continue"/>
            <w:shd w:val="clear" w:color="auto" w:fill="CFF0FC"/>
          </w:tcPr>
          <w:p>
            <w:pPr>
              <w:spacing w:after="0"/>
              <w:rPr>
                <w:sz w:val="18"/>
                <w:szCs w:val="18"/>
                <w:color w:val="auto"/>
              </w:rPr>
            </w:pPr>
          </w:p>
        </w:tc>
        <w:tc>
          <w:tcPr>
            <w:tcW w:w="620" w:type="dxa"/>
            <w:vAlign w:val="bottom"/>
            <w:vMerge w:val="continue"/>
            <w:shd w:val="clear" w:color="auto" w:fill="CFF0FC"/>
          </w:tcPr>
          <w:p>
            <w:pPr>
              <w:spacing w:after="0"/>
              <w:rPr>
                <w:sz w:val="18"/>
                <w:szCs w:val="18"/>
                <w:color w:val="auto"/>
              </w:rPr>
            </w:pPr>
          </w:p>
        </w:tc>
        <w:tc>
          <w:tcPr>
            <w:tcW w:w="360" w:type="dxa"/>
            <w:vAlign w:val="bottom"/>
            <w:gridSpan w:val="2"/>
            <w:vMerge w:val="continue"/>
            <w:shd w:val="clear" w:color="auto" w:fill="CFF0FC"/>
          </w:tcPr>
          <w:p>
            <w:pPr>
              <w:spacing w:after="0"/>
              <w:rPr>
                <w:sz w:val="18"/>
                <w:szCs w:val="18"/>
                <w:color w:val="auto"/>
              </w:rPr>
            </w:pPr>
          </w:p>
        </w:tc>
        <w:tc>
          <w:tcPr>
            <w:tcW w:w="72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5 )</w:t>
            </w:r>
          </w:p>
        </w:tc>
        <w:tc>
          <w:tcPr>
            <w:tcW w:w="140" w:type="dxa"/>
            <w:vAlign w:val="bottom"/>
            <w:vMerge w:val="continue"/>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860" w:type="dxa"/>
            <w:vAlign w:val="bottom"/>
            <w:gridSpan w:val="2"/>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120" w:type="dxa"/>
            <w:vAlign w:val="bottom"/>
            <w:gridSpan w:val="2"/>
            <w:vMerge w:val="continue"/>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7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Issuance of common stock through private</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11,111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4,264</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 offering, net of offering costs</w:t>
            </w:r>
          </w:p>
        </w:tc>
        <w:tc>
          <w:tcPr>
            <w:tcW w:w="6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Board of directors compensation</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RSUs release</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(3 )</w:t>
            </w: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8"/>
        </w:trPr>
        <w:tc>
          <w:tcPr>
            <w:tcW w:w="330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Accumulated other comprehensive income</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Pension plan, net of taxes</w:t>
            </w: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3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Foreign currency, net of taxes</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(25 )</w:t>
            </w:r>
          </w:p>
        </w:tc>
        <w:tc>
          <w:tcPr>
            <w:tcW w:w="16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03"/>
        </w:trPr>
        <w:tc>
          <w:tcPr>
            <w:tcW w:w="3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6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8,697</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8,697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Balance at May 1, 2021</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76,212</w:t>
            </w:r>
          </w:p>
        </w:tc>
        <w:tc>
          <w:tcPr>
            <w:tcW w:w="3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3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319,443</w:t>
            </w:r>
          </w:p>
        </w:tc>
        <w:tc>
          <w:tcPr>
            <w:tcW w:w="22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(12,75</w:t>
            </w:r>
          </w:p>
        </w:tc>
        <w:tc>
          <w:tcPr>
            <w:tcW w:w="2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(92,658 )</w:t>
            </w:r>
          </w:p>
        </w:tc>
        <w:tc>
          <w:tcPr>
            <w:tcW w:w="18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(211,895 )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(6,168 )</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30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5 )</w:t>
            </w:r>
          </w:p>
        </w:tc>
        <w:tc>
          <w:tcPr>
            <w:tcW w:w="14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Board of directors compensation</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Accumulated other comprehensive income</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Pension plan, net of taxes</w:t>
            </w: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Foreign currency, net of taxes</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(17 )</w:t>
            </w:r>
          </w:p>
        </w:tc>
        <w:tc>
          <w:tcPr>
            <w:tcW w:w="16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203"/>
        </w:trPr>
        <w:tc>
          <w:tcPr>
            <w:tcW w:w="3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6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24,451</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24,451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Balance at July 31, 2021</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76,289</w:t>
            </w:r>
          </w:p>
        </w:tc>
        <w:tc>
          <w:tcPr>
            <w:tcW w:w="3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3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319,872</w:t>
            </w:r>
          </w:p>
        </w:tc>
        <w:tc>
          <w:tcPr>
            <w:tcW w:w="22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(12,75</w:t>
            </w:r>
          </w:p>
        </w:tc>
        <w:tc>
          <w:tcPr>
            <w:tcW w:w="2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(92,658 )</w:t>
            </w:r>
          </w:p>
        </w:tc>
        <w:tc>
          <w:tcPr>
            <w:tcW w:w="18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(187,444 )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(6,107 )</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34,426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0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5 )</w:t>
            </w:r>
          </w:p>
        </w:tc>
        <w:tc>
          <w:tcPr>
            <w:tcW w:w="14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-1478915</wp:posOffset>
            </wp:positionV>
            <wp:extent cx="76835" cy="2400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-1478915</wp:posOffset>
            </wp:positionV>
            <wp:extent cx="76835" cy="2400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-1478915</wp:posOffset>
            </wp:positionV>
            <wp:extent cx="77470" cy="2400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-1478915</wp:posOffset>
            </wp:positionV>
            <wp:extent cx="68580" cy="2400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-1478915</wp:posOffset>
            </wp:positionV>
            <wp:extent cx="68580" cy="2400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-1478915</wp:posOffset>
            </wp:positionV>
            <wp:extent cx="68580" cy="2400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-1478915</wp:posOffset>
            </wp:positionV>
            <wp:extent cx="68580" cy="2400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-1478915</wp:posOffset>
            </wp:positionV>
            <wp:extent cx="68580" cy="2400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-235585</wp:posOffset>
            </wp:positionV>
            <wp:extent cx="76835" cy="2400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-235585</wp:posOffset>
            </wp:positionV>
            <wp:extent cx="76835" cy="2400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-235585</wp:posOffset>
            </wp:positionV>
            <wp:extent cx="77470" cy="2400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-235585</wp:posOffset>
            </wp:positionV>
            <wp:extent cx="68580" cy="2400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-235585</wp:posOffset>
            </wp:positionV>
            <wp:extent cx="68580" cy="2400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-235585</wp:posOffset>
            </wp:positionV>
            <wp:extent cx="68580" cy="2400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-235585</wp:posOffset>
            </wp:positionV>
            <wp:extent cx="68580" cy="2400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-235585</wp:posOffset>
            </wp:positionV>
            <wp:extent cx="68580" cy="2400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24003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ind w:left="432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CONSOLIDATED STATEMENTS OF CASH FLOWS</w:t>
      </w:r>
    </w:p>
    <w:p>
      <w:pPr>
        <w:jc w:val="center"/>
        <w:ind w:right="40"/>
        <w:spacing w:after="0" w:line="234" w:lineRule="auto"/>
        <w:rPr>
          <w:sz w:val="20"/>
          <w:szCs w:val="20"/>
          <w:color w:val="auto"/>
        </w:rPr>
      </w:pPr>
      <w:r>
        <w:rPr>
          <w:rFonts w:ascii="Times New Roman" w:cs="Times New Roman" w:eastAsia="Times New Roman" w:hAnsi="Times New Roman"/>
          <w:sz w:val="18"/>
          <w:szCs w:val="18"/>
          <w:i w:val="1"/>
          <w:iCs w:val="1"/>
          <w:color w:val="auto"/>
        </w:rPr>
        <w:t>(In thousands)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40" w:type="dxa"/>
            <w:vAlign w:val="bottom"/>
            <w:gridSpan w:val="5"/>
          </w:tcPr>
          <w:p>
            <w:pPr>
              <w:jc w:val="right"/>
              <w:ind w:right="839"/>
              <w:spacing w:after="0"/>
              <w:rPr>
                <w:sz w:val="20"/>
                <w:szCs w:val="20"/>
                <w:color w:val="auto"/>
              </w:rPr>
            </w:pPr>
            <w:r>
              <w:rPr>
                <w:rFonts w:ascii="Times New Roman" w:cs="Times New Roman" w:eastAsia="Times New Roman" w:hAnsi="Times New Roman"/>
                <w:sz w:val="14"/>
                <w:szCs w:val="14"/>
                <w:color w:val="auto"/>
              </w:rPr>
              <w:t>For the Six Months Ended</w:t>
            </w:r>
          </w:p>
        </w:tc>
      </w:tr>
      <w:tr>
        <w:trPr>
          <w:trHeight w:val="176"/>
        </w:trPr>
        <w:tc>
          <w:tcPr>
            <w:tcW w:w="8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right"/>
              <w:ind w:right="499"/>
              <w:spacing w:after="0"/>
              <w:rPr>
                <w:sz w:val="20"/>
                <w:szCs w:val="20"/>
                <w:color w:val="auto"/>
              </w:rPr>
            </w:pPr>
            <w:r>
              <w:rPr>
                <w:rFonts w:ascii="Times New Roman" w:cs="Times New Roman" w:eastAsia="Times New Roman" w:hAnsi="Times New Roman"/>
                <w:sz w:val="14"/>
                <w:szCs w:val="14"/>
                <w:color w:val="auto"/>
              </w:rPr>
              <w:t>July 30, 2022</w:t>
            </w:r>
          </w:p>
        </w:tc>
        <w:tc>
          <w:tcPr>
            <w:tcW w:w="220" w:type="dxa"/>
            <w:vAlign w:val="bottom"/>
          </w:tcPr>
          <w:p>
            <w:pPr>
              <w:spacing w:after="0"/>
              <w:rPr>
                <w:sz w:val="15"/>
                <w:szCs w:val="15"/>
                <w:color w:val="auto"/>
              </w:rPr>
            </w:pPr>
          </w:p>
        </w:tc>
        <w:tc>
          <w:tcPr>
            <w:tcW w:w="1340" w:type="dxa"/>
            <w:vAlign w:val="bottom"/>
            <w:gridSpan w:val="2"/>
          </w:tcPr>
          <w:p>
            <w:pPr>
              <w:jc w:val="right"/>
              <w:ind w:right="359"/>
              <w:spacing w:after="0"/>
              <w:rPr>
                <w:sz w:val="20"/>
                <w:szCs w:val="20"/>
                <w:color w:val="auto"/>
              </w:rPr>
            </w:pPr>
            <w:r>
              <w:rPr>
                <w:rFonts w:ascii="Times New Roman" w:cs="Times New Roman" w:eastAsia="Times New Roman" w:hAnsi="Times New Roman"/>
                <w:sz w:val="14"/>
                <w:szCs w:val="14"/>
                <w:color w:val="auto"/>
              </w:rPr>
              <w:t>July 31, 2021</w:t>
            </w:r>
          </w:p>
        </w:tc>
      </w:tr>
      <w:tr>
        <w:trPr>
          <w:trHeight w:val="185"/>
        </w:trPr>
        <w:tc>
          <w:tcPr>
            <w:tcW w:w="8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right"/>
              <w:ind w:right="499"/>
              <w:spacing w:after="0"/>
              <w:rPr>
                <w:sz w:val="20"/>
                <w:szCs w:val="20"/>
                <w:color w:val="auto"/>
              </w:rPr>
            </w:pPr>
            <w:r>
              <w:rPr>
                <w:rFonts w:ascii="Times New Roman" w:cs="Times New Roman" w:eastAsia="Times New Roman" w:hAnsi="Times New Roman"/>
                <w:sz w:val="14"/>
                <w:szCs w:val="14"/>
                <w:color w:val="auto"/>
              </w:rPr>
              <w:t>(Fiscal 2022)</w:t>
            </w:r>
          </w:p>
        </w:tc>
        <w:tc>
          <w:tcPr>
            <w:tcW w:w="220" w:type="dxa"/>
            <w:vAlign w:val="bottom"/>
          </w:tcPr>
          <w:p>
            <w:pPr>
              <w:spacing w:after="0"/>
              <w:rPr>
                <w:sz w:val="16"/>
                <w:szCs w:val="16"/>
                <w:color w:val="auto"/>
              </w:rPr>
            </w:pPr>
          </w:p>
        </w:tc>
        <w:tc>
          <w:tcPr>
            <w:tcW w:w="1340" w:type="dxa"/>
            <w:vAlign w:val="bottom"/>
            <w:gridSpan w:val="2"/>
          </w:tcPr>
          <w:p>
            <w:pPr>
              <w:jc w:val="right"/>
              <w:ind w:right="359"/>
              <w:spacing w:after="0"/>
              <w:rPr>
                <w:sz w:val="20"/>
                <w:szCs w:val="20"/>
                <w:color w:val="auto"/>
              </w:rPr>
            </w:pPr>
            <w:r>
              <w:rPr>
                <w:rFonts w:ascii="Times New Roman" w:cs="Times New Roman" w:eastAsia="Times New Roman" w:hAnsi="Times New Roman"/>
                <w:sz w:val="14"/>
                <w:szCs w:val="14"/>
                <w:color w:val="auto"/>
              </w:rPr>
              <w:t>(Fiscal 2021)</w:t>
            </w:r>
          </w:p>
        </w:tc>
      </w:tr>
      <w:tr>
        <w:trPr>
          <w:trHeight w:val="209"/>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8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70,330</w:t>
            </w:r>
          </w:p>
        </w:tc>
        <w:tc>
          <w:tcPr>
            <w:tcW w:w="26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33,148</w:t>
            </w:r>
          </w:p>
        </w:tc>
        <w:tc>
          <w:tcPr>
            <w:tcW w:w="100" w:type="dxa"/>
            <w:vAlign w:val="bottom"/>
          </w:tcPr>
          <w:p>
            <w:pPr>
              <w:spacing w:after="0"/>
              <w:rPr>
                <w:sz w:val="17"/>
                <w:szCs w:val="17"/>
                <w:color w:val="auto"/>
              </w:rPr>
            </w:pPr>
          </w:p>
        </w:tc>
      </w:tr>
      <w:tr>
        <w:trPr>
          <w:trHeight w:val="203"/>
        </w:trPr>
        <w:tc>
          <w:tcPr>
            <w:tcW w:w="8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and write-off of deferred debt issuance costs</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tcPr>
          <w:p>
            <w:pPr>
              <w:spacing w:after="0"/>
              <w:rPr>
                <w:sz w:val="17"/>
                <w:szCs w:val="17"/>
                <w:color w:val="auto"/>
              </w:rPr>
            </w:pPr>
          </w:p>
        </w:tc>
      </w:tr>
      <w:tr>
        <w:trPr>
          <w:trHeight w:val="203"/>
        </w:trPr>
        <w:tc>
          <w:tcPr>
            <w:tcW w:w="80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Impairment (gain) of assets</w:t>
            </w: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(398 )</w:t>
            </w:r>
          </w:p>
        </w:tc>
        <w:tc>
          <w:tcPr>
            <w:tcW w:w="2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(1,017 )</w:t>
            </w:r>
          </w:p>
        </w:tc>
      </w:tr>
      <w:tr>
        <w:trPr>
          <w:trHeight w:val="203"/>
        </w:trPr>
        <w:tc>
          <w:tcPr>
            <w:tcW w:w="8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8,889</w:t>
            </w:r>
          </w:p>
        </w:tc>
        <w:tc>
          <w:tcPr>
            <w:tcW w:w="100" w:type="dxa"/>
            <w:vAlign w:val="bottom"/>
          </w:tcPr>
          <w:p>
            <w:pPr>
              <w:spacing w:after="0"/>
              <w:rPr>
                <w:sz w:val="17"/>
                <w:szCs w:val="17"/>
                <w:color w:val="auto"/>
              </w:rPr>
            </w:pPr>
          </w:p>
        </w:tc>
      </w:tr>
      <w:tr>
        <w:trPr>
          <w:trHeight w:val="203"/>
        </w:trPr>
        <w:tc>
          <w:tcPr>
            <w:tcW w:w="80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Deferred taxes, net of valuation allowance</w:t>
            </w: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(35,538 )</w:t>
            </w:r>
          </w:p>
        </w:tc>
        <w:tc>
          <w:tcPr>
            <w:tcW w:w="2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00" w:type="dxa"/>
            <w:vAlign w:val="bottom"/>
          </w:tcPr>
          <w:p>
            <w:pPr>
              <w:spacing w:after="0"/>
              <w:rPr>
                <w:sz w:val="18"/>
                <w:szCs w:val="18"/>
                <w:color w:val="auto"/>
              </w:rPr>
            </w:pPr>
          </w:p>
        </w:tc>
      </w:tr>
      <w:tr>
        <w:trPr>
          <w:trHeight w:val="205"/>
        </w:trPr>
        <w:tc>
          <w:tcPr>
            <w:tcW w:w="80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Board of directors stock compensation</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FF0FC"/>
          </w:tcPr>
          <w:p>
            <w:pPr>
              <w:spacing w:after="0"/>
              <w:rPr>
                <w:sz w:val="17"/>
                <w:szCs w:val="17"/>
                <w:color w:val="auto"/>
              </w:rPr>
            </w:pPr>
          </w:p>
        </w:tc>
      </w:tr>
      <w:tr>
        <w:trPr>
          <w:trHeight w:val="203"/>
        </w:trPr>
        <w:tc>
          <w:tcPr>
            <w:tcW w:w="8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4,406</w:t>
            </w:r>
          </w:p>
        </w:tc>
        <w:tc>
          <w:tcPr>
            <w:tcW w:w="100" w:type="dxa"/>
            <w:vAlign w:val="bottom"/>
          </w:tcPr>
          <w:p>
            <w:pPr>
              <w:spacing w:after="0"/>
              <w:rPr>
                <w:sz w:val="17"/>
                <w:szCs w:val="17"/>
                <w:color w:val="auto"/>
              </w:rPr>
            </w:pPr>
          </w:p>
        </w:tc>
      </w:tr>
      <w:tr>
        <w:trPr>
          <w:trHeight w:val="203"/>
        </w:trPr>
        <w:tc>
          <w:tcPr>
            <w:tcW w:w="80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(14,964 )</w:t>
            </w: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11,660</w:t>
            </w:r>
          </w:p>
        </w:tc>
        <w:tc>
          <w:tcPr>
            <w:tcW w:w="100" w:type="dxa"/>
            <w:vAlign w:val="bottom"/>
            <w:shd w:val="clear" w:color="auto" w:fill="CFF0FC"/>
          </w:tcPr>
          <w:p>
            <w:pPr>
              <w:spacing w:after="0"/>
              <w:rPr>
                <w:sz w:val="17"/>
                <w:szCs w:val="17"/>
                <w:color w:val="auto"/>
              </w:rPr>
            </w:pPr>
          </w:p>
        </w:tc>
      </w:tr>
      <w:tr>
        <w:trPr>
          <w:trHeight w:val="203"/>
        </w:trPr>
        <w:tc>
          <w:tcPr>
            <w:tcW w:w="8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Pr>
          <w:p>
            <w:pPr>
              <w:spacing w:after="0"/>
              <w:rPr>
                <w:sz w:val="17"/>
                <w:szCs w:val="17"/>
                <w:color w:val="auto"/>
              </w:rPr>
            </w:pPr>
          </w:p>
        </w:tc>
        <w:tc>
          <w:tcPr>
            <w:tcW w:w="14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(1,889 )</w:t>
            </w:r>
          </w:p>
        </w:tc>
        <w:tc>
          <w:tcPr>
            <w:tcW w:w="22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(1,901 )</w:t>
            </w:r>
          </w:p>
        </w:tc>
      </w:tr>
      <w:tr>
        <w:trPr>
          <w:trHeight w:val="203"/>
        </w:trPr>
        <w:tc>
          <w:tcPr>
            <w:tcW w:w="80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(46 )</w:t>
            </w: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FF0FC"/>
          </w:tcPr>
          <w:p>
            <w:pPr>
              <w:spacing w:after="0"/>
              <w:rPr>
                <w:sz w:val="17"/>
                <w:szCs w:val="17"/>
                <w:color w:val="auto"/>
              </w:rPr>
            </w:pPr>
          </w:p>
        </w:tc>
      </w:tr>
      <w:tr>
        <w:trPr>
          <w:trHeight w:val="203"/>
        </w:trPr>
        <w:tc>
          <w:tcPr>
            <w:tcW w:w="8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(7,214 )</w:t>
            </w:r>
          </w:p>
        </w:tc>
      </w:tr>
      <w:tr>
        <w:trPr>
          <w:trHeight w:val="203"/>
        </w:trPr>
        <w:tc>
          <w:tcPr>
            <w:tcW w:w="80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Operating leases, net</w:t>
            </w: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(3,268 )</w:t>
            </w:r>
          </w:p>
        </w:tc>
        <w:tc>
          <w:tcPr>
            <w:tcW w:w="2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(9,781 )</w:t>
            </w:r>
          </w:p>
        </w:tc>
      </w:tr>
      <w:tr>
        <w:trPr>
          <w:trHeight w:val="203"/>
        </w:trPr>
        <w:tc>
          <w:tcPr>
            <w:tcW w:w="8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00" w:type="dxa"/>
            <w:vAlign w:val="bottom"/>
          </w:tcPr>
          <w:p>
            <w:pPr>
              <w:spacing w:after="0"/>
              <w:rPr>
                <w:sz w:val="17"/>
                <w:szCs w:val="17"/>
                <w:color w:val="auto"/>
              </w:rPr>
            </w:pPr>
          </w:p>
        </w:tc>
        <w:tc>
          <w:tcPr>
            <w:tcW w:w="14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(2,855 )</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2,829</w:t>
            </w:r>
          </w:p>
        </w:tc>
        <w:tc>
          <w:tcPr>
            <w:tcW w:w="100" w:type="dxa"/>
            <w:vAlign w:val="bottom"/>
          </w:tcPr>
          <w:p>
            <w:pPr>
              <w:spacing w:after="0"/>
              <w:rPr>
                <w:sz w:val="17"/>
                <w:szCs w:val="17"/>
                <w:color w:val="auto"/>
              </w:rPr>
            </w:pPr>
          </w:p>
        </w:tc>
      </w:tr>
      <w:tr>
        <w:trPr>
          <w:trHeight w:val="196"/>
        </w:trPr>
        <w:tc>
          <w:tcPr>
            <w:tcW w:w="8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23,849</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42,243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Additions to property and equipment, net</w:t>
            </w:r>
          </w:p>
        </w:tc>
        <w:tc>
          <w:tcPr>
            <w:tcW w:w="200" w:type="dxa"/>
            <w:vAlign w:val="bottom"/>
          </w:tcPr>
          <w:p>
            <w:pPr>
              <w:spacing w:after="0"/>
              <w:rPr>
                <w:sz w:val="17"/>
                <w:szCs w:val="17"/>
                <w:color w:val="auto"/>
              </w:rPr>
            </w:pPr>
          </w:p>
        </w:tc>
        <w:tc>
          <w:tcPr>
            <w:tcW w:w="14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(4,056 )</w:t>
            </w:r>
          </w:p>
        </w:tc>
        <w:tc>
          <w:tcPr>
            <w:tcW w:w="22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(1,723 )</w:t>
            </w:r>
          </w:p>
        </w:tc>
      </w:tr>
      <w:tr>
        <w:trPr>
          <w:trHeight w:val="196"/>
        </w:trPr>
        <w:tc>
          <w:tcPr>
            <w:tcW w:w="8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(4,056</w:t>
            </w:r>
          </w:p>
        </w:tc>
        <w:tc>
          <w:tcPr>
            <w:tcW w:w="26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8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00" w:type="dxa"/>
            <w:vAlign w:val="bottom"/>
          </w:tcPr>
          <w:p>
            <w:pPr>
              <w:spacing w:after="0"/>
              <w:rPr>
                <w:sz w:val="17"/>
                <w:szCs w:val="17"/>
                <w:color w:val="auto"/>
              </w:rPr>
            </w:pPr>
          </w:p>
        </w:tc>
        <w:tc>
          <w:tcPr>
            <w:tcW w:w="14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(12,728 )</w:t>
            </w:r>
          </w:p>
        </w:tc>
        <w:tc>
          <w:tcPr>
            <w:tcW w:w="220" w:type="dxa"/>
            <w:vAlign w:val="bottom"/>
          </w:tcPr>
          <w:p>
            <w:pPr>
              <w:spacing w:after="0"/>
              <w:rPr>
                <w:sz w:val="17"/>
                <w:szCs w:val="17"/>
                <w:color w:val="auto"/>
              </w:rPr>
            </w:pP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Proceeds from issuance of common stock from private direct offering, net of offering costs</w:t>
            </w: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4,375</w:t>
            </w:r>
          </w:p>
        </w:tc>
        <w:tc>
          <w:tcPr>
            <w:tcW w:w="100" w:type="dxa"/>
            <w:vAlign w:val="bottom"/>
            <w:shd w:val="clear" w:color="auto" w:fill="CFF0FC"/>
          </w:tcPr>
          <w:p>
            <w:pPr>
              <w:spacing w:after="0"/>
              <w:rPr>
                <w:sz w:val="17"/>
                <w:szCs w:val="17"/>
                <w:color w:val="auto"/>
              </w:rPr>
            </w:pPr>
          </w:p>
        </w:tc>
      </w:tr>
      <w:tr>
        <w:trPr>
          <w:trHeight w:val="203"/>
        </w:trPr>
        <w:tc>
          <w:tcPr>
            <w:tcW w:w="8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Repayment of FILO loan</w:t>
            </w:r>
          </w:p>
        </w:tc>
        <w:tc>
          <w:tcPr>
            <w:tcW w:w="200" w:type="dxa"/>
            <w:vAlign w:val="bottom"/>
          </w:tcPr>
          <w:p>
            <w:pPr>
              <w:spacing w:after="0"/>
              <w:rPr>
                <w:sz w:val="17"/>
                <w:szCs w:val="17"/>
                <w:color w:val="auto"/>
              </w:rPr>
            </w:pPr>
          </w:p>
        </w:tc>
        <w:tc>
          <w:tcPr>
            <w:tcW w:w="14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(15,000 )</w:t>
            </w:r>
          </w:p>
        </w:tc>
      </w:tr>
      <w:tr>
        <w:trPr>
          <w:trHeight w:val="203"/>
        </w:trPr>
        <w:tc>
          <w:tcPr>
            <w:tcW w:w="80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Proceeds from new FILO loan</w:t>
            </w: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100" w:type="dxa"/>
            <w:vAlign w:val="bottom"/>
            <w:shd w:val="clear" w:color="auto" w:fill="CFF0FC"/>
          </w:tcPr>
          <w:p>
            <w:pPr>
              <w:spacing w:after="0"/>
              <w:rPr>
                <w:sz w:val="17"/>
                <w:szCs w:val="17"/>
                <w:color w:val="auto"/>
              </w:rPr>
            </w:pPr>
          </w:p>
        </w:tc>
      </w:tr>
      <w:tr>
        <w:trPr>
          <w:trHeight w:val="203"/>
        </w:trPr>
        <w:tc>
          <w:tcPr>
            <w:tcW w:w="8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repayments under credit facility</w:t>
            </w:r>
          </w:p>
        </w:tc>
        <w:tc>
          <w:tcPr>
            <w:tcW w:w="200" w:type="dxa"/>
            <w:vAlign w:val="bottom"/>
          </w:tcPr>
          <w:p>
            <w:pPr>
              <w:spacing w:after="0"/>
              <w:rPr>
                <w:sz w:val="17"/>
                <w:szCs w:val="17"/>
                <w:color w:val="auto"/>
              </w:rPr>
            </w:pPr>
          </w:p>
        </w:tc>
        <w:tc>
          <w:tcPr>
            <w:tcW w:w="14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(59,733 )</w:t>
            </w:r>
          </w:p>
        </w:tc>
      </w:tr>
      <w:tr>
        <w:trPr>
          <w:trHeight w:val="203"/>
        </w:trPr>
        <w:tc>
          <w:tcPr>
            <w:tcW w:w="80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Debt issuance costs</w:t>
            </w: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(818 )</w:t>
            </w:r>
          </w:p>
        </w:tc>
      </w:tr>
      <w:tr>
        <w:trPr>
          <w:trHeight w:val="203"/>
        </w:trPr>
        <w:tc>
          <w:tcPr>
            <w:tcW w:w="8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Tax withholdings paid related to net share settlements</w:t>
            </w:r>
          </w:p>
        </w:tc>
        <w:tc>
          <w:tcPr>
            <w:tcW w:w="200" w:type="dxa"/>
            <w:vAlign w:val="bottom"/>
          </w:tcPr>
          <w:p>
            <w:pPr>
              <w:spacing w:after="0"/>
              <w:rPr>
                <w:sz w:val="17"/>
                <w:szCs w:val="17"/>
                <w:color w:val="auto"/>
              </w:rPr>
            </w:pPr>
          </w:p>
        </w:tc>
        <w:tc>
          <w:tcPr>
            <w:tcW w:w="14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(421 )</w:t>
            </w:r>
          </w:p>
        </w:tc>
        <w:tc>
          <w:tcPr>
            <w:tcW w:w="220" w:type="dxa"/>
            <w:vAlign w:val="bottom"/>
          </w:tcPr>
          <w:p>
            <w:pPr>
              <w:spacing w:after="0"/>
              <w:rPr>
                <w:sz w:val="17"/>
                <w:szCs w:val="17"/>
                <w:color w:val="auto"/>
              </w:rPr>
            </w:pP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Proceeds from the exercise of stock options</w:t>
            </w:r>
          </w:p>
        </w:tc>
        <w:tc>
          <w:tcPr>
            <w:tcW w:w="2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200" w:type="dxa"/>
            <w:vAlign w:val="bottom"/>
          </w:tcPr>
          <w:p>
            <w:pPr>
              <w:spacing w:after="0"/>
              <w:rPr>
                <w:sz w:val="17"/>
                <w:szCs w:val="17"/>
                <w:color w:val="auto"/>
              </w:rPr>
            </w:pPr>
          </w:p>
        </w:tc>
        <w:tc>
          <w:tcPr>
            <w:tcW w:w="14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(13,123 )</w:t>
            </w:r>
          </w:p>
        </w:tc>
        <w:tc>
          <w:tcPr>
            <w:tcW w:w="22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(53,672 )</w:t>
            </w:r>
          </w:p>
        </w:tc>
      </w:tr>
      <w:tr>
        <w:trPr>
          <w:trHeight w:val="196"/>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0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6,670</w:t>
            </w:r>
          </w:p>
        </w:tc>
        <w:tc>
          <w:tcPr>
            <w:tcW w:w="2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(13,152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Beginning of period</w:t>
            </w:r>
          </w:p>
        </w:tc>
        <w:tc>
          <w:tcPr>
            <w:tcW w:w="2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15,506</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18,997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End of period</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22,176</w:t>
            </w:r>
          </w:p>
        </w:tc>
        <w:tc>
          <w:tcPr>
            <w:tcW w:w="26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5,845</w:t>
            </w:r>
          </w:p>
        </w:tc>
        <w:tc>
          <w:tcPr>
            <w:tcW w:w="100" w:type="dxa"/>
            <w:vAlign w:val="bottom"/>
          </w:tcPr>
          <w:p>
            <w:pPr>
              <w:spacing w:after="0"/>
              <w:rPr>
                <w:sz w:val="17"/>
                <w:szCs w:val="17"/>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-2519680</wp:posOffset>
            </wp:positionV>
            <wp:extent cx="6858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-2519680</wp:posOffset>
            </wp:positionV>
            <wp:extent cx="6858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-1988185</wp:posOffset>
            </wp:positionV>
            <wp:extent cx="6858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-693420</wp:posOffset>
            </wp:positionV>
            <wp:extent cx="68580" cy="145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145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-162560</wp:posOffset>
            </wp:positionV>
            <wp:extent cx="6858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ind w:left="4280"/>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10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0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the opinion of management of Destination XL Group, Inc., a Delaware corporation (collectively with its subsidiaries,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29, 2022 included in the Company’s Annual Report on Form 10-K, which was filed with the Securities and Exchange Commission on March 17, 2022.</w:t>
      </w:r>
    </w:p>
    <w:p>
      <w:pPr>
        <w:spacing w:after="0" w:line="19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9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fiscal year is a 52- or 53- week period ending on the Saturday closest to January 31. Fiscal 2022 and fiscal 2021 are 52-week periods ending on January 28, 2023 and January 29, 2022,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has two principal operating segments: its stores and its direct business. The Company considers its stores and direct operating segments to be similar in terms of economic characteristics, production processes and operations, and has therefore aggregated them into one reportable segment, retail segment, consistent with its omni-channel business approach. The Company’s wholesale business was a third operating segment. In the first quarter of fiscal 2022, the Company ended its relationship with its primary wholesale customer. Due to the immateriality of the wholesale segment’s revenues, profits and assets, its operating results are aggregated with the retail segment for all periods presented.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0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requires disclosure of the fair value of certain financial instruments. ASC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Disclosures</w:t>
      </w:r>
      <w:r>
        <w:rPr>
          <w:rFonts w:ascii="Times New Roman" w:cs="Times New Roman" w:eastAsia="Times New Roman" w:hAnsi="Times New Roman"/>
          <w:sz w:val="18"/>
          <w:szCs w:val="18"/>
          <w:color w:val="auto"/>
        </w:rPr>
        <w:t>,” defines fair value, establishes a framework for measuring fair value and enhances disclosures about fair value measurements.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04" w:lineRule="exact"/>
        <w:rPr>
          <w:sz w:val="20"/>
          <w:szCs w:val="20"/>
          <w:color w:val="auto"/>
        </w:rPr>
      </w:pPr>
    </w:p>
    <w:p>
      <w:pPr>
        <w:ind w:left="260"/>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assets or liabilities.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observable market inputs (quoted market prices) when measuring fair value whenever possible.</w:t>
      </w:r>
    </w:p>
    <w:p>
      <w:pPr>
        <w:spacing w:after="0" w:line="21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accrued expenses approximate fair value because of the short maturity of these instruments.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 - (“AOCI”)</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Other comprehensive income (loss) includes amounts related to foreign currency and pension plans and is reported in the Consolidated Statements of Comprehensive Income (Loss). Other comprehensive income (loss) and reclassifications from AOCI for the three and six months ended July 30, 2022 and July 31, 2021, respectively, were as follows:</w:t>
      </w: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July 30, 2022</w:t>
            </w: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July 31, 2021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040" w:type="dxa"/>
            <w:vAlign w:val="bottom"/>
          </w:tcPr>
          <w:p>
            <w:pPr>
              <w:spacing w:after="0" w:line="160" w:lineRule="exact"/>
              <w:rPr>
                <w:sz w:val="20"/>
                <w:szCs w:val="20"/>
                <w:color w:val="auto"/>
              </w:rPr>
            </w:pPr>
            <w:r>
              <w:rPr>
                <w:rFonts w:ascii="Times New Roman" w:cs="Times New Roman" w:eastAsia="Times New Roman" w:hAnsi="Times New Roman"/>
                <w:sz w:val="14"/>
                <w:szCs w:val="14"/>
                <w:i w:val="1"/>
                <w:iCs w:val="1"/>
                <w:color w:val="auto"/>
              </w:rPr>
              <w:t>For the three months ended:</w:t>
            </w:r>
          </w:p>
        </w:tc>
        <w:tc>
          <w:tcPr>
            <w:tcW w:w="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0" w:type="dxa"/>
            <w:vAlign w:val="bottom"/>
          </w:tcPr>
          <w:p>
            <w:pPr>
              <w:ind w:left="540"/>
              <w:spacing w:after="0" w:line="160" w:lineRule="exact"/>
              <w:rPr>
                <w:sz w:val="20"/>
                <w:szCs w:val="20"/>
                <w:color w:val="auto"/>
              </w:rPr>
            </w:pPr>
            <w:r>
              <w:rPr>
                <w:rFonts w:ascii="Times New Roman" w:cs="Times New Roman" w:eastAsia="Times New Roman" w:hAnsi="Times New Roman"/>
                <w:sz w:val="14"/>
                <w:szCs w:val="14"/>
                <w:i w:val="1"/>
                <w:iCs w:val="1"/>
                <w:color w:val="auto"/>
              </w:rPr>
              <w:t>(in</w:t>
            </w:r>
          </w:p>
        </w:tc>
        <w:tc>
          <w:tcPr>
            <w:tcW w:w="108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i w:val="1"/>
                <w:iCs w:val="1"/>
                <w:color w:val="auto"/>
              </w:rPr>
              <w:t>thousands)</w:t>
            </w:r>
          </w:p>
        </w:tc>
        <w:tc>
          <w:tcPr>
            <w:tcW w:w="1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82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Pension</w:t>
            </w:r>
          </w:p>
        </w:tc>
        <w:tc>
          <w:tcPr>
            <w:tcW w:w="1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Foreign</w:t>
            </w:r>
          </w:p>
        </w:tc>
        <w:tc>
          <w:tcPr>
            <w:tcW w:w="8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Pension</w:t>
            </w:r>
          </w:p>
        </w:tc>
        <w:tc>
          <w:tcPr>
            <w:tcW w:w="12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Foreign</w:t>
            </w:r>
          </w:p>
        </w:tc>
        <w:tc>
          <w:tcPr>
            <w:tcW w:w="8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Plans</w:t>
            </w:r>
          </w:p>
        </w:tc>
        <w:tc>
          <w:tcPr>
            <w:tcW w:w="1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Currency</w:t>
            </w: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Plans</w:t>
            </w:r>
          </w:p>
        </w:tc>
        <w:tc>
          <w:tcPr>
            <w:tcW w:w="12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Currency</w:t>
            </w: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455"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Balance at beginning of the quarter</w:t>
      </w:r>
    </w:p>
    <w:p>
      <w:pPr>
        <w:spacing w:after="0" w:line="220" w:lineRule="exact"/>
        <w:rPr>
          <w:sz w:val="20"/>
          <w:szCs w:val="20"/>
          <w:color w:val="auto"/>
        </w:rPr>
      </w:pPr>
    </w:p>
    <w:p>
      <w:pPr>
        <w:ind w:left="160" w:right="1100" w:hanging="134"/>
        <w:spacing w:after="0" w:line="250" w:lineRule="auto"/>
        <w:rPr>
          <w:sz w:val="20"/>
          <w:szCs w:val="20"/>
          <w:color w:val="auto"/>
        </w:rPr>
      </w:pPr>
      <w:r>
        <w:rPr>
          <w:rFonts w:ascii="Times New Roman" w:cs="Times New Roman" w:eastAsia="Times New Roman" w:hAnsi="Times New Roman"/>
          <w:sz w:val="18"/>
          <w:szCs w:val="18"/>
          <w:color w:val="auto"/>
        </w:rPr>
        <w:t>Other comprehensive income (loss) before reclassifications, net of taxes</w:t>
      </w:r>
    </w:p>
    <w:p>
      <w:pPr>
        <w:spacing w:after="0" w:line="190" w:lineRule="exact"/>
        <w:rPr>
          <w:sz w:val="20"/>
          <w:szCs w:val="20"/>
          <w:color w:val="auto"/>
        </w:rPr>
      </w:pPr>
    </w:p>
    <w:p>
      <w:pPr>
        <w:ind w:left="160" w:right="880" w:hanging="134"/>
        <w:spacing w:after="0" w:line="263" w:lineRule="auto"/>
        <w:rPr>
          <w:sz w:val="20"/>
          <w:szCs w:val="20"/>
          <w:color w:val="auto"/>
        </w:rPr>
      </w:pPr>
      <w:r>
        <w:rPr>
          <w:rFonts w:ascii="Times New Roman" w:cs="Times New Roman" w:eastAsia="Times New Roman" w:hAnsi="Times New Roman"/>
          <w:sz w:val="17"/>
          <w:szCs w:val="17"/>
          <w:color w:val="auto"/>
        </w:rPr>
        <w:t xml:space="preserve">Amounts reclassified from accumulated other comprehensive income, net of taxes </w:t>
      </w:r>
      <w:r>
        <w:rPr>
          <w:rFonts w:ascii="Times New Roman" w:cs="Times New Roman" w:eastAsia="Times New Roman" w:hAnsi="Times New Roman"/>
          <w:sz w:val="23"/>
          <w:szCs w:val="23"/>
          <w:color w:val="auto"/>
          <w:vertAlign w:val="superscript"/>
        </w:rPr>
        <w:t>(1)</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Other comprehensive income (loss) for the period</w:t>
      </w: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end of quarter</w:t>
      </w: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For the six months ended: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0"/>
        </w:trPr>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(5,399 )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(63 )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(5,462 )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(6,146 )</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(22 )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(6,168 )</w:t>
            </w:r>
          </w:p>
        </w:tc>
        <w:tc>
          <w:tcPr>
            <w:tcW w:w="0" w:type="dxa"/>
            <w:vAlign w:val="bottom"/>
          </w:tcPr>
          <w:p>
            <w:pPr>
              <w:spacing w:after="0"/>
              <w:rPr>
                <w:sz w:val="1"/>
                <w:szCs w:val="1"/>
                <w:color w:val="auto"/>
              </w:rPr>
            </w:pPr>
          </w:p>
        </w:tc>
      </w:tr>
      <w:tr>
        <w:trPr>
          <w:trHeight w:val="596"/>
        </w:trPr>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(3 )</w:t>
            </w: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(17 )</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80" w:type="dxa"/>
            <w:vAlign w:val="bottom"/>
          </w:tcPr>
          <w:p>
            <w:pPr>
              <w:spacing w:after="0"/>
              <w:rPr>
                <w:sz w:val="24"/>
                <w:szCs w:val="24"/>
                <w:color w:val="auto"/>
              </w:rPr>
            </w:pPr>
          </w:p>
        </w:tc>
        <w:tc>
          <w:tcPr>
            <w:tcW w:w="8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(8 )</w:t>
            </w:r>
          </w:p>
        </w:tc>
        <w:tc>
          <w:tcPr>
            <w:tcW w:w="340" w:type="dxa"/>
            <w:vAlign w:val="bottom"/>
          </w:tcPr>
          <w:p>
            <w:pPr>
              <w:spacing w:after="0"/>
              <w:rPr>
                <w:sz w:val="24"/>
                <w:szCs w:val="24"/>
                <w:color w:val="auto"/>
              </w:rPr>
            </w:pPr>
          </w:p>
        </w:tc>
        <w:tc>
          <w:tcPr>
            <w:tcW w:w="7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(8 )</w:t>
            </w:r>
          </w:p>
        </w:tc>
        <w:tc>
          <w:tcPr>
            <w:tcW w:w="200" w:type="dxa"/>
            <w:vAlign w:val="bottom"/>
          </w:tcPr>
          <w:p>
            <w:pPr>
              <w:spacing w:after="0"/>
              <w:rPr>
                <w:sz w:val="24"/>
                <w:szCs w:val="24"/>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(12 )</w:t>
            </w:r>
          </w:p>
        </w:tc>
        <w:tc>
          <w:tcPr>
            <w:tcW w:w="380" w:type="dxa"/>
            <w:vAlign w:val="bottom"/>
          </w:tcPr>
          <w:p>
            <w:pPr>
              <w:spacing w:after="0"/>
              <w:rPr>
                <w:sz w:val="24"/>
                <w:szCs w:val="24"/>
                <w:color w:val="auto"/>
              </w:rPr>
            </w:pPr>
          </w:p>
        </w:tc>
        <w:tc>
          <w:tcPr>
            <w:tcW w:w="7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(3 )</w:t>
            </w: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(17 )</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4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240" w:type="dxa"/>
            <w:vAlign w:val="bottom"/>
            <w:vMerge w:val="continue"/>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vMerge w:val="continue"/>
          </w:tcPr>
          <w:p>
            <w:pPr>
              <w:spacing w:after="0"/>
              <w:rPr>
                <w:sz w:val="18"/>
                <w:szCs w:val="18"/>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(5,397</w:t>
            </w:r>
          </w:p>
        </w:tc>
        <w:tc>
          <w:tcPr>
            <w:tcW w:w="220" w:type="dxa"/>
            <w:vAlign w:val="bottom"/>
            <w:vMerge w:val="continue"/>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200" w:type="dxa"/>
            <w:vAlign w:val="bottom"/>
            <w:vMerge w:val="continue"/>
          </w:tcPr>
          <w:p>
            <w:pPr>
              <w:spacing w:after="0"/>
              <w:rPr>
                <w:sz w:val="18"/>
                <w:szCs w:val="18"/>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vMerge w:val="continue"/>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(6,107</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-1370965</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-976630</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-582295</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-307975</wp:posOffset>
            </wp:positionV>
            <wp:extent cx="7132320" cy="3086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July 30, 2022</w:t>
            </w:r>
          </w:p>
        </w:tc>
        <w:tc>
          <w:tcPr>
            <w:tcW w:w="5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July 31, 2021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i w:val="1"/>
                <w:iCs w:val="1"/>
                <w:color w:val="auto"/>
              </w:rPr>
              <w:t>(in</w:t>
            </w:r>
          </w:p>
        </w:tc>
        <w:tc>
          <w:tcPr>
            <w:tcW w:w="11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i w:val="1"/>
                <w:iCs w:val="1"/>
                <w:color w:val="auto"/>
              </w:rPr>
              <w:t>thousands)</w:t>
            </w:r>
          </w:p>
        </w:tc>
        <w:tc>
          <w:tcPr>
            <w:tcW w:w="1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Pension</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Foreign</w:t>
            </w:r>
          </w:p>
        </w:tc>
        <w:tc>
          <w:tcPr>
            <w:tcW w:w="5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w w:val="94"/>
              </w:rPr>
              <w:t>Total</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rPr>
              <w:t>Pension</w:t>
            </w:r>
          </w:p>
        </w:tc>
        <w:tc>
          <w:tcPr>
            <w:tcW w:w="13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Foreign</w:t>
            </w:r>
          </w:p>
        </w:tc>
        <w:tc>
          <w:tcPr>
            <w:tcW w:w="9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5"/>
        </w:trPr>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Plans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Currency</w:t>
            </w:r>
          </w:p>
        </w:tc>
        <w:tc>
          <w:tcPr>
            <w:tcW w:w="5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98"/>
              </w:rPr>
              <w:t>Plans</w:t>
            </w:r>
          </w:p>
        </w:tc>
        <w:tc>
          <w:tcPr>
            <w:tcW w:w="1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Currency</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4180" w:space="720"/>
            <w:col w:w="6340"/>
          </w:cols>
          <w:pgMar w:left="320" w:top="455"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49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Balance at beginning of fiscal year</w:t>
            </w:r>
          </w:p>
        </w:tc>
        <w:tc>
          <w:tcPr>
            <w:tcW w:w="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(5,466 )</w:t>
            </w:r>
          </w:p>
        </w:tc>
        <w:tc>
          <w:tcPr>
            <w:tcW w:w="36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(59 )</w:t>
            </w:r>
          </w:p>
        </w:tc>
        <w:tc>
          <w:tcPr>
            <w:tcW w:w="22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(5,525 )</w:t>
            </w:r>
          </w:p>
        </w:tc>
        <w:tc>
          <w:tcPr>
            <w:tcW w:w="20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(6,224 )</w:t>
            </w:r>
          </w:p>
        </w:tc>
        <w:tc>
          <w:tcPr>
            <w:tcW w:w="36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6"/>
                <w:szCs w:val="16"/>
                <w:color w:val="auto"/>
              </w:rPr>
            </w:pPr>
          </w:p>
        </w:tc>
        <w:tc>
          <w:tcPr>
            <w:tcW w:w="30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(6,221 )</w:t>
            </w:r>
          </w:p>
        </w:tc>
      </w:tr>
      <w:tr>
        <w:trPr>
          <w:trHeight w:val="216"/>
        </w:trPr>
        <w:tc>
          <w:tcPr>
            <w:tcW w:w="4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1"/>
        </w:trPr>
        <w:tc>
          <w:tcPr>
            <w:tcW w:w="490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reclassifications, net of taxes</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(7 )</w:t>
            </w: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(42 )</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0"/>
                <w:szCs w:val="20"/>
                <w:color w:val="auto"/>
              </w:rPr>
            </w:pPr>
          </w:p>
        </w:tc>
      </w:tr>
      <w:tr>
        <w:trPr>
          <w:trHeight w:val="216"/>
        </w:trPr>
        <w:tc>
          <w:tcPr>
            <w:tcW w:w="4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62"/>
        </w:trPr>
        <w:tc>
          <w:tcPr>
            <w:tcW w:w="490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0"/>
        </w:trPr>
        <w:tc>
          <w:tcPr>
            <w:tcW w:w="4900" w:type="dxa"/>
            <w:vAlign w:val="bottom"/>
          </w:tcPr>
          <w:p>
            <w:pPr>
              <w:ind w:left="160"/>
              <w:spacing w:after="0" w:line="229" w:lineRule="exact"/>
              <w:rPr>
                <w:sz w:val="20"/>
                <w:szCs w:val="20"/>
                <w:color w:val="auto"/>
              </w:rPr>
            </w:pPr>
            <w:r>
              <w:rPr>
                <w:rFonts w:ascii="Times New Roman" w:cs="Times New Roman" w:eastAsia="Times New Roman" w:hAnsi="Times New Roman"/>
                <w:sz w:val="18"/>
                <w:szCs w:val="18"/>
                <w:color w:val="auto"/>
              </w:rPr>
              <w:t xml:space="preserve">comprehensive income, net of taxes </w:t>
            </w:r>
            <w:r>
              <w:rPr>
                <w:rFonts w:ascii="Times New Roman" w:cs="Times New Roman" w:eastAsia="Times New Roman" w:hAnsi="Times New Roman"/>
                <w:sz w:val="24"/>
                <w:szCs w:val="24"/>
                <w:color w:val="auto"/>
                <w:vertAlign w:val="superscript"/>
              </w:rPr>
              <w:t>(1)</w:t>
            </w:r>
          </w:p>
        </w:tc>
        <w:tc>
          <w:tcPr>
            <w:tcW w:w="2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(20 )</w:t>
            </w:r>
          </w:p>
        </w:tc>
        <w:tc>
          <w:tcPr>
            <w:tcW w:w="36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(20 )</w:t>
            </w:r>
          </w:p>
        </w:tc>
        <w:tc>
          <w:tcPr>
            <w:tcW w:w="2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(24 )</w:t>
            </w:r>
          </w:p>
        </w:tc>
        <w:tc>
          <w:tcPr>
            <w:tcW w:w="36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(24 )</w:t>
            </w:r>
          </w:p>
        </w:tc>
      </w:tr>
      <w:tr>
        <w:trPr>
          <w:trHeight w:val="210"/>
        </w:trPr>
        <w:tc>
          <w:tcPr>
            <w:tcW w:w="49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for the period</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(7 )</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(42 )</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r>
      <w:tr>
        <w:trPr>
          <w:trHeight w:val="216"/>
        </w:trPr>
        <w:tc>
          <w:tcPr>
            <w:tcW w:w="49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quarter</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(5,331 )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(5,397 )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(6,068 )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(6,107 )</w:t>
            </w:r>
          </w:p>
        </w:tc>
      </w:tr>
      <w:tr>
        <w:trPr>
          <w:trHeight w:val="20"/>
        </w:trPr>
        <w:tc>
          <w:tcPr>
            <w:tcW w:w="4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-170815</wp:posOffset>
            </wp:positionV>
            <wp:extent cx="7747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-170815</wp:posOffset>
            </wp:positionV>
            <wp:extent cx="76835"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-170815</wp:posOffset>
            </wp:positionV>
            <wp:extent cx="6858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-170815</wp:posOffset>
            </wp:positionV>
            <wp:extent cx="6858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-170815</wp:posOffset>
            </wp:positionV>
            <wp:extent cx="6858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4" w:lineRule="exact"/>
        <w:rPr>
          <w:sz w:val="20"/>
          <w:szCs w:val="20"/>
          <w:color w:val="auto"/>
        </w:rPr>
      </w:pPr>
    </w:p>
    <w:p>
      <w:pPr>
        <w:jc w:val="both"/>
        <w:ind w:left="760" w:hanging="378"/>
        <w:spacing w:after="0" w:line="24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amortization of the unrecognized loss on pension plans, which was charged to “Selling, General and Administrative” Expense on the Consolidated Statements of Operations for all periods presented. The Company recognized income of $8,000 and $12,000 for the three months ended July 30, 2022 and July 31, 2021, respectively, and income of $20,000 and $24,000 for the three months ended July 30, 2022 and July 31, 2021, respectively, as a result of a change in amortization from average remaining future service to average remaining lifetime. There was no related tax effect for the three and six months ended July 30, 2022 and July 31, 2021.</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All share-based payments, including grants of employee stock options and restricted stock, are recognized as an expense in the Consolidated Statements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that will ultimately vest requires judgment. Actual results and future changes in estimates may differ from the Company’s current estimates.</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option-pricing model based on the assumptions in the table below as it relates to stock options granted during the first six months of fiscal 2022 and fiscal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color w:val="auto"/>
              </w:rPr>
              <w:t>July 30, 2022</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color w:val="auto"/>
              </w:rPr>
              <w:t>July 31, 2021</w:t>
            </w:r>
          </w:p>
        </w:tc>
        <w:tc>
          <w:tcPr>
            <w:tcW w:w="100" w:type="dxa"/>
            <w:vAlign w:val="bottom"/>
          </w:tcPr>
          <w:p>
            <w:pPr>
              <w:spacing w:after="0"/>
              <w:rPr>
                <w:sz w:val="16"/>
                <w:szCs w:val="16"/>
                <w:color w:val="auto"/>
              </w:rPr>
            </w:pPr>
          </w:p>
        </w:tc>
      </w:tr>
      <w:tr>
        <w:trPr>
          <w:trHeight w:val="210"/>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109.0%-123.7%</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 - 104.9%</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2.52%-2.87%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 - 0.60%</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 yrs.</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3.0 - 4.0 yrs.</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fair value of options granted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has outstanding performance stock units (PSUs) with a market condition. The respective grant-date fair value and derived service periods assigned to the PSUs were determined using a Monte Carlo model. The valuation included assumptions with respect to the Company’s historical volatility, risk-free rate and cost of equity and the related stock compensation expense was fully expensed by the end of fiscal 2021.</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reviews its long-lived assets for events or changes in circumstances that might indicate the carrying amount of the assets may not be recoverable. The Company’s judgment regarding the identification of impairment indicators is based on operational performance at the store level. Factors considered by the Company that could result in an impairment triggering event include significant changes in the use of assets, a current period operating or cash flow loss, underperformance of a store relative to historical or expected operating results, and an accumulation of costs significantly in excess of the amount originally expected for the construction of the long-lived store assets. The Company assesses the recoverability of the assets by determining whether the carrying value of such assets over their respective remaining lives can be recovered through projected undiscounted future cash flows. The model for undiscounted future cash flows includes assumptions, at the individual store level, with respect to expectations for future sales and gross margin rates as well as an estimate for occupancy costs used to estimate the fair value of the respective store’s operating lease right-of-use asset. The amount of impairment, if any, is measured based on projected discounted future cash flows using a discount rate reflecting the Company’s average cost of funds.</w:t>
      </w:r>
    </w:p>
    <w:p>
      <w:pPr>
        <w:spacing w:after="0" w:line="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recognized non-cash gains of $0.1 million and $0.4 million, respectively, for the second quarter of fiscal 2022 and fiscal 2021 and non-cash gains of $0.6 million and $1.1 million, respectively, for the first six months of fiscal 2022 and fiscal 2021 related to the Company’s decision to close certain retail stores, which resulted in a revaluation of the existing lease liabilities. The portion of the gains that related to previously recorded impairment charges against the operating lease right-of-use asset were included as an offset to previously recorded asset impairment charges. Accordingly, for the second quarter of fiscal 2022 and fiscal 2021, $0.1 million and $0.4 million, respectively, were included as an offset to asset impairment charges. For the first six months of fiscal 2022 and fiscal 2021, $0.4 million and $1.0 million, respectively, were included as an offset to asset impairment charges. The remaining gains for the second quarter and first six months of fiscal 2022 and fiscal 2021 were included as a reduction of store occupancy costs.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adopted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in fiscal 2019. Under ASC 842, the Company determines if an arrangement contains a lease at the inception of a contract. Right-of-use assets represent the Company’s right to use an underlying asset for the lease term and lease liabilities represent the Company’s obligation to make lease payments arising from the lease. Right-of-use (“ROU”) assets and lease liabilities are recognized at the commencement date based on the present value of the remaining future minimum lease payments, initial direct costs and any lease incentives are included in the value of those right-of use assets. As the interest rate implicit in the Company’s leases is not readily determinable, the Company utilizes its incremental borrowing rate, based on information available at the lease measurement date, to determine the present value of future payments. The Company elected the lessee non-lease component separation practical expedient, which permits the Company to not separate non-lease components from the lease components to which they relate. The Company also made an accounting policy election that the recognition requirement of ASC 842 will not be applied to certain, if any, non-store leases, with a term of 12 months or less, recognizing those lease payments on a straight-line basis over the lease term. At July 30, 2022, the Company had no short-term leases.</w:t>
      </w:r>
    </w:p>
    <w:p>
      <w:pPr>
        <w:spacing w:after="0" w:line="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store leases typically contain options that permit renewals for additional periods of up to five years each. In general, for store leases with an initial term of 10 years or more, the options to extend are not considered reasonably certain at lease commencement. For stores leases with an initial term of 5 years, the Company evaluates each lease independently and, when the Company considers it reasonably certain that it will exercise an option to extend, the associated payment of that option will be included in the measurement of the right-of-use asset and lease liability. Renewal options are not included in the lease term for automobile and equipment leases because they are not considered reasonably certain of being exercised at lease commencement. Renewal options were not considered for the Company’s corporate headquarters and distribution center lease, which was entered into in 2006 and was for an initial 20-year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term. At the end of the initial term, the Company will have the opportunity to extend this lease for six additional successive periods of five years.</w:t>
      </w:r>
    </w:p>
    <w:p>
      <w:pPr>
        <w:spacing w:after="0" w:line="1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For store leases, the Company accounts for lease components and non-lease components as a single lease component. Certain store leases may require additional payments based on sales volume, as well as reimbursement for real estate taxes, common area maintenance and insurance, and are expensed as incurred as variable lease costs. Other store leases contain one periodic fixed lease payment that includes real estate taxes, common area maintenance and insurance. These fixed payments are considered part of the lease payment and included in the right-of-use assets and lease liabilities. Tenant allowances are included as an offset to the right-of-use asset and amortized as reductions to rent expense over the associated lease term.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additional information.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new accounting pronouncements, issued or effective during the first six months of fiscal 2022, have had or are expected to have a significant impact on the Company’s Consolidated Financial Statements.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2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212121"/>
        </w:rPr>
        <w:t xml:space="preserve">The Company operates as a retailer of big and tall men’s clothing, which includes stores, direct and wholesale. </w:t>
      </w:r>
      <w:r>
        <w:rPr>
          <w:rFonts w:ascii="Times New Roman" w:cs="Times New Roman" w:eastAsia="Times New Roman" w:hAnsi="Times New Roman"/>
          <w:sz w:val="18"/>
          <w:szCs w:val="18"/>
          <w:color w:val="000000"/>
        </w:rPr>
        <w:t>Revenue is recognized by the operating</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 xml:space="preserve">segment that initiates a customer’s order. Store sales are defined as sales that originate and are fulfilled directly at the store level. Direct sales are defined as sales that originate online, including those initiated online at the store level, on its website or on third-party marketplaces. Wholesale sales are defined as sales made to wholesale customers pursuant to the terms of each customer’s contract with the Company. </w:t>
      </w:r>
      <w:r>
        <w:rPr>
          <w:rFonts w:ascii="Times New Roman" w:cs="Times New Roman" w:eastAsia="Times New Roman" w:hAnsi="Times New Roman"/>
          <w:sz w:val="18"/>
          <w:szCs w:val="18"/>
          <w:color w:val="212121"/>
        </w:rPr>
        <w:t>Generally, all revenues are recognized when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121"/>
        </w:rPr>
        <w:t xml:space="preserve">control of the promised goods is transferred to customers, in an amount that reflects the consideration in exchange for those goods. </w:t>
      </w:r>
      <w:r>
        <w:rPr>
          <w:rFonts w:ascii="Times New Roman" w:cs="Times New Roman" w:eastAsia="Times New Roman" w:hAnsi="Times New Roman"/>
          <w:sz w:val="18"/>
          <w:szCs w:val="18"/>
          <w:color w:val="000000"/>
        </w:rPr>
        <w:t>Sales tax collected from</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customers and remitted to taxing authorities is excluded from revenue and is included as part of accrued expenses on the Consolidated Balance Sheets.</w:t>
      </w:r>
    </w:p>
    <w:p>
      <w:pPr>
        <w:spacing w:after="0" w:line="72" w:lineRule="exact"/>
        <w:rPr>
          <w:sz w:val="20"/>
          <w:szCs w:val="20"/>
          <w:color w:val="auto"/>
        </w:rPr>
      </w:pPr>
    </w:p>
    <w:p>
      <w:pPr>
        <w:ind w:left="760" w:hanging="378"/>
        <w:spacing w:after="0" w:line="281" w:lineRule="auto"/>
        <w:tabs>
          <w:tab w:leader="none" w:pos="760" w:val="left"/>
        </w:tabs>
        <w:numPr>
          <w:ilvl w:val="0"/>
          <w:numId w:val="4"/>
        </w:numPr>
        <w:rPr>
          <w:rFonts w:ascii="Arial" w:cs="Arial" w:eastAsia="Arial" w:hAnsi="Arial"/>
          <w:sz w:val="18"/>
          <w:szCs w:val="18"/>
          <w:color w:val="212121"/>
        </w:rPr>
      </w:pPr>
      <w:r>
        <w:rPr>
          <w:rFonts w:ascii="Times New Roman" w:cs="Times New Roman" w:eastAsia="Times New Roman" w:hAnsi="Times New Roman"/>
          <w:sz w:val="18"/>
          <w:szCs w:val="18"/>
          <w:color w:val="auto"/>
        </w:rPr>
        <w:t>Revenue from the Company’s store operations is recorded upon purchase of merchandise by customers, net of an allowance for sales returns, which is estimated based upon historical experience.</w:t>
      </w:r>
    </w:p>
    <w:p>
      <w:pPr>
        <w:spacing w:after="0" w:line="40" w:lineRule="exact"/>
        <w:rPr>
          <w:rFonts w:ascii="Arial" w:cs="Arial" w:eastAsia="Arial" w:hAnsi="Arial"/>
          <w:sz w:val="18"/>
          <w:szCs w:val="18"/>
          <w:color w:val="212121"/>
        </w:rPr>
      </w:pPr>
    </w:p>
    <w:p>
      <w:pPr>
        <w:ind w:left="760" w:hanging="378"/>
        <w:spacing w:after="0" w:line="265" w:lineRule="auto"/>
        <w:tabs>
          <w:tab w:leader="none" w:pos="760" w:val="left"/>
        </w:tabs>
        <w:numPr>
          <w:ilvl w:val="0"/>
          <w:numId w:val="4"/>
        </w:numPr>
        <w:rPr>
          <w:rFonts w:ascii="Arial" w:cs="Arial" w:eastAsia="Arial" w:hAnsi="Arial"/>
          <w:sz w:val="18"/>
          <w:szCs w:val="18"/>
          <w:color w:val="212121"/>
        </w:rPr>
      </w:pPr>
      <w:r>
        <w:rPr>
          <w:rFonts w:ascii="Times New Roman" w:cs="Times New Roman" w:eastAsia="Times New Roman" w:hAnsi="Times New Roman"/>
          <w:sz w:val="18"/>
          <w:szCs w:val="18"/>
          <w:color w:val="auto"/>
        </w:rPr>
        <w:t>Revenue from the Company’s direct operations is recognized at the time a customer order is delivered, net of an allowance for sales returns, which is estimated based upon historical experience.</w:t>
      </w:r>
    </w:p>
    <w:p>
      <w:pPr>
        <w:spacing w:after="0" w:line="68" w:lineRule="exact"/>
        <w:rPr>
          <w:rFonts w:ascii="Arial" w:cs="Arial" w:eastAsia="Arial" w:hAnsi="Arial"/>
          <w:sz w:val="18"/>
          <w:szCs w:val="18"/>
          <w:color w:val="212121"/>
        </w:rPr>
      </w:pPr>
    </w:p>
    <w:p>
      <w:pPr>
        <w:jc w:val="both"/>
        <w:ind w:left="760" w:hanging="378"/>
        <w:spacing w:after="0" w:line="250" w:lineRule="auto"/>
        <w:tabs>
          <w:tab w:leader="none" w:pos="760" w:val="left"/>
        </w:tabs>
        <w:numPr>
          <w:ilvl w:val="0"/>
          <w:numId w:val="4"/>
        </w:numPr>
        <w:rPr>
          <w:rFonts w:ascii="Arial" w:cs="Arial" w:eastAsia="Arial" w:hAnsi="Arial"/>
          <w:sz w:val="18"/>
          <w:szCs w:val="18"/>
          <w:color w:val="212121"/>
        </w:rPr>
      </w:pPr>
      <w:r>
        <w:rPr>
          <w:rFonts w:ascii="Times New Roman" w:cs="Times New Roman" w:eastAsia="Times New Roman" w:hAnsi="Times New Roman"/>
          <w:sz w:val="18"/>
          <w:szCs w:val="18"/>
          <w:color w:val="auto"/>
        </w:rPr>
        <w:t>Revenue from the Company’s wholesale operations is recognized at the time the wholesale customer takes physical receipt of the merchandise, net of any identified discounts in accordance with each individual order. For the first six months of fiscal 2022 and fiscal 2021, chargebacks were immaterial.</w:t>
      </w:r>
    </w:p>
    <w:p>
      <w:pPr>
        <w:spacing w:after="0" w:line="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Unredeemed Gift Cards, Gift Certificates, and Credit Vouchers. </w:t>
      </w:r>
      <w:r>
        <w:rPr>
          <w:rFonts w:ascii="Times New Roman" w:cs="Times New Roman" w:eastAsia="Times New Roman" w:hAnsi="Times New Roman"/>
          <w:sz w:val="18"/>
          <w:szCs w:val="18"/>
          <w:color w:val="auto"/>
        </w:rPr>
        <w:t>Upon issuance of a gift card, gift certificate, or credit voucher, a liability is established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cash value. The liability is relieved and net sales are recorded upon redemption by the customer. Based on historical redemption patterns, the Company can reasonably estimate the amount of gift cards, gift certificates, and credit vouchers for which redemption is remote, which is referred to as “breakage”. Breakage is recognized over two years in proportion to historical redemption trends and is recorded as sales in the Consolidated Statements of Operations. The gift card liability, net of breakage, was $2.3 million and $3.3 million at July 30, 2022 and January 29, 2022, respectively.</w:t>
      </w:r>
    </w:p>
    <w:p>
      <w:pPr>
        <w:spacing w:after="0" w:line="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Unredeemed Loyalty Coupons. </w:t>
      </w:r>
      <w:r>
        <w:rPr>
          <w:rFonts w:ascii="Times New Roman" w:cs="Times New Roman" w:eastAsia="Times New Roman" w:hAnsi="Times New Roman"/>
          <w:sz w:val="18"/>
          <w:szCs w:val="18"/>
          <w:color w:val="auto"/>
        </w:rPr>
        <w:t>The Company offers a free loyalty program to its customers for which points accumulate based on the purchase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merchandise. Approximately 90% of the Company’s customers participate in the loyalty program. Under ASC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these loyalty points provide the customer with a material right and a distinct performance obligation with revenue deferred and recognized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the points are expected to redeem or expire. The cycle of earning and redeeming loyalty points is generally under one year in duration. The loyalty accrual, net of breakage, was $1.1 million and $1.3 million at July 30, 2022 and January 29, 2022, respectively.</w:t>
      </w:r>
    </w:p>
    <w:p>
      <w:pPr>
        <w:spacing w:after="0" w:line="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Shipping. </w:t>
      </w:r>
      <w:r>
        <w:rPr>
          <w:rFonts w:ascii="Times New Roman" w:cs="Times New Roman" w:eastAsia="Times New Roman" w:hAnsi="Times New Roman"/>
          <w:sz w:val="18"/>
          <w:szCs w:val="18"/>
          <w:color w:val="auto"/>
        </w:rPr>
        <w:t>Shipping and handling costs are accounted for as fulfillment costs and are included in cost of sales for all periods presented. Amounts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shipping and handling that are billed to customers are recorded in sales, and the related costs are recorded in cost of goods sold, including occupancy costs, in the Consolidated Statements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10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As noted above under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in Note 1, the Company’s business consists of one reportable segment, its retail segment. Substantially all of the Company’s revenue is generated from its stores and direct businesses. The operating results from the wholesale segment, which were immaterial, have been aggregated with this reportable segment, but the revenues are separately reported below. Accordingly, the Company has determined that the following sales channels depict the nature, amount, timing, and uncertainty of how revenue and cash flows are affected by economic factors: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00" w:type="dxa"/>
            <w:vAlign w:val="bottom"/>
            <w:gridSpan w:val="6"/>
          </w:tcPr>
          <w:p>
            <w:pPr>
              <w:jc w:val="right"/>
              <w:ind w:right="59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gridSpan w:val="6"/>
          </w:tcPr>
          <w:p>
            <w:pPr>
              <w:jc w:val="right"/>
              <w:ind w:right="590"/>
              <w:spacing w:after="0"/>
              <w:rPr>
                <w:sz w:val="20"/>
                <w:szCs w:val="20"/>
                <w:color w:val="auto"/>
              </w:rPr>
            </w:pPr>
            <w:r>
              <w:rPr>
                <w:rFonts w:ascii="Times New Roman" w:cs="Times New Roman" w:eastAsia="Times New Roman" w:hAnsi="Times New Roman"/>
                <w:sz w:val="18"/>
                <w:szCs w:val="18"/>
                <w:color w:val="auto"/>
              </w:rPr>
              <w:t>For the Six Months Ended</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July 30, 2022</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July 31, 2021</w:t>
            </w:r>
          </w:p>
        </w:tc>
        <w:tc>
          <w:tcPr>
            <w:tcW w:w="10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71.9 %</w:t>
            </w: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July 30, 2022</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July 31, 2021</w:t>
            </w:r>
          </w:p>
        </w:tc>
        <w:tc>
          <w:tcPr>
            <w:tcW w:w="9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70.7 %</w:t>
            </w:r>
          </w:p>
        </w:tc>
        <w:tc>
          <w:tcPr>
            <w:tcW w:w="0" w:type="dxa"/>
            <w:vAlign w:val="bottom"/>
          </w:tcPr>
          <w:p>
            <w:pPr>
              <w:spacing w:after="0"/>
              <w:rPr>
                <w:sz w:val="1"/>
                <w:szCs w:val="1"/>
                <w:color w:val="auto"/>
              </w:rPr>
            </w:pPr>
          </w:p>
        </w:tc>
      </w:tr>
      <w:tr>
        <w:trPr>
          <w:trHeight w:val="209"/>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100,924</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rPr>
              <w:t>69.8 %</w:t>
            </w: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99,043</w:t>
            </w:r>
          </w:p>
        </w:tc>
        <w:tc>
          <w:tcPr>
            <w:tcW w:w="102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189,203</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rPr>
              <w:t>69.6 %</w:t>
            </w: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173,923</w:t>
            </w:r>
          </w:p>
        </w:tc>
        <w:tc>
          <w:tcPr>
            <w:tcW w:w="9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sales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43,693</w:t>
            </w:r>
          </w:p>
        </w:tc>
        <w:tc>
          <w:tcPr>
            <w:tcW w:w="1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30.2 %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38,664</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28.1 %</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82,687</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rPr>
              <w:t>30.4 %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72,206</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rPr>
              <w:t>29.3 %</w:t>
            </w:r>
          </w:p>
        </w:tc>
        <w:tc>
          <w:tcPr>
            <w:tcW w:w="0" w:type="dxa"/>
            <w:vAlign w:val="bottom"/>
          </w:tcPr>
          <w:p>
            <w:pPr>
              <w:spacing w:after="0"/>
              <w:rPr>
                <w:sz w:val="1"/>
                <w:szCs w:val="1"/>
                <w:color w:val="auto"/>
              </w:rPr>
            </w:pPr>
          </w:p>
        </w:tc>
      </w:tr>
      <w:tr>
        <w:trPr>
          <w:trHeight w:val="210"/>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segment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144,617</w:t>
            </w:r>
          </w:p>
        </w:tc>
        <w:tc>
          <w:tcPr>
            <w:tcW w:w="1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137,707</w:t>
            </w:r>
          </w:p>
        </w:tc>
        <w:tc>
          <w:tcPr>
            <w:tcW w:w="1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271,890</w:t>
            </w: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246,129</w:t>
            </w:r>
          </w:p>
        </w:tc>
        <w:tc>
          <w:tcPr>
            <w:tcW w:w="1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Wholesale segment</w:t>
            </w:r>
          </w:p>
        </w:tc>
        <w:tc>
          <w:tcPr>
            <w:tcW w:w="1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144,634</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138,590</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272,289</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250,084</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2832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-170815</wp:posOffset>
            </wp:positionV>
            <wp:extent cx="7747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-170815</wp:posOffset>
            </wp:positionV>
            <wp:extent cx="7747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-170815</wp:posOffset>
            </wp:positionV>
            <wp:extent cx="6858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-170815</wp:posOffset>
            </wp:positionV>
            <wp:extent cx="6858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 with Citizens Bank, N.A.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28, 2021, the Company entered into a credit facility with Citizens Bank, N.A. (the "Credit Facility”).</w:t>
      </w:r>
    </w:p>
    <w:p>
      <w:pPr>
        <w:spacing w:after="0" w:line="10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Credit Facility is a $125.0 million secured, asset-based credit facility with a maturity date of October 28, 2026. The maximum committed borrowing of $125.0 million includes a sublimit of $20.0 million for commercial and standby letter of credits and a sublimit of up to $15.0 million for swing line loans. The Company’s ability to borrow under the Credit Facility is determined using an availability formula based on eligible assets.</w:t>
      </w:r>
    </w:p>
    <w:p>
      <w:pPr>
        <w:spacing w:after="0" w:line="61"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Borrowings made pursuant to the Credit Facility will be made pursuant to either a Base Rate loan or LIBOR Rate loan, at the Company's option. Base Rate loans will bear interest, at a rate equal to (i) the greater of: (a) the Prime Rate, (b) the Federal Funds effective rate plus 0.50% per annum and (c) the daily LIBOR rate plus 1.00% per annum, plus (ii) a varying percentage, based on the Company’s average excess availability, of either 0.25% or 0.50%. LIBOR Rate loans, which may be either for 1 month or 3 months, will bear interest at (i) the LIBOR rate, or the Benchmark Rate as defined in the credit agreement plus (ii) a varying percentage based on the Company’s average excess availability, of either 1.25% or 1.50%. Any swingline loan will bear interest at a rate equal to the rate of a Base Rate loan, plus a varying percentage based on the Company’s average excess availability, of either 0.25% or 0.50%. The Company will be subject to an unused line fee of 0.25%.</w:t>
      </w:r>
    </w:p>
    <w:p>
      <w:pPr>
        <w:spacing w:after="0" w:line="73"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The Company’s obligations under the Credit Facility are secured by a lien on substantially all of its assets. If the Company’s availability under the Credit Facility at any time is less than the greater of (i) 10% of the Revolving Loan Cap (the lesser of the aggregate revolving commitments or the borrowing base) and (ii) $7.5 million, then the Company is required to maintain a minimum consolidated fixed charge coverage ratio of 1.0:1.0 until such time as availability has exceeded the greater of (1) 10% of the Revolving Loan Cap and (2) $7.5 million for 30 consecutive days.</w:t>
      </w:r>
    </w:p>
    <w:p>
      <w:pPr>
        <w:spacing w:after="0" w:line="83"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At July 30, 2022, the Company had no borrowings outstanding under the revolving credit facility and availability under the Credit Facility was $85.1 million. The Company had no borrowings during the first six months of fiscal 2022, resulting in an average unused excess availability of approximately $79.9 million. Outstanding standby letters of credit were $2.4 million and outstanding documentary letters were $1.0 million at July 30, 2022. At July 30, 2022, the Company’s prime-based interest rate was 5.75%.</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and repayments for the first six months ended July 31, 2021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4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color w:val="auto"/>
              </w:rPr>
              <w:t>For the six months ended</w:t>
            </w:r>
          </w:p>
        </w:tc>
        <w:tc>
          <w:tcPr>
            <w:tcW w:w="0" w:type="dxa"/>
            <w:vAlign w:val="bottom"/>
          </w:tcPr>
          <w:p>
            <w:pPr>
              <w:spacing w:after="0"/>
              <w:rPr>
                <w:sz w:val="1"/>
                <w:szCs w:val="1"/>
                <w:color w:val="auto"/>
              </w:rPr>
            </w:pPr>
          </w:p>
        </w:tc>
      </w:tr>
      <w:tr>
        <w:trPr>
          <w:trHeight w:val="185"/>
        </w:trPr>
        <w:tc>
          <w:tcPr>
            <w:tcW w:w="81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color w:val="auto"/>
              </w:rPr>
              <w:t>July 31, 2021</w:t>
            </w:r>
          </w:p>
        </w:tc>
        <w:tc>
          <w:tcPr>
            <w:tcW w:w="0" w:type="dxa"/>
            <w:vAlign w:val="bottom"/>
          </w:tcPr>
          <w:p>
            <w:pPr>
              <w:spacing w:after="0"/>
              <w:rPr>
                <w:sz w:val="1"/>
                <w:szCs w:val="1"/>
                <w:color w:val="auto"/>
              </w:rPr>
            </w:pPr>
          </w:p>
        </w:tc>
      </w:tr>
      <w:tr>
        <w:trPr>
          <w:trHeight w:val="210"/>
        </w:trPr>
        <w:tc>
          <w:tcPr>
            <w:tcW w:w="8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52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Repayments</w:t>
            </w: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(93,429 )</w:t>
            </w:r>
          </w:p>
        </w:tc>
        <w:tc>
          <w:tcPr>
            <w:tcW w:w="0" w:type="dxa"/>
            <w:vAlign w:val="bottom"/>
          </w:tcPr>
          <w:p>
            <w:pPr>
              <w:spacing w:after="0"/>
              <w:rPr>
                <w:sz w:val="1"/>
                <w:szCs w:val="1"/>
                <w:color w:val="auto"/>
              </w:rPr>
            </w:pPr>
          </w:p>
        </w:tc>
      </w:tr>
      <w:tr>
        <w:trPr>
          <w:trHeight w:val="20"/>
        </w:trPr>
        <w:tc>
          <w:tcPr>
            <w:tcW w:w="814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borrowings (repayments)</w:t>
            </w:r>
          </w:p>
        </w:tc>
        <w:tc>
          <w:tcPr>
            <w:tcW w:w="5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(59,733 )</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outstanding long-term debt during the first six months of fiscal 2022.</w:t>
      </w:r>
    </w:p>
    <w:p>
      <w:pPr>
        <w:spacing w:after="0" w:line="10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During the first quarter of fiscal 2021, the Company refinanced its then existing $15.0 million FILO (first-in, last-out) loan and entered into a new $17.5 million FILO loan, which was subsequently repaid in full in September 2021.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interest and fees totaling $0.1 million and $1.7 million for the six months ended July 30, 2022 and July 31, 2021,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324"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18"/>
          <w:szCs w:val="18"/>
          <w:color w:val="auto"/>
        </w:rPr>
        <w:t>The Company leases all of its store locations and its corporate headquarters, which also includes its distribution center, under operating leases. The store leases typically have initial terms of 5 years to 10 years, with options that usually permit renewal for additional five-year periods. The initial term of the lease for the corporate headquarter was for 20 years, with the opportunity to extend for six additional</w:t>
      </w:r>
    </w:p>
    <w:p>
      <w:pPr>
        <w:spacing w:after="0" w:line="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24" w:right="279" w:bottom="1440" w:gutter="0" w:footer="0" w:header="0"/>
        </w:sectPr>
      </w:pPr>
    </w:p>
    <w:bookmarkStart w:id="12" w:name="page13"/>
    <w:bookmarkEnd w:id="12"/>
    <w:p>
      <w:pPr>
        <w:jc w:val="both"/>
        <w:spacing w:after="0" w:line="258" w:lineRule="auto"/>
        <w:rPr>
          <w:sz w:val="20"/>
          <w:szCs w:val="20"/>
          <w:color w:val="auto"/>
        </w:rPr>
      </w:pPr>
      <w:r>
        <w:rPr>
          <w:rFonts w:ascii="Times New Roman" w:cs="Times New Roman" w:eastAsia="Times New Roman" w:hAnsi="Times New Roman"/>
          <w:sz w:val="18"/>
          <w:szCs w:val="18"/>
          <w:color w:val="auto"/>
        </w:rPr>
        <w:t>consecutive periods of five years, beginning in fiscal 2026. The Company also leases certain equipment and other assets under operating leases, typically with initial terms of 3 to 5 years. The Company is generally obligated for the cost of property taxes, insurance and common area maintenance fees relating to its leases, which are considered variable lease costs and are expensed as incurred.</w:t>
      </w:r>
    </w:p>
    <w:p>
      <w:pPr>
        <w:spacing w:after="0" w:line="61"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8"/>
          <w:szCs w:val="18"/>
          <w:color w:val="auto"/>
        </w:rPr>
        <w:t>ASC 842 requires the assessment of any lease modification to determine if the modification should be treated as a separate lease and if not, modification accounting would be applied. Lease modification accounting requires the recalculation of the ROU asset, lease liability and lease expense over the respective lease term. In April 2020, the FASB issued guidance allowing entities to make a policy election to account for lease concessions related to the COVID-19 pandemic as though enforceable rights and obligations for those concessions existed. The election applies to any lessor-provided lease concession related to the impact of the COVID-19 pandemic, provided the concession does not result in a substantial increase in the rights of the lessor or in the obligations of the lessee. The Company opted not to elect this practical expedient and instead accounted for these rent concessions as lease modifications in accordance with ASC 842. As of July 30, 2022, the Company’s operating leases liabilities represent the present value of the remaining future minimum lease payments updated based on concessions and lease modifications.</w:t>
      </w:r>
    </w:p>
    <w:p>
      <w:pPr>
        <w:spacing w:after="0" w:line="92" w:lineRule="exact"/>
        <w:rPr>
          <w:sz w:val="20"/>
          <w:szCs w:val="20"/>
          <w:color w:val="auto"/>
        </w:rPr>
      </w:pPr>
    </w:p>
    <w:p>
      <w:pPr>
        <w:ind w:right="400"/>
        <w:spacing w:after="0" w:line="250" w:lineRule="auto"/>
        <w:rPr>
          <w:sz w:val="20"/>
          <w:szCs w:val="20"/>
          <w:color w:val="auto"/>
        </w:rPr>
      </w:pPr>
      <w:r>
        <w:rPr>
          <w:rFonts w:ascii="Times New Roman" w:cs="Times New Roman" w:eastAsia="Times New Roman" w:hAnsi="Times New Roman"/>
          <w:sz w:val="18"/>
          <w:szCs w:val="18"/>
          <w:color w:val="auto"/>
        </w:rPr>
        <w:t>Lease costs related to store locations are included in cost of goods sold including occupancy costs on the Consolidated Statements of Operations, and expenses and lease costs related to the corporate headquarters and equipment leases are included in selling, general and administrative expenses on the Consolidated Statements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the Company’s components of net lease cost for the three and six months ended July 30, 2022 and July 31, 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0" w:type="dxa"/>
            <w:vAlign w:val="bottom"/>
            <w:gridSpan w:val="7"/>
            <w:shd w:val="clear" w:color="auto" w:fill="CFF0FC"/>
          </w:tcPr>
          <w:p>
            <w:pPr>
              <w:jc w:val="right"/>
              <w:ind w:right="78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0" w:type="dxa"/>
            <w:vAlign w:val="bottom"/>
            <w:gridSpan w:val="8"/>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For the six months ended</w:t>
            </w:r>
          </w:p>
        </w:tc>
      </w:tr>
      <w:tr>
        <w:trPr>
          <w:trHeight w:val="176"/>
        </w:trPr>
        <w:tc>
          <w:tcPr>
            <w:tcW w:w="4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jc w:val="right"/>
              <w:ind w:right="300"/>
              <w:spacing w:after="0" w:line="176" w:lineRule="exact"/>
              <w:rPr>
                <w:sz w:val="20"/>
                <w:szCs w:val="20"/>
                <w:color w:val="auto"/>
              </w:rPr>
            </w:pPr>
            <w:r>
              <w:rPr>
                <w:rFonts w:ascii="Times New Roman" w:cs="Times New Roman" w:eastAsia="Times New Roman" w:hAnsi="Times New Roman"/>
                <w:sz w:val="18"/>
                <w:szCs w:val="18"/>
                <w:color w:val="auto"/>
                <w:w w:val="96"/>
              </w:rPr>
              <w:t>July 30, 2022</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gridSpan w:val="3"/>
          </w:tcPr>
          <w:p>
            <w:pPr>
              <w:jc w:val="right"/>
              <w:ind w:right="320"/>
              <w:spacing w:after="0" w:line="176" w:lineRule="exact"/>
              <w:rPr>
                <w:sz w:val="20"/>
                <w:szCs w:val="20"/>
                <w:color w:val="auto"/>
              </w:rPr>
            </w:pPr>
            <w:r>
              <w:rPr>
                <w:rFonts w:ascii="Times New Roman" w:cs="Times New Roman" w:eastAsia="Times New Roman" w:hAnsi="Times New Roman"/>
                <w:sz w:val="18"/>
                <w:szCs w:val="18"/>
                <w:color w:val="auto"/>
              </w:rPr>
              <w:t>July 31, 2021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3"/>
          </w:tcPr>
          <w:p>
            <w:pPr>
              <w:jc w:val="right"/>
              <w:ind w:right="300"/>
              <w:spacing w:after="0" w:line="176" w:lineRule="exact"/>
              <w:rPr>
                <w:sz w:val="20"/>
                <w:szCs w:val="20"/>
                <w:color w:val="auto"/>
              </w:rPr>
            </w:pPr>
            <w:r>
              <w:rPr>
                <w:rFonts w:ascii="Times New Roman" w:cs="Times New Roman" w:eastAsia="Times New Roman" w:hAnsi="Times New Roman"/>
                <w:sz w:val="18"/>
                <w:szCs w:val="18"/>
                <w:color w:val="auto"/>
              </w:rPr>
              <w:t>July 30, 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gridSpan w:val="4"/>
          </w:tcPr>
          <w:p>
            <w:pPr>
              <w:ind w:left="100"/>
              <w:spacing w:after="0" w:line="176" w:lineRule="exact"/>
              <w:rPr>
                <w:sz w:val="20"/>
                <w:szCs w:val="20"/>
                <w:color w:val="auto"/>
              </w:rPr>
            </w:pPr>
            <w:r>
              <w:rPr>
                <w:rFonts w:ascii="Times New Roman" w:cs="Times New Roman" w:eastAsia="Times New Roman" w:hAnsi="Times New Roman"/>
                <w:sz w:val="18"/>
                <w:szCs w:val="18"/>
                <w:color w:val="auto"/>
              </w:rPr>
              <w:t>July 31, 2021</w:t>
            </w:r>
          </w:p>
        </w:tc>
      </w:tr>
      <w:tr>
        <w:trPr>
          <w:trHeight w:val="20"/>
        </w:trPr>
        <w:tc>
          <w:tcPr>
            <w:tcW w:w="4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10,744</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10,516</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21,758</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21,642</w:t>
            </w:r>
          </w:p>
        </w:tc>
        <w:tc>
          <w:tcPr>
            <w:tcW w:w="100" w:type="dxa"/>
            <w:vAlign w:val="bottom"/>
          </w:tcPr>
          <w:p>
            <w:pPr>
              <w:spacing w:after="0"/>
              <w:rPr>
                <w:sz w:val="18"/>
                <w:szCs w:val="18"/>
                <w:color w:val="auto"/>
              </w:rPr>
            </w:pPr>
          </w:p>
        </w:tc>
      </w:tr>
      <w:tr>
        <w:trPr>
          <w:trHeight w:val="216"/>
        </w:trPr>
        <w:tc>
          <w:tcPr>
            <w:tcW w:w="4000" w:type="dxa"/>
            <w:vAlign w:val="bottom"/>
            <w:tcBorders>
              <w:bottom w:val="single" w:sz="8" w:color="CFF0FC"/>
            </w:tcBorders>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Variable lease costs</w:t>
            </w:r>
            <w:r>
              <w:rPr>
                <w:rFonts w:ascii="Times New Roman" w:cs="Times New Roman" w:eastAsia="Times New Roman" w:hAnsi="Times New Roman"/>
                <w:sz w:val="24"/>
                <w:szCs w:val="24"/>
                <w:color w:val="auto"/>
                <w:vertAlign w:val="superscript"/>
              </w:rPr>
              <w:t>(1)</w:t>
            </w: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3,436</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6,273</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13,863</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13,952</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28,031</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28,823</w:t>
            </w:r>
          </w:p>
        </w:tc>
        <w:tc>
          <w:tcPr>
            <w:tcW w:w="100" w:type="dxa"/>
            <w:vAlign w:val="bottom"/>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-170815</wp:posOffset>
            </wp:positionV>
            <wp:extent cx="7747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-170815</wp:posOffset>
            </wp:positionV>
            <wp:extent cx="6858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5"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Variable lease costs include the cost of property taxes, insurance and common area maintenance fees related to its leases.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and balance sheet information related to leases for the first six months ended July 30, 2022 and July 31, 2021 is as follows: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520" w:type="dxa"/>
            <w:vAlign w:val="bottom"/>
            <w:shd w:val="clear" w:color="auto" w:fill="CFF0FC"/>
          </w:tcPr>
          <w:p>
            <w:pPr>
              <w:spacing w:after="0"/>
              <w:rPr>
                <w:sz w:val="18"/>
                <w:szCs w:val="18"/>
                <w:color w:val="auto"/>
              </w:rPr>
            </w:pPr>
          </w:p>
        </w:tc>
        <w:tc>
          <w:tcPr>
            <w:tcW w:w="3360" w:type="dxa"/>
            <w:vAlign w:val="bottom"/>
            <w:gridSpan w:val="5"/>
            <w:shd w:val="clear" w:color="auto" w:fill="CFF0FC"/>
          </w:tcPr>
          <w:p>
            <w:pPr>
              <w:jc w:val="right"/>
              <w:ind w:right="980"/>
              <w:spacing w:after="0"/>
              <w:rPr>
                <w:sz w:val="20"/>
                <w:szCs w:val="20"/>
                <w:color w:val="auto"/>
              </w:rPr>
            </w:pPr>
            <w:r>
              <w:rPr>
                <w:rFonts w:ascii="Times New Roman" w:cs="Times New Roman" w:eastAsia="Times New Roman" w:hAnsi="Times New Roman"/>
                <w:sz w:val="18"/>
                <w:szCs w:val="18"/>
                <w:color w:val="auto"/>
              </w:rPr>
              <w:t>For the six months ended</w:t>
            </w:r>
          </w:p>
        </w:tc>
      </w:tr>
      <w:tr>
        <w:trPr>
          <w:trHeight w:val="175"/>
        </w:trPr>
        <w:tc>
          <w:tcPr>
            <w:tcW w:w="7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520" w:type="dxa"/>
            <w:vAlign w:val="bottom"/>
          </w:tcPr>
          <w:p>
            <w:pPr>
              <w:spacing w:after="0"/>
              <w:rPr>
                <w:sz w:val="15"/>
                <w:szCs w:val="15"/>
                <w:color w:val="auto"/>
              </w:rPr>
            </w:pPr>
          </w:p>
        </w:tc>
        <w:tc>
          <w:tcPr>
            <w:tcW w:w="98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July 30, 2022</w:t>
            </w: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July 31, 2021</w:t>
            </w:r>
          </w:p>
        </w:tc>
        <w:tc>
          <w:tcPr>
            <w:tcW w:w="460" w:type="dxa"/>
            <w:vAlign w:val="bottom"/>
          </w:tcPr>
          <w:p>
            <w:pPr>
              <w:spacing w:after="0"/>
              <w:rPr>
                <w:sz w:val="15"/>
                <w:szCs w:val="15"/>
                <w:color w:val="auto"/>
              </w:rPr>
            </w:pPr>
          </w:p>
        </w:tc>
      </w:tr>
      <w:tr>
        <w:trPr>
          <w:trHeight w:val="237"/>
        </w:trPr>
        <w:tc>
          <w:tcPr>
            <w:tcW w:w="7360" w:type="dxa"/>
            <w:vAlign w:val="bottom"/>
          </w:tcPr>
          <w:p>
            <w:pPr>
              <w:ind w:left="120"/>
              <w:spacing w:after="0" w:line="236" w:lineRule="exact"/>
              <w:rPr>
                <w:sz w:val="20"/>
                <w:szCs w:val="20"/>
                <w:color w:val="auto"/>
              </w:rPr>
            </w:pPr>
            <w:r>
              <w:rPr>
                <w:rFonts w:ascii="Times New Roman" w:cs="Times New Roman" w:eastAsia="Times New Roman" w:hAnsi="Times New Roman"/>
                <w:sz w:val="18"/>
                <w:szCs w:val="18"/>
                <w:color w:val="auto"/>
              </w:rPr>
              <w:t xml:space="preserve">Operating cash flows for operating leases </w:t>
            </w:r>
            <w:r>
              <w:rPr>
                <w:rFonts w:ascii="Times New Roman" w:cs="Times New Roman" w:eastAsia="Times New Roman" w:hAnsi="Times New Roman"/>
                <w:sz w:val="24"/>
                <w:szCs w:val="24"/>
                <w:color w:val="auto"/>
                <w:vertAlign w:val="superscript"/>
              </w:rPr>
              <w:t>(1)</w:t>
            </w:r>
          </w:p>
        </w:tc>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28,281</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30,954</w:t>
            </w: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operating activities:</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7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5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14,167</w:t>
            </w:r>
          </w:p>
        </w:tc>
        <w:tc>
          <w:tcPr>
            <w:tcW w:w="5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4,749</w:t>
            </w:r>
          </w:p>
        </w:tc>
      </w:tr>
      <w:tr>
        <w:trPr>
          <w:trHeight w:val="216"/>
        </w:trPr>
        <w:tc>
          <w:tcPr>
            <w:tcW w:w="73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520" w:type="dxa"/>
            <w:vAlign w:val="bottom"/>
          </w:tcPr>
          <w:p>
            <w:pPr>
              <w:spacing w:after="0"/>
              <w:rPr>
                <w:sz w:val="18"/>
                <w:szCs w:val="18"/>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4.4 yrs.</w:t>
            </w:r>
          </w:p>
        </w:tc>
        <w:tc>
          <w:tcPr>
            <w:tcW w:w="500" w:type="dxa"/>
            <w:vAlign w:val="bottom"/>
          </w:tcPr>
          <w:p>
            <w:pPr>
              <w:spacing w:after="0"/>
              <w:rPr>
                <w:sz w:val="18"/>
                <w:szCs w:val="18"/>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4.3 yrs.</w:t>
            </w:r>
          </w:p>
        </w:tc>
      </w:tr>
      <w:tr>
        <w:trPr>
          <w:trHeight w:val="21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6.56%</w:t>
            </w:r>
          </w:p>
        </w:tc>
        <w:tc>
          <w:tcPr>
            <w:tcW w:w="4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6.87%</w:t>
            </w:r>
          </w:p>
        </w:tc>
        <w:tc>
          <w:tcPr>
            <w:tcW w:w="46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-822325</wp:posOffset>
            </wp:positionV>
            <wp:extent cx="71323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1"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paid for the first six months of fiscal 2022 and fiscal 2021 includes prepaid rent of $3.6 million and $3.8 million, respectively.</w:t>
      </w:r>
    </w:p>
    <w:p>
      <w:pPr>
        <w:spacing w:after="0" w:line="1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 w:name="page14"/>
    <w:bookmarkEnd w:id="13"/>
    <w:p>
      <w:pPr>
        <w:jc w:val="both"/>
        <w:spacing w:after="0" w:line="313"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and total of the remaining years to the operating lease liabilities recorded on the Consolidated Balance Sheet as of July 30, 2022: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 (remaining)</w:t>
            </w:r>
          </w:p>
        </w:tc>
        <w:tc>
          <w:tcPr>
            <w:tcW w:w="3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21,146</w:t>
            </w: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4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47,506</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38,912</w:t>
            </w: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30,624</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18,252</w:t>
            </w:r>
          </w:p>
        </w:tc>
        <w:tc>
          <w:tcPr>
            <w:tcW w:w="100" w:type="dxa"/>
            <w:vAlign w:val="bottom"/>
          </w:tcPr>
          <w:p>
            <w:pPr>
              <w:spacing w:after="0"/>
              <w:rPr>
                <w:sz w:val="18"/>
                <w:szCs w:val="18"/>
                <w:color w:val="auto"/>
              </w:rPr>
            </w:pPr>
          </w:p>
        </w:tc>
      </w:tr>
      <w:tr>
        <w:trPr>
          <w:trHeight w:val="216"/>
        </w:trPr>
        <w:tc>
          <w:tcPr>
            <w:tcW w:w="6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173,509</w:t>
            </w:r>
          </w:p>
        </w:tc>
        <w:tc>
          <w:tcPr>
            <w:tcW w:w="100" w:type="dxa"/>
            <w:vAlign w:val="bottom"/>
          </w:tcPr>
          <w:p>
            <w:pPr>
              <w:spacing w:after="0"/>
              <w:rPr>
                <w:sz w:val="18"/>
                <w:szCs w:val="18"/>
                <w:color w:val="auto"/>
              </w:rPr>
            </w:pPr>
          </w:p>
        </w:tc>
      </w:tr>
      <w:tr>
        <w:trPr>
          <w:trHeight w:val="216"/>
        </w:trPr>
        <w:tc>
          <w:tcPr>
            <w:tcW w:w="6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34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3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151,570</w:t>
            </w:r>
          </w:p>
        </w:tc>
        <w:tc>
          <w:tcPr>
            <w:tcW w:w="100" w:type="dxa"/>
            <w:vAlign w:val="bottom"/>
          </w:tcPr>
          <w:p>
            <w:pPr>
              <w:spacing w:after="0"/>
              <w:rPr>
                <w:sz w:val="18"/>
                <w:szCs w:val="18"/>
                <w:color w:val="auto"/>
              </w:rPr>
            </w:pPr>
          </w:p>
        </w:tc>
      </w:tr>
      <w:tr>
        <w:trPr>
          <w:trHeight w:val="216"/>
        </w:trPr>
        <w:tc>
          <w:tcPr>
            <w:tcW w:w="6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34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3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114,456</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-722630</wp:posOffset>
            </wp:positionV>
            <wp:extent cx="68580"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-439420</wp:posOffset>
            </wp:positionV>
            <wp:extent cx="68580"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145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Long-Term Incentive Plans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following is a summary of the Company’s Long-Term Incentive Plan (“LTIP”). All equity awards granted under long-term incentive plans are issued from the Company’s stockholder-approved 2016 Incentive Compensation Plan. See Note 6,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LTIPs are granted annually and each LTIP covers a three-year performance period. Each participant in the LTIP participates based on that participant’s “Target Cash Value” which is defined as the participant’s annual base salary (on the participant’s effective date) multiplied by his or her LTIP percentage. Under each LTIP, 50% of each participant’s Target Cash Value is subject to time-based vesting and 50% is subject to performance-based vesting. Awards for any achievement of performance targets are not granted until the performance targets are achieved and then are subject to additional vesting through August 31 following the end of the applicable performance period.</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2019-2021 LTIP</w:t>
      </w:r>
    </w:p>
    <w:p>
      <w:pPr>
        <w:spacing w:after="0" w:line="2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performance targets for the Company’s 2019-2021 LTIP were approved by the Compensation Committee of the Board of Directors (the "Compensation Committee”) on August 7, 2019 and covered a three-year period performance period, which ended on January 29, 2022. The time-vested portion of the 2019-2021 LTIP vests in four annual installments, with the remaining installment vesting on April 1, 2023.</w:t>
      </w:r>
    </w:p>
    <w:p>
      <w:pPr>
        <w:spacing w:after="0" w:line="1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the first quarter of fiscal 2022, on March 21, 2022, the Compensation Committee approved a 141.9% payout of its performance targets for the 2019-2021 LTIP. On that date, the Company granted awards totaling $2.7 million, in a combination of 50% cash and 50% restricted stock units (RSUs), which will vest, net of any forfeitures, on August 31, 2022. In connection with the grant of 269,162 RSUs, the Company reclassified $1.1 million of its liability accrual from “Accrued expenses and other current liabilities” to “Additional paid-in capital” in the first quarter of fiscal 2022. See the Consolidated Statement of Changes in Stockholders’ Equity.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Active LTIPs</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July 30, 2022, the Company had three active LTIPs: the 2020-2022 LTIP, the 2021-2023 LTIP and the 2022-2024 LTIP. The time-based awards under the 2020-2022 LTIP were granted in a combination of 50% stock options and 50% cash; the 2021-2023 LTIP time-based awards were granted in a combination of 25% stock options and 75% cash; and the 2022-2024 LTIP time-based awards were granted in a combination of 50% RSUs and 50% cash.</w:t>
      </w:r>
    </w:p>
    <w:p>
      <w:pPr>
        <w:spacing w:after="0" w:line="61"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8"/>
          <w:szCs w:val="18"/>
          <w:color w:val="auto"/>
        </w:rPr>
        <w:t>Performance targets for the 2020-2022 LTIP, 2021-2023 LTIP and 2022-2024 LTIP were established and approved by the Compensation Committee on June 11, 2020, March 8, 2021 and April 9, 2022, respectively. The performance period for each LTIP is three years. Awards for any achievement of performance targets will not be granted until the performance targets are achieved and then will be subject to additional vesting through August 31, 2023, August 31, 2024 and August 31, 2025, respectively. The time-based awards under the 2020-2022 LTIP, 2021-2023 LTIP and 2022-2024 LTIP vest in four equal installments through April 1, 2024, April 1, 2025 and April 1, 2026, respectively. Assuming that the Company achieves the performance targets at target levels and all time-based awards vest, the compensation expense associated with the 2020-2022 LTIP, 2021-2023 LTIP and 2022-2024 LTIP is estimated to be approximately $3.8 million, $4.0 million and $4.5 million, respectively. Approximately half of the compensation expense for each LTIP relates to the time-based awards, which are being expensed straight-line over 46 months, 49 months and 48 months, respectively.</w:t>
      </w:r>
    </w:p>
    <w:p>
      <w:pPr>
        <w:spacing w:after="0" w:line="9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At July 30, 2022, the Company had accrued $1.9 million under the 2020-2022 LTIP, $1.2 million under the 2021-2023 LTIP and $0.2 million under the 2022-2024 LTIP for the performance awards.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121"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The Company has one active stock-based compensation plan: the 2016 Incentive Compensation Plan (the “2016 Plan”). The initial share reserve under the 2016 Plan was 5,725,538 shares of common stock.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 the outstanding reserve by a fixed ratio of 1.9 shares for every share granted. The Company’s shareholders approved amendments to increase the share reserve by 2,800,000 shares on August 8, 2019, an additional 1,740,000 shares on August 12, 2020 and an additional 4,855,000 on August 5, 2021. At July 30, 2022, the Company had 3,825,095 shares available under the 2016 Plan.</w:t>
      </w:r>
    </w:p>
    <w:p>
      <w:pPr>
        <w:spacing w:after="0" w:line="8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In accordance with the terms of the 2016 Plan, any shares outstanding under the previous 2006 Incentive Compensation Plan (the “2006 Plan”) at August 4, 2016 that subsequently terminate, expire or are cancelled for any reason without having been exercised or paid are added back and become available for issuance under the 2016 Plan, with stock options being added back on a one-for-one basis and full-value awards being added back on a 1 to 1.9 basis. At July 30, 2022, 298,231 stock options remained outstanding under the 2006 Plan.</w:t>
      </w:r>
    </w:p>
    <w:p>
      <w:pPr>
        <w:spacing w:after="0" w:line="86" w:lineRule="exact"/>
        <w:rPr>
          <w:sz w:val="20"/>
          <w:szCs w:val="20"/>
          <w:color w:val="auto"/>
        </w:rPr>
      </w:pPr>
    </w:p>
    <w:p>
      <w:pPr>
        <w:jc w:val="both"/>
        <w:ind w:right="220"/>
        <w:spacing w:after="0" w:line="250" w:lineRule="auto"/>
        <w:rPr>
          <w:sz w:val="20"/>
          <w:szCs w:val="20"/>
          <w:color w:val="auto"/>
        </w:rPr>
      </w:pPr>
      <w:r>
        <w:rPr>
          <w:rFonts w:ascii="Times New Roman" w:cs="Times New Roman" w:eastAsia="Times New Roman" w:hAnsi="Times New Roman"/>
          <w:sz w:val="18"/>
          <w:szCs w:val="18"/>
          <w:color w:val="auto"/>
        </w:rPr>
        <w:t>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unless such award has been outstanding for a minimum period of one year from its date of grant.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share activity and stock option activity for the first six months of fiscal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78"/>
              <w:spacing w:after="0"/>
              <w:rPr>
                <w:sz w:val="20"/>
                <w:szCs w:val="20"/>
                <w:color w:val="auto"/>
              </w:rPr>
            </w:pPr>
            <w:r>
              <w:rPr>
                <w:rFonts w:ascii="Times New Roman" w:cs="Times New Roman" w:eastAsia="Times New Roman" w:hAnsi="Times New Roman"/>
                <w:sz w:val="14"/>
                <w:szCs w:val="14"/>
                <w:color w:val="auto"/>
              </w:rPr>
              <w:t>Weighted-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540" w:type="dxa"/>
            <w:vAlign w:val="bottom"/>
          </w:tcPr>
          <w:p>
            <w:pPr>
              <w:spacing w:after="0"/>
              <w:rPr>
                <w:sz w:val="13"/>
                <w:szCs w:val="13"/>
                <w:color w:val="auto"/>
              </w:rPr>
            </w:pPr>
          </w:p>
        </w:tc>
        <w:tc>
          <w:tcPr>
            <w:tcW w:w="11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 xml:space="preserve">RSUs </w:t>
            </w:r>
            <w:r>
              <w:rPr>
                <w:rFonts w:ascii="Times New Roman" w:cs="Times New Roman" w:eastAsia="Times New Roman" w:hAnsi="Times New Roman"/>
                <w:sz w:val="19"/>
                <w:szCs w:val="19"/>
                <w:color w:val="auto"/>
                <w:vertAlign w:val="superscript"/>
              </w:rPr>
              <w:t>(1)</w:t>
            </w:r>
          </w:p>
        </w:tc>
        <w:tc>
          <w:tcPr>
            <w:tcW w:w="880" w:type="dxa"/>
            <w:vAlign w:val="bottom"/>
          </w:tcPr>
          <w:p>
            <w:pPr>
              <w:jc w:val="right"/>
              <w:ind w:right="96"/>
              <w:spacing w:after="0" w:line="158" w:lineRule="exact"/>
              <w:rPr>
                <w:sz w:val="20"/>
                <w:szCs w:val="20"/>
                <w:color w:val="auto"/>
              </w:rPr>
            </w:pPr>
            <w:r>
              <w:rPr>
                <w:rFonts w:ascii="Times New Roman" w:cs="Times New Roman" w:eastAsia="Times New Roman" w:hAnsi="Times New Roman"/>
                <w:sz w:val="14"/>
                <w:szCs w:val="14"/>
                <w:color w:val="auto"/>
              </w:rPr>
              <w:t>Deferred</w:t>
            </w:r>
          </w:p>
        </w:tc>
        <w:tc>
          <w:tcPr>
            <w:tcW w:w="240" w:type="dxa"/>
            <w:vAlign w:val="bottom"/>
          </w:tcPr>
          <w:p>
            <w:pPr>
              <w:spacing w:after="0"/>
              <w:rPr>
                <w:sz w:val="13"/>
                <w:szCs w:val="13"/>
                <w:color w:val="auto"/>
              </w:rPr>
            </w:pPr>
          </w:p>
        </w:tc>
        <w:tc>
          <w:tcPr>
            <w:tcW w:w="960" w:type="dxa"/>
            <w:vAlign w:val="bottom"/>
          </w:tcPr>
          <w:p>
            <w:pPr>
              <w:jc w:val="right"/>
              <w:ind w:right="37"/>
              <w:spacing w:after="0" w:line="158" w:lineRule="exact"/>
              <w:rPr>
                <w:sz w:val="20"/>
                <w:szCs w:val="20"/>
                <w:color w:val="auto"/>
              </w:rPr>
            </w:pPr>
            <w:r>
              <w:rPr>
                <w:rFonts w:ascii="Times New Roman" w:cs="Times New Roman" w:eastAsia="Times New Roman" w:hAnsi="Times New Roman"/>
                <w:sz w:val="14"/>
                <w:szCs w:val="14"/>
                <w:color w:val="auto"/>
              </w:rPr>
              <w:t>Performance</w:t>
            </w:r>
          </w:p>
        </w:tc>
        <w:tc>
          <w:tcPr>
            <w:tcW w:w="220" w:type="dxa"/>
            <w:vAlign w:val="bottom"/>
          </w:tcPr>
          <w:p>
            <w:pPr>
              <w:spacing w:after="0"/>
              <w:rPr>
                <w:sz w:val="13"/>
                <w:szCs w:val="13"/>
                <w:color w:val="auto"/>
              </w:rPr>
            </w:pPr>
          </w:p>
        </w:tc>
        <w:tc>
          <w:tcPr>
            <w:tcW w:w="1120" w:type="dxa"/>
            <w:vAlign w:val="bottom"/>
            <w:gridSpan w:val="2"/>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Fully-Vested</w:t>
            </w:r>
          </w:p>
        </w:tc>
        <w:tc>
          <w:tcPr>
            <w:tcW w:w="1080" w:type="dxa"/>
            <w:vAlign w:val="bottom"/>
            <w:gridSpan w:val="2"/>
          </w:tcPr>
          <w:p>
            <w:pPr>
              <w:jc w:val="right"/>
              <w:ind w:right="260"/>
              <w:spacing w:after="0" w:line="158" w:lineRule="exact"/>
              <w:rPr>
                <w:sz w:val="20"/>
                <w:szCs w:val="20"/>
                <w:color w:val="auto"/>
              </w:rPr>
            </w:pPr>
            <w:r>
              <w:rPr>
                <w:rFonts w:ascii="Times New Roman" w:cs="Times New Roman" w:eastAsia="Times New Roman" w:hAnsi="Times New Roman"/>
                <w:sz w:val="14"/>
                <w:szCs w:val="14"/>
                <w:color w:val="auto"/>
              </w:rPr>
              <w:t>Total number</w:t>
            </w:r>
          </w:p>
        </w:tc>
        <w:tc>
          <w:tcPr>
            <w:tcW w:w="140" w:type="dxa"/>
            <w:vAlign w:val="bottom"/>
          </w:tcPr>
          <w:p>
            <w:pPr>
              <w:spacing w:after="0"/>
              <w:rPr>
                <w:sz w:val="13"/>
                <w:szCs w:val="13"/>
                <w:color w:val="auto"/>
              </w:rPr>
            </w:pPr>
          </w:p>
        </w:tc>
        <w:tc>
          <w:tcPr>
            <w:tcW w:w="840" w:type="dxa"/>
            <w:vAlign w:val="bottom"/>
          </w:tcPr>
          <w:p>
            <w:pPr>
              <w:jc w:val="center"/>
              <w:ind w:right="58"/>
              <w:spacing w:after="0" w:line="158" w:lineRule="exact"/>
              <w:rPr>
                <w:sz w:val="20"/>
                <w:szCs w:val="20"/>
                <w:color w:val="auto"/>
              </w:rPr>
            </w:pPr>
            <w:r>
              <w:rPr>
                <w:rFonts w:ascii="Times New Roman" w:cs="Times New Roman" w:eastAsia="Times New Roman" w:hAnsi="Times New Roman"/>
                <w:sz w:val="14"/>
                <w:szCs w:val="14"/>
                <w:color w:val="auto"/>
              </w:rPr>
              <w:t>grant-date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20" w:type="dxa"/>
            <w:vAlign w:val="bottom"/>
            <w:gridSpan w:val="2"/>
            <w:vMerge w:val="continue"/>
          </w:tcPr>
          <w:p>
            <w:pPr>
              <w:spacing w:after="0"/>
              <w:rPr>
                <w:sz w:val="16"/>
                <w:szCs w:val="16"/>
                <w:color w:val="auto"/>
              </w:rPr>
            </w:pPr>
          </w:p>
        </w:tc>
        <w:tc>
          <w:tcPr>
            <w:tcW w:w="880" w:type="dxa"/>
            <w:vAlign w:val="bottom"/>
          </w:tcPr>
          <w:p>
            <w:pPr>
              <w:jc w:val="right"/>
              <w:ind w:right="96"/>
              <w:spacing w:after="0" w:line="189" w:lineRule="exact"/>
              <w:rPr>
                <w:sz w:val="20"/>
                <w:szCs w:val="20"/>
                <w:color w:val="auto"/>
              </w:rPr>
            </w:pPr>
            <w:r>
              <w:rPr>
                <w:rFonts w:ascii="Times New Roman" w:cs="Times New Roman" w:eastAsia="Times New Roman" w:hAnsi="Times New Roman"/>
                <w:sz w:val="14"/>
                <w:szCs w:val="14"/>
                <w:color w:val="auto"/>
              </w:rPr>
              <w:t xml:space="preserve">shares </w:t>
            </w:r>
            <w:r>
              <w:rPr>
                <w:rFonts w:ascii="Times New Roman" w:cs="Times New Roman" w:eastAsia="Times New Roman" w:hAnsi="Times New Roman"/>
                <w:sz w:val="19"/>
                <w:szCs w:val="19"/>
                <w:color w:val="auto"/>
                <w:vertAlign w:val="superscript"/>
              </w:rPr>
              <w:t>(2)</w:t>
            </w:r>
          </w:p>
        </w:tc>
        <w:tc>
          <w:tcPr>
            <w:tcW w:w="24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4"/>
                <w:szCs w:val="14"/>
                <w:color w:val="auto"/>
              </w:rPr>
              <w:t xml:space="preserve">Share Units </w:t>
            </w:r>
            <w:r>
              <w:rPr>
                <w:rFonts w:ascii="Times New Roman" w:cs="Times New Roman" w:eastAsia="Times New Roman" w:hAnsi="Times New Roman"/>
                <w:sz w:val="19"/>
                <w:szCs w:val="19"/>
                <w:color w:val="auto"/>
                <w:vertAlign w:val="superscript"/>
              </w:rPr>
              <w:t>(3)</w:t>
            </w:r>
          </w:p>
        </w:tc>
        <w:tc>
          <w:tcPr>
            <w:tcW w:w="220" w:type="dxa"/>
            <w:vAlign w:val="bottom"/>
          </w:tcPr>
          <w:p>
            <w:pPr>
              <w:spacing w:after="0"/>
              <w:rPr>
                <w:sz w:val="16"/>
                <w:szCs w:val="16"/>
                <w:color w:val="auto"/>
              </w:rPr>
            </w:pPr>
          </w:p>
        </w:tc>
        <w:tc>
          <w:tcPr>
            <w:tcW w:w="1120" w:type="dxa"/>
            <w:vAlign w:val="bottom"/>
            <w:gridSpan w:val="2"/>
          </w:tcPr>
          <w:p>
            <w:pPr>
              <w:jc w:val="right"/>
              <w:ind w:right="380"/>
              <w:spacing w:after="0" w:line="189" w:lineRule="exact"/>
              <w:rPr>
                <w:sz w:val="20"/>
                <w:szCs w:val="20"/>
                <w:color w:val="auto"/>
              </w:rPr>
            </w:pPr>
            <w:r>
              <w:rPr>
                <w:rFonts w:ascii="Times New Roman" w:cs="Times New Roman" w:eastAsia="Times New Roman" w:hAnsi="Times New Roman"/>
                <w:sz w:val="14"/>
                <w:szCs w:val="14"/>
                <w:color w:val="auto"/>
              </w:rPr>
              <w:t xml:space="preserve">Shares </w:t>
            </w:r>
            <w:r>
              <w:rPr>
                <w:rFonts w:ascii="Times New Roman" w:cs="Times New Roman" w:eastAsia="Times New Roman" w:hAnsi="Times New Roman"/>
                <w:sz w:val="19"/>
                <w:szCs w:val="19"/>
                <w:color w:val="auto"/>
                <w:vertAlign w:val="superscript"/>
              </w:rPr>
              <w:t>(4)</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of shares</w:t>
            </w:r>
          </w:p>
        </w:tc>
        <w:tc>
          <w:tcPr>
            <w:tcW w:w="140" w:type="dxa"/>
            <w:vAlign w:val="bottom"/>
          </w:tcPr>
          <w:p>
            <w:pPr>
              <w:spacing w:after="0"/>
              <w:rPr>
                <w:sz w:val="16"/>
                <w:szCs w:val="16"/>
                <w:color w:val="auto"/>
              </w:rPr>
            </w:pPr>
          </w:p>
        </w:tc>
        <w:tc>
          <w:tcPr>
            <w:tcW w:w="840" w:type="dxa"/>
            <w:vAlign w:val="bottom"/>
          </w:tcPr>
          <w:p>
            <w:pPr>
              <w:jc w:val="center"/>
              <w:ind w:right="58"/>
              <w:spacing w:after="0"/>
              <w:rPr>
                <w:sz w:val="20"/>
                <w:szCs w:val="20"/>
                <w:color w:val="auto"/>
              </w:rPr>
            </w:pPr>
            <w:r>
              <w:rPr>
                <w:rFonts w:ascii="Times New Roman" w:cs="Times New Roman" w:eastAsia="Times New Roman" w:hAnsi="Times New Roman"/>
                <w:sz w:val="14"/>
                <w:szCs w:val="14"/>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540" w:type="dxa"/>
            <w:vAlign w:val="bottom"/>
            <w:vMerge w:val="continue"/>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non-vested shares at beginning of year</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515,291</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435,568</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1,190,859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496,467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17,532</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513,999</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Shares vested and/or issued</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(318,657 )</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(17,532 )</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(336,189 )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forfeited</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(2,604 )</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(2,604 )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non-vested shares at end of quarter</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690,497</w:t>
            </w:r>
          </w:p>
        </w:tc>
        <w:tc>
          <w:tcPr>
            <w:tcW w:w="22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435,568</w:t>
            </w:r>
          </w:p>
        </w:tc>
        <w:tc>
          <w:tcPr>
            <w:tcW w:w="24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2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1,366,065</w:t>
            </w: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760" w:hanging="378"/>
        <w:spacing w:after="0" w:line="258"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first six months of fiscal 2022, the Company granted RSUs for the achievement of performance metrics under the 2019-2021 LTIP that are subject to additional vesting through August 31, 2022 and time-based RSUs under its 2022-2024 LTIP. See Note 5, </w:t>
      </w:r>
      <w:r>
        <w:rPr>
          <w:rFonts w:ascii="Times New Roman" w:cs="Times New Roman" w:eastAsia="Times New Roman" w:hAnsi="Times New Roman"/>
          <w:sz w:val="18"/>
          <w:szCs w:val="18"/>
          <w:i w:val="1"/>
          <w:iCs w:val="1"/>
          <w:color w:val="auto"/>
        </w:rPr>
        <w:t>Long-Term Incentive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As a result of net share settlements, of the 318,657 RSUs that vested, only 232,027 shares of common stock were issued</w:t>
      </w:r>
    </w:p>
    <w:p>
      <w:pPr>
        <w:spacing w:after="0" w:line="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deferred shares will be issued upon the director’s separation from service.</w:t>
      </w:r>
    </w:p>
    <w:p>
      <w:pPr>
        <w:spacing w:after="0" w:line="103"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remaining performance stock units (“PSUs”) granted to Mr. Kanter in February 2019. The 240,000 PSUs will vest when the trailing 90-day volume-weighted average closing stock price (“VWAP”) is $8.00. The PSUs will expire on April 1, 2023 if the $8.00 VWAP is not achieved by that date.</w:t>
      </w:r>
    </w:p>
    <w:p>
      <w:pPr>
        <w:spacing w:after="0" w:line="61"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compensation, with a fair value of $80,985, to certain directors, who are required to receive shares, in lieu of cash, in order to satisfy their minimum equity ownership under the Non-Employee Director Plan. Voluntary shares received, in lieu of cash, are reported below under </w:t>
      </w:r>
      <w:r>
        <w:rPr>
          <w:rFonts w:ascii="Times New Roman" w:cs="Times New Roman" w:eastAsia="Times New Roman" w:hAnsi="Times New Roman"/>
          <w:sz w:val="18"/>
          <w:szCs w:val="18"/>
          <w:i w:val="1"/>
          <w:iCs w:val="1"/>
          <w:color w:val="auto"/>
        </w:rPr>
        <w:t>Non-Employee Director Compensation Plan</w:t>
      </w:r>
      <w:r>
        <w:rPr>
          <w:rFonts w:ascii="Times New Roman" w:cs="Times New Roman" w:eastAsia="Times New Roman" w:hAnsi="Times New Roman"/>
          <w:sz w:val="18"/>
          <w:szCs w:val="18"/>
          <w:color w:val="auto"/>
        </w:rPr>
        <w: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Weighted-</w:t>
            </w:r>
          </w:p>
        </w:tc>
        <w:tc>
          <w:tcPr>
            <w:tcW w:w="2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Weighted-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color w:val="auto"/>
              </w:rPr>
              <w:t>Number of</w:t>
            </w:r>
          </w:p>
        </w:tc>
        <w:tc>
          <w:tcPr>
            <w:tcW w:w="140" w:type="dxa"/>
            <w:vAlign w:val="bottom"/>
          </w:tcPr>
          <w:p>
            <w:pPr>
              <w:spacing w:after="0"/>
              <w:rPr>
                <w:sz w:val="12"/>
                <w:szCs w:val="12"/>
                <w:color w:val="auto"/>
              </w:rPr>
            </w:pPr>
          </w:p>
        </w:tc>
        <w:tc>
          <w:tcPr>
            <w:tcW w:w="10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2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color w:val="auto"/>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color w:val="auto"/>
              </w:rPr>
              <w:t>exercise price</w:t>
            </w:r>
          </w:p>
        </w:tc>
        <w:tc>
          <w:tcPr>
            <w:tcW w:w="2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16"/>
                <w:szCs w:val="16"/>
                <w:color w:val="auto"/>
              </w:rPr>
            </w:pPr>
          </w:p>
        </w:tc>
        <w:tc>
          <w:tcPr>
            <w:tcW w:w="100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per option</w:t>
            </w:r>
          </w:p>
        </w:tc>
        <w:tc>
          <w:tcPr>
            <w:tcW w:w="2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contractual term</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95"/>
              <w:spacing w:after="0"/>
              <w:rPr>
                <w:sz w:val="20"/>
                <w:szCs w:val="20"/>
                <w:color w:val="auto"/>
              </w:rPr>
            </w:pPr>
            <w:r>
              <w:rPr>
                <w:rFonts w:ascii="Times New Roman" w:cs="Times New Roman" w:eastAsia="Times New Roman" w:hAnsi="Times New Roman"/>
                <w:sz w:val="14"/>
                <w:szCs w:val="14"/>
                <w:color w:val="auto"/>
              </w:rPr>
              <w:t>intrinsic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5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options at beginning of year</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4,621,550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years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16,066,914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Options granted</w:t>
            </w:r>
          </w:p>
        </w:tc>
        <w:tc>
          <w:tcPr>
            <w:tcW w:w="2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exercised</w:t>
            </w:r>
          </w:p>
        </w:tc>
        <w:tc>
          <w:tcPr>
            <w:tcW w:w="2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(48,019 )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Options expired and canceled</w:t>
            </w:r>
          </w:p>
        </w:tc>
        <w:tc>
          <w:tcPr>
            <w:tcW w:w="15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(19,269 )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Outstanding options at end of quarter</w:t>
            </w:r>
          </w:p>
        </w:tc>
        <w:tc>
          <w:tcPr>
            <w:tcW w:w="1520" w:type="dxa"/>
            <w:vAlign w:val="bottom"/>
            <w:tcBorders>
              <w:top w:val="single" w:sz="8" w:color="CFF0FC"/>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4,557,902</w:t>
            </w: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220" w:type="dxa"/>
            <w:vAlign w:val="bottom"/>
            <w:tcBorders>
              <w:top w:val="single" w:sz="8" w:color="CFF0FC"/>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 years</w:t>
            </w:r>
          </w:p>
        </w:tc>
        <w:tc>
          <w:tcPr>
            <w:tcW w:w="2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15,006,017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Options exercisable at end of quarter</w:t>
            </w:r>
          </w:p>
        </w:tc>
        <w:tc>
          <w:tcPr>
            <w:tcW w:w="2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1,969,767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 years</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5,881,812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340" w:type="dxa"/>
            <w:vAlign w:val="bottom"/>
          </w:tcPr>
          <w:p>
            <w:pPr>
              <w:spacing w:after="0"/>
              <w:rPr>
                <w:sz w:val="24"/>
                <w:szCs w:val="24"/>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34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-624840</wp:posOffset>
            </wp:positionV>
            <wp:extent cx="77470"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-624840</wp:posOffset>
            </wp:positionV>
            <wp:extent cx="68580"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-624840</wp:posOffset>
            </wp:positionV>
            <wp:extent cx="68580"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5" w:name="page16"/>
    <w:bookmarkEnd w:id="15"/>
    <w:p>
      <w:pPr>
        <w:jc w:val="both"/>
        <w:spacing w:after="0" w:line="250" w:lineRule="auto"/>
        <w:rPr>
          <w:sz w:val="20"/>
          <w:szCs w:val="20"/>
          <w:color w:val="auto"/>
        </w:rPr>
      </w:pPr>
      <w:r>
        <w:rPr>
          <w:rFonts w:ascii="Times New Roman" w:cs="Times New Roman" w:eastAsia="Times New Roman" w:hAnsi="Times New Roman"/>
          <w:sz w:val="18"/>
          <w:szCs w:val="18"/>
          <w:color w:val="auto"/>
        </w:rPr>
        <w:t>For the first six months of fiscal 2022, the Company granted stock options to purchase an aggregate of 3,640 shares of common stock, 496,467 restricted stock units and 17,532 fully-vested shares. For the first six months of fiscal 2021, the Company granted stock options to purchase an aggregate of 1,518,154 shares of common stock and 8,054 restricted stock units.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Non-Employee Director Compensation Plan</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granted 36,690 shares of common stock, with a fair value of approximately $169,482, to certain of its non-employee directors as compensation in lieu of cash in the first six months of fiscal 2022. These shares are in addition to any shares that may be granted under the 2016 Plan related to the requirement to receive equity if a director has not yet satisfied his or her minimum equity ownership requirement under the Non-Employee Director Compensation Plan.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Compensation Expense</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recognized total stock-based compensation expense of $0.8 million and $0.6 million for the first six months of fiscal 2022 and fiscal 2021, respectively. The total compensation cost related to time-vested stock options and RSU awards not yet recognized as of July 30, 2022 was approximately $2.1 million, net of estimated forfeitures, which will be expensed over a weighted average remaining life of 32 months.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Equity and Earnings per Share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number of shares outstanding for basic and diluted earnings per share:</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4540" w:type="dxa"/>
            <w:vAlign w:val="bottom"/>
          </w:tcPr>
          <w:p>
            <w:pPr>
              <w:spacing w:after="0"/>
              <w:rPr>
                <w:sz w:val="15"/>
                <w:szCs w:val="15"/>
                <w:color w:val="auto"/>
              </w:rPr>
            </w:pPr>
          </w:p>
        </w:tc>
        <w:tc>
          <w:tcPr>
            <w:tcW w:w="2660" w:type="dxa"/>
            <w:vAlign w:val="bottom"/>
            <w:gridSpan w:val="3"/>
          </w:tcPr>
          <w:p>
            <w:pPr>
              <w:jc w:val="right"/>
              <w:ind w:right="459"/>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240" w:type="dxa"/>
            <w:vAlign w:val="bottom"/>
          </w:tcPr>
          <w:p>
            <w:pPr>
              <w:spacing w:after="0"/>
              <w:rPr>
                <w:sz w:val="15"/>
                <w:szCs w:val="15"/>
                <w:color w:val="auto"/>
              </w:rPr>
            </w:pPr>
          </w:p>
        </w:tc>
        <w:tc>
          <w:tcPr>
            <w:tcW w:w="2560" w:type="dxa"/>
            <w:vAlign w:val="bottom"/>
            <w:gridSpan w:val="3"/>
          </w:tcPr>
          <w:p>
            <w:pPr>
              <w:jc w:val="right"/>
              <w:ind w:right="479"/>
              <w:spacing w:after="0"/>
              <w:rPr>
                <w:sz w:val="20"/>
                <w:szCs w:val="20"/>
                <w:color w:val="auto"/>
              </w:rPr>
            </w:pPr>
            <w:r>
              <w:rPr>
                <w:rFonts w:ascii="Times New Roman" w:cs="Times New Roman" w:eastAsia="Times New Roman" w:hAnsi="Times New Roman"/>
                <w:sz w:val="14"/>
                <w:szCs w:val="14"/>
                <w:color w:val="auto"/>
              </w:rPr>
              <w:t>For the six months ended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b w:val="1"/>
                <w:bCs w:val="1"/>
                <w:i w:val="1"/>
                <w:iCs w:val="1"/>
                <w:color w:val="auto"/>
              </w:rPr>
              <w:t>)</w:t>
            </w:r>
          </w:p>
        </w:tc>
        <w:tc>
          <w:tcPr>
            <w:tcW w:w="12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color w:val="auto"/>
              </w:rPr>
              <w:t>July 30, 2022</w:t>
            </w:r>
          </w:p>
        </w:tc>
        <w:tc>
          <w:tcPr>
            <w:tcW w:w="240" w:type="dxa"/>
            <w:vAlign w:val="bottom"/>
          </w:tcPr>
          <w:p>
            <w:pPr>
              <w:spacing w:after="0"/>
              <w:rPr>
                <w:sz w:val="16"/>
                <w:szCs w:val="16"/>
                <w:color w:val="auto"/>
              </w:rPr>
            </w:pPr>
          </w:p>
        </w:tc>
        <w:tc>
          <w:tcPr>
            <w:tcW w:w="12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color w:val="auto"/>
              </w:rPr>
              <w:t>July 31, 2021</w:t>
            </w:r>
          </w:p>
        </w:tc>
        <w:tc>
          <w:tcPr>
            <w:tcW w:w="240" w:type="dxa"/>
            <w:vAlign w:val="bottom"/>
          </w:tcPr>
          <w:p>
            <w:pPr>
              <w:spacing w:after="0"/>
              <w:rPr>
                <w:sz w:val="16"/>
                <w:szCs w:val="16"/>
                <w:color w:val="auto"/>
              </w:rPr>
            </w:pPr>
          </w:p>
        </w:tc>
        <w:tc>
          <w:tcPr>
            <w:tcW w:w="11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color w:val="auto"/>
              </w:rPr>
              <w:t>July 30, 2022</w:t>
            </w:r>
          </w:p>
        </w:tc>
        <w:tc>
          <w:tcPr>
            <w:tcW w:w="200" w:type="dxa"/>
            <w:vAlign w:val="bottom"/>
          </w:tcPr>
          <w:p>
            <w:pPr>
              <w:spacing w:after="0"/>
              <w:rPr>
                <w:sz w:val="16"/>
                <w:szCs w:val="16"/>
                <w:color w:val="auto"/>
              </w:rPr>
            </w:pPr>
          </w:p>
        </w:tc>
        <w:tc>
          <w:tcPr>
            <w:tcW w:w="12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color w:val="auto"/>
              </w:rPr>
              <w:t>July 31, 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4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62,688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63,527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63,384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54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Common stock equivalents – stock options, restricted stock</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240" w:type="dxa"/>
            <w:vAlign w:val="bottom"/>
            <w:vMerge w:val="restart"/>
            <w:shd w:val="clear" w:color="auto" w:fill="CFF0FC"/>
          </w:tcPr>
          <w:p>
            <w:pPr>
              <w:spacing w:after="0"/>
              <w:rPr>
                <w:sz w:val="14"/>
                <w:szCs w:val="14"/>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240" w:type="dxa"/>
            <w:vAlign w:val="bottom"/>
            <w:vMerge w:val="restart"/>
            <w:shd w:val="clear" w:color="auto" w:fill="CFF0FC"/>
          </w:tcPr>
          <w:p>
            <w:pPr>
              <w:spacing w:after="0"/>
              <w:rPr>
                <w:sz w:val="14"/>
                <w:szCs w:val="14"/>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200" w:type="dxa"/>
            <w:vAlign w:val="bottom"/>
            <w:vMerge w:val="restart"/>
            <w:shd w:val="clear" w:color="auto" w:fill="CFF0FC"/>
          </w:tcPr>
          <w:p>
            <w:pPr>
              <w:spacing w:after="0"/>
              <w:rPr>
                <w:sz w:val="14"/>
                <w:szCs w:val="14"/>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units and deferred stock</w:t>
            </w:r>
          </w:p>
        </w:tc>
        <w:tc>
          <w:tcPr>
            <w:tcW w:w="120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vMerge w:val="continue"/>
            <w:shd w:val="clear" w:color="auto" w:fill="CFF0FC"/>
          </w:tcPr>
          <w:p>
            <w:pPr>
              <w:spacing w:after="0"/>
              <w:rPr>
                <w:sz w:val="19"/>
                <w:szCs w:val="19"/>
                <w:color w:val="auto"/>
              </w:rPr>
            </w:pPr>
          </w:p>
        </w:tc>
        <w:tc>
          <w:tcPr>
            <w:tcW w:w="122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vMerge w:val="continue"/>
            <w:shd w:val="clear" w:color="auto" w:fill="CFF0FC"/>
          </w:tcPr>
          <w:p>
            <w:pPr>
              <w:spacing w:after="0"/>
              <w:rPr>
                <w:sz w:val="19"/>
                <w:szCs w:val="19"/>
                <w:color w:val="auto"/>
              </w:rPr>
            </w:pPr>
          </w:p>
        </w:tc>
        <w:tc>
          <w:tcPr>
            <w:tcW w:w="116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vMerge w:val="continue"/>
            <w:shd w:val="clear" w:color="auto" w:fill="CFF0FC"/>
          </w:tcPr>
          <w:p>
            <w:pPr>
              <w:spacing w:after="0"/>
              <w:rPr>
                <w:sz w:val="19"/>
                <w:szCs w:val="19"/>
                <w:color w:val="auto"/>
              </w:rPr>
            </w:pPr>
          </w:p>
        </w:tc>
        <w:tc>
          <w:tcPr>
            <w:tcW w:w="120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67,615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67,519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-156845</wp:posOffset>
            </wp:positionV>
            <wp:extent cx="68580"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-156845</wp:posOffset>
            </wp:positionV>
            <wp:extent cx="68580" cy="146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-156845</wp:posOffset>
            </wp:positionV>
            <wp:extent cx="60325"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-156845</wp:posOffset>
            </wp:positionV>
            <wp:extent cx="60325"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146050"/>
                    </a:xfrm>
                    <a:prstGeom prst="rect">
                      <a:avLst/>
                    </a:prstGeom>
                    <a:noFill/>
                  </pic:spPr>
                </pic:pic>
              </a:graphicData>
            </a:graphic>
          </wp:anchor>
        </w:drawing>
      </w:r>
    </w:p>
    <w:p>
      <w:pPr>
        <w:spacing w:after="0" w:line="3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potential common stock equivalents were excluded from the computation of diluted earnings per share in each period, because the exercise price of such options was greater than the average market price per share of common stock for the respective periods or because the unearned compensation associated with stock options, restricted stock units, or deferred stock had an anti-dilutive effect.</w:t>
      </w:r>
    </w:p>
    <w:p>
      <w:pPr>
        <w:spacing w:after="0" w:line="179" w:lineRule="exact"/>
        <w:rPr>
          <w:sz w:val="20"/>
          <w:szCs w:val="20"/>
          <w:color w:val="auto"/>
        </w:rPr>
      </w:pPr>
    </w:p>
    <w:tbl>
      <w:tblPr>
        <w:tblLayout w:type="fixed"/>
        <w:tblInd w:w="420" w:type="dxa"/>
        <w:tblCellMar>
          <w:top w:w="0" w:type="dxa"/>
          <w:left w:w="0" w:type="dxa"/>
          <w:bottom w:w="0" w:type="dxa"/>
          <w:right w:w="0" w:type="dxa"/>
        </w:tblCellMar>
      </w:tblPr>
      <w:tr>
        <w:trPr>
          <w:trHeight w:val="175"/>
        </w:trPr>
        <w:tc>
          <w:tcPr>
            <w:tcW w:w="4700" w:type="dxa"/>
            <w:vAlign w:val="bottom"/>
          </w:tcPr>
          <w:p>
            <w:pPr>
              <w:spacing w:after="0"/>
              <w:rPr>
                <w:sz w:val="15"/>
                <w:szCs w:val="15"/>
                <w:color w:val="auto"/>
              </w:rPr>
            </w:pPr>
          </w:p>
        </w:tc>
        <w:tc>
          <w:tcPr>
            <w:tcW w:w="2740" w:type="dxa"/>
            <w:vAlign w:val="bottom"/>
            <w:gridSpan w:val="3"/>
          </w:tcPr>
          <w:p>
            <w:pPr>
              <w:jc w:val="right"/>
              <w:ind w:right="519"/>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220" w:type="dxa"/>
            <w:vAlign w:val="bottom"/>
          </w:tcPr>
          <w:p>
            <w:pPr>
              <w:spacing w:after="0"/>
              <w:rPr>
                <w:sz w:val="15"/>
                <w:szCs w:val="15"/>
                <w:color w:val="auto"/>
              </w:rPr>
            </w:pPr>
          </w:p>
        </w:tc>
        <w:tc>
          <w:tcPr>
            <w:tcW w:w="2680" w:type="dxa"/>
            <w:vAlign w:val="bottom"/>
            <w:gridSpan w:val="3"/>
          </w:tcPr>
          <w:p>
            <w:pPr>
              <w:jc w:val="right"/>
              <w:ind w:right="539"/>
              <w:spacing w:after="0"/>
              <w:rPr>
                <w:sz w:val="20"/>
                <w:szCs w:val="20"/>
                <w:color w:val="auto"/>
              </w:rPr>
            </w:pPr>
            <w:r>
              <w:rPr>
                <w:rFonts w:ascii="Times New Roman" w:cs="Times New Roman" w:eastAsia="Times New Roman" w:hAnsi="Times New Roman"/>
                <w:sz w:val="14"/>
                <w:szCs w:val="14"/>
                <w:color w:val="auto"/>
              </w:rPr>
              <w:t>For the six months ended</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7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exercise prices)</w:t>
            </w:r>
          </w:p>
        </w:tc>
        <w:tc>
          <w:tcPr>
            <w:tcW w:w="12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color w:val="auto"/>
              </w:rPr>
              <w:t>July 30, 2022</w:t>
            </w:r>
          </w:p>
        </w:tc>
        <w:tc>
          <w:tcPr>
            <w:tcW w:w="220" w:type="dxa"/>
            <w:vAlign w:val="bottom"/>
          </w:tcPr>
          <w:p>
            <w:pPr>
              <w:spacing w:after="0"/>
              <w:rPr>
                <w:sz w:val="16"/>
                <w:szCs w:val="16"/>
                <w:color w:val="auto"/>
              </w:rPr>
            </w:pPr>
          </w:p>
        </w:tc>
        <w:tc>
          <w:tcPr>
            <w:tcW w:w="12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color w:val="auto"/>
              </w:rPr>
              <w:t>July 31, 2021</w:t>
            </w:r>
          </w:p>
        </w:tc>
        <w:tc>
          <w:tcPr>
            <w:tcW w:w="220" w:type="dxa"/>
            <w:vAlign w:val="bottom"/>
          </w:tcPr>
          <w:p>
            <w:pPr>
              <w:spacing w:after="0"/>
              <w:rPr>
                <w:sz w:val="16"/>
                <w:szCs w:val="16"/>
                <w:color w:val="auto"/>
              </w:rPr>
            </w:pPr>
          </w:p>
        </w:tc>
        <w:tc>
          <w:tcPr>
            <w:tcW w:w="12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July 30, 2022</w:t>
            </w:r>
          </w:p>
        </w:tc>
        <w:tc>
          <w:tcPr>
            <w:tcW w:w="220" w:type="dxa"/>
            <w:vAlign w:val="bottom"/>
          </w:tcPr>
          <w:p>
            <w:pPr>
              <w:spacing w:after="0"/>
              <w:rPr>
                <w:sz w:val="16"/>
                <w:szCs w:val="16"/>
                <w:color w:val="auto"/>
              </w:rPr>
            </w:pPr>
          </w:p>
        </w:tc>
        <w:tc>
          <w:tcPr>
            <w:tcW w:w="12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color w:val="auto"/>
              </w:rPr>
              <w:t>July 31, 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0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Range of exercise prices of such options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$4.48-$5.50</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$4.49 - $5.50</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$4.48 - $5.50</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$2.25 - $5.50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options, which were outstanding at July 30, 2022, expire from January 31, 2023 to June 12, 2032.</w:t>
      </w:r>
    </w:p>
    <w:p>
      <w:pPr>
        <w:spacing w:after="0" w:line="1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Excluded from the computation of basic and diluted earnings per share were 240,000 shares for the second quarter and first six months of fiscal 2022 and 720,000 shares for the second quarter and first six months of fiscal 2021 of unvested performance stock units. These performance-based awards are included in the computation of basic and diluted earnings per share if, and when, the respective performance targets are achieved. In addition, 435,568 shares of deferred stock at July 30, 2022 and at July 31, 2021 were excluded from basic earnings per share. Outstanding shares of deferred stock are not considered issued and outstanding until the vesting date of the deferral period.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 Repurchase Program</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15, 2022, the Company’s Board of Directors approved a stock repurchase program. Under the stock repurchase program, the Company may repurchase up to $15.0 million of its common stock through open market and privately negotiated transactions.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6" w:name="page17"/>
    <w:bookmarkEnd w:id="16"/>
    <w:p>
      <w:pPr>
        <w:jc w:val="both"/>
        <w:spacing w:after="0" w:line="250" w:lineRule="auto"/>
        <w:rPr>
          <w:sz w:val="20"/>
          <w:szCs w:val="20"/>
          <w:color w:val="auto"/>
        </w:rPr>
      </w:pPr>
      <w:r>
        <w:rPr>
          <w:rFonts w:ascii="Times New Roman" w:cs="Times New Roman" w:eastAsia="Times New Roman" w:hAnsi="Times New Roman"/>
          <w:sz w:val="18"/>
          <w:szCs w:val="18"/>
          <w:color w:val="auto"/>
        </w:rPr>
        <w:t>The timing and the amount of any repurchases of common stock will be determined based on the Company’s evaluation of market conditions and other factors. The stock repurchase program commenced in the first quarter of fiscal 2022 and will expire on March 15, 2023, but may be suspended, terminated or modified at any time for any reason. The Company expects to finance the repurchases from operating funds and/or periodic borrowings on its credit facility.</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first six months of fiscal 2022, the Company repurchased 2.9 million shares at an aggregate cost of $12.7 million, including fees, from available cash on hand. Shares of repurchased common stock are held as treasury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0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Since the end of fiscal 2013, the Company has maintained a full valuation allowance against its deferred tax assets. During the second quarter of fiscal 2022, the Company determined that it was more likely than not that it would be able to realize the benefit of substantially all of its deferred tax assets in the United States. In reaching this determination, the Company considered the cumulative three years of profitability, its expectations regarding the generation of future taxable income as well as the overall improvement in the Company's business and its current market position. As a result, in the second quarter of fiscal 2022, the Company recognized a discrete tax benefit related to the release of approximately $35.5 million in valuation allowance against its deferred tax assets in the United States that are expected to be realized in future years. At July 30, 2022, the Company continued to provide a valuation allowance of $2.4 million primarily against certain state and foreign net operating losses ("NOLs").</w:t>
      </w:r>
    </w:p>
    <w:p>
      <w:pPr>
        <w:spacing w:after="0" w:line="73" w:lineRule="exact"/>
        <w:rPr>
          <w:sz w:val="20"/>
          <w:szCs w:val="20"/>
          <w:color w:val="auto"/>
        </w:rPr>
      </w:pPr>
    </w:p>
    <w:p>
      <w:pPr>
        <w:ind w:right="640"/>
        <w:spacing w:after="0" w:line="258" w:lineRule="auto"/>
        <w:rPr>
          <w:sz w:val="20"/>
          <w:szCs w:val="20"/>
          <w:color w:val="auto"/>
        </w:rPr>
      </w:pPr>
      <w:r>
        <w:rPr>
          <w:rFonts w:ascii="Times New Roman" w:cs="Times New Roman" w:eastAsia="Times New Roman" w:hAnsi="Times New Roman"/>
          <w:sz w:val="18"/>
          <w:szCs w:val="18"/>
          <w:color w:val="auto"/>
        </w:rPr>
        <w:t>During the second quarter and first six months of fiscal 2022, the Company recorded an income tax benefit of $35.1 million and $35.0 million, respectively. Excluding the release of $35.5 million in valuation allowance, the Company recorded income tax expense of $408,000 and $511,000, respectively, primarily related to income tax in states where NOL usage is statutorily limited.</w:t>
      </w:r>
    </w:p>
    <w:p>
      <w:pPr>
        <w:spacing w:after="0" w:line="6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second quarter and first six months of fiscal 2021, the Company recorded income tax expense of $426,000 and $454,000, respectively, primarily related to income tax in states where NOL usage is statutorily limited.</w:t>
      </w:r>
    </w:p>
    <w:p>
      <w:pPr>
        <w:spacing w:after="0" w:line="40"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18"/>
          <w:szCs w:val="18"/>
          <w:color w:val="auto"/>
        </w:rPr>
        <w:t>For federal income tax purposes, at the end of fiscal 2021, the Company had net operating loss carryforwards of approximately $100.7 million, which will expire from fiscal 2028 through fiscal 2037, and net operating loss carryforwards of $43.1 million that are not subject to expiration. For state purposes, at the end of fiscal 2021, the Company had $90.0 million of net operating losses that are available to offset future taxable income, the majority of which will expire from fiscal 2028 through fiscal 2041.</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6"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and include statements regarding our expectations with respect to sales trends, marketing costs, gross margin rate, improved inventory levels, our ability to realize our deferred tax assets and our ability to secure sufficient inventory to meet customer demand, increased freight costs, increases in certain raw materials cost, our long-term outlook, expected capital expenditures in 2022, our ability to attract new customers, and our plans with respect to our store portfolio, including anticipated closures, re-brandings, and new and relocated stores.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The following discussion of our financial condition and results of operations should be read in conjunction with the unaudited Consolidated Financial Statements and notes to those statements included elsewhere in this Quarterly Report and our audited Consolidated Financial Statements for the year ended January 29, 2022, included in our Annual Report on Form 10-K for the year ended January 29, 2022, as filed with the Securities and Exchange Commission on March 17, 2022 (our “Fiscal 2021 Annual Report”).</w:t>
      </w:r>
    </w:p>
    <w:p>
      <w:pPr>
        <w:spacing w:after="0" w:line="190"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color w:val="auto"/>
        </w:rPr>
        <w:t>Numerous factors could cause our actual results to differ materially from such forward-looking statements. This discussion sets forth certain risks and uncertainties that may have an impact on future results and direction of our Company, including, without limitation, risks related to labor shortages, increased labor costs, changes in consumer spending in response to the economy, the ongoing effects of the COVID-19 pandemic, the economic impact of the war in Ukraine, our ability to navigate supply chain uncertainties, our ability to maintain appropriate inventory levels, our ability to successfully execute on our corporate strategy, our ability to predict customer tastes and fashion trends, our ability to grow market share, and the other risks and uncertainties set forth in the “Risk Factors” section in Part I, Item 1A of our Fiscal 2021 Annual Report.</w:t>
      </w:r>
    </w:p>
    <w:p>
      <w:pPr>
        <w:spacing w:after="0" w:line="180"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SUMMARY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Destination XL Group, Inc., together with our consolidated subsidiaries (the “Company”), is the largest specialty retailer of big and tall men’s clothing with</w:t>
      </w:r>
    </w:p>
    <w:p>
      <w:pPr>
        <w:spacing w:after="0" w:line="39"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8"/>
          <w:szCs w:val="18"/>
          <w:color w:val="auto"/>
        </w:rPr>
        <w:t>retail and direct operations in the United States. We operate under the trade names of Destination XL</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DXL</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DXL Outlets, Casual Male XL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Casual Male XL Outlets. At July 30, 2022, we operated 218 Destination XL stores, 16 DXL outlet stores, 31 Casual Male XL retail stores, 19 Casual Male XL outlet stores and a digital business, including an e-commerce site at dxl.com and a mobile site, m.destinationXL.com and mobile app.</w:t>
      </w:r>
    </w:p>
    <w:p>
      <w:pPr>
        <w:spacing w:after="0" w:line="20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Unless the context indicates otherwise, all references to “we,” “our,” “us” and “the Company” refer to Destination XL Group, Inc. and our consolidated subsidiaries. We refer to our fiscal years, which end on January 28, 2023, January 29, 2022 and January 30, 2021 as “fiscal 2022,” “fiscal 2021” and “fiscal 2020,” respectively. All three fiscal years are 52-week periods.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08"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18"/>
          <w:szCs w:val="18"/>
          <w:color w:val="auto"/>
        </w:rPr>
        <w:t>We currently have two principal operating segments: our stores and direct business. We consider our stores and direct business segments to be similar in terms of economic characteristics, production processes and operations, and have therefore aggregated them into one reportable segment, retail segment, consistent with our omni-channel business approach. Our wholesale segment was a third operating segment. In the first quarter of fiscal 2022, we ended the relationship with our primary wholesale customer. Due to the immateriality of the wholesale segment’s revenues, profits and assets, its operating results have been aggregated with the retail segment for all periods.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COMPARABLE SALES</w:t>
      </w:r>
    </w:p>
    <w:p>
      <w:pPr>
        <w:spacing w:after="0" w:line="229"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Our customer’s shopping experience continues to evolve across multiple channels and we are continually adapting to meet the guest’s needs. The majority of our stores have the capability of fulfilling online orders if merchandise is not available in the warehouse. As a</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18" w:name="page19"/>
    <w:bookmarkEnd w:id="18"/>
    <w:p>
      <w:pPr>
        <w:ind w:right="160"/>
        <w:spacing w:after="0" w:line="250" w:lineRule="auto"/>
        <w:rPr>
          <w:sz w:val="20"/>
          <w:szCs w:val="20"/>
          <w:color w:val="auto"/>
        </w:rPr>
      </w:pPr>
      <w:r>
        <w:rPr>
          <w:rFonts w:ascii="Times New Roman" w:cs="Times New Roman" w:eastAsia="Times New Roman" w:hAnsi="Times New Roman"/>
          <w:sz w:val="18"/>
          <w:szCs w:val="18"/>
          <w:color w:val="auto"/>
        </w:rPr>
        <w:t>result, we continue to see more transactions that begin online but are ultimately completed at the store level. Similarly, if a customer visits a store and the item is out of stock, the associate can order the item through our website. A customer also has the ability to order online and pick-up in a store and at curbside. We define store sales as sales that originate and are fulfilled directly at the store level. Digital commerce sales, which we also refer to as direct sales, are defined as sales that originate online, whether through our website, at the store level or through a third-party marketplace.</w:t>
      </w:r>
    </w:p>
    <w:p>
      <w:pPr>
        <w:spacing w:after="0" w:line="191"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Stores that have been open for at least 13 months are included in comparable sales. Stores that have been remodeled or re-located during the period are also included in our determination of comparable stores sales. Stores that have been expanded by more than 25% are considered non-comparable for the first 13 months. If a store becomes a clearance center, it is also removed from the calculation of comparable sales. The method of calculating comparable sales varies across the retail industry and, as a result, our calculation of comparable sales is not necessarily comparable to similarly titled measures reported by other retailers.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2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60" w:type="dxa"/>
            <w:vAlign w:val="bottom"/>
          </w:tcPr>
          <w:p>
            <w:pPr>
              <w:spacing w:after="0"/>
              <w:rPr>
                <w:sz w:val="15"/>
                <w:szCs w:val="15"/>
                <w:color w:val="auto"/>
              </w:rPr>
            </w:pPr>
          </w:p>
        </w:tc>
        <w:tc>
          <w:tcPr>
            <w:tcW w:w="280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color w:val="auto"/>
              </w:rPr>
              <w:t>For the six months ended</w:t>
            </w:r>
          </w:p>
        </w:tc>
      </w:tr>
      <w:tr>
        <w:trPr>
          <w:trHeight w:val="185"/>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July 30, 2022</w:t>
            </w:r>
          </w:p>
        </w:tc>
        <w:tc>
          <w:tcPr>
            <w:tcW w:w="180" w:type="dxa"/>
            <w:vAlign w:val="bottom"/>
          </w:tcPr>
          <w:p>
            <w:pPr>
              <w:spacing w:after="0"/>
              <w:rPr>
                <w:sz w:val="16"/>
                <w:szCs w:val="16"/>
                <w:color w:val="auto"/>
              </w:rPr>
            </w:pP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July 31, 2021</w:t>
            </w:r>
          </w:p>
        </w:tc>
        <w:tc>
          <w:tcPr>
            <w:tcW w:w="160" w:type="dxa"/>
            <w:vAlign w:val="bottom"/>
          </w:tcPr>
          <w:p>
            <w:pPr>
              <w:spacing w:after="0"/>
              <w:rPr>
                <w:sz w:val="16"/>
                <w:szCs w:val="16"/>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July 30, 2022</w:t>
            </w:r>
          </w:p>
        </w:tc>
        <w:tc>
          <w:tcPr>
            <w:tcW w:w="160" w:type="dxa"/>
            <w:vAlign w:val="bottom"/>
          </w:tcPr>
          <w:p>
            <w:pPr>
              <w:spacing w:after="0"/>
              <w:rPr>
                <w:sz w:val="16"/>
                <w:szCs w:val="16"/>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July 31, 2021</w:t>
            </w:r>
          </w:p>
        </w:tc>
      </w:tr>
      <w:tr>
        <w:trPr>
          <w:trHeight w:val="149"/>
        </w:trPr>
        <w:tc>
          <w:tcPr>
            <w:tcW w:w="20" w:type="dxa"/>
            <w:vAlign w:val="bottom"/>
            <w:tcBorders>
              <w:bottom w:val="single" w:sz="8" w:color="CFF0FC"/>
            </w:tcBorders>
            <w:shd w:val="clear" w:color="auto" w:fill="CFF0FC"/>
          </w:tcPr>
          <w:p>
            <w:pPr>
              <w:spacing w:after="0"/>
              <w:rPr>
                <w:sz w:val="12"/>
                <w:szCs w:val="12"/>
                <w:color w:val="auto"/>
              </w:rPr>
            </w:pPr>
          </w:p>
        </w:tc>
        <w:tc>
          <w:tcPr>
            <w:tcW w:w="3420" w:type="dxa"/>
            <w:vAlign w:val="bottom"/>
            <w:tcBorders>
              <w:bottom w:val="single" w:sz="8" w:color="auto"/>
            </w:tcBorders>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millions, except percentage of sales and per share data)</w:t>
            </w:r>
          </w:p>
        </w:tc>
        <w:tc>
          <w:tcPr>
            <w:tcW w:w="15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CFF0FC"/>
            </w:tcBorders>
            <w:shd w:val="clear" w:color="auto" w:fill="CFF0FC"/>
          </w:tcPr>
          <w:p>
            <w:pPr>
              <w:spacing w:after="0"/>
              <w:rPr>
                <w:sz w:val="12"/>
                <w:szCs w:val="12"/>
                <w:color w:val="auto"/>
              </w:rPr>
            </w:pPr>
          </w:p>
        </w:tc>
        <w:tc>
          <w:tcPr>
            <w:tcW w:w="1160" w:type="dxa"/>
            <w:vAlign w:val="bottom"/>
            <w:tcBorders>
              <w:top w:val="single" w:sz="8" w:color="auto"/>
              <w:bottom w:val="single" w:sz="8" w:color="CFF0FC"/>
            </w:tcBorders>
            <w:shd w:val="clear" w:color="auto" w:fill="CFF0FC"/>
          </w:tcPr>
          <w:p>
            <w:pPr>
              <w:spacing w:after="0"/>
              <w:rPr>
                <w:sz w:val="12"/>
                <w:szCs w:val="12"/>
                <w:color w:val="auto"/>
              </w:rPr>
            </w:pPr>
          </w:p>
        </w:tc>
        <w:tc>
          <w:tcPr>
            <w:tcW w:w="3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CFF0FC"/>
            </w:tcBorders>
            <w:shd w:val="clear" w:color="auto" w:fill="CFF0FC"/>
          </w:tcPr>
          <w:p>
            <w:pPr>
              <w:spacing w:after="0"/>
              <w:rPr>
                <w:sz w:val="12"/>
                <w:szCs w:val="12"/>
                <w:color w:val="auto"/>
              </w:rPr>
            </w:pPr>
          </w:p>
        </w:tc>
        <w:tc>
          <w:tcPr>
            <w:tcW w:w="1140" w:type="dxa"/>
            <w:vAlign w:val="bottom"/>
            <w:tcBorders>
              <w:top w:val="single" w:sz="8" w:color="auto"/>
              <w:bottom w:val="single" w:sz="8" w:color="CFF0FC"/>
            </w:tcBorders>
            <w:shd w:val="clear" w:color="auto" w:fill="CFF0FC"/>
          </w:tcPr>
          <w:p>
            <w:pPr>
              <w:spacing w:after="0"/>
              <w:rPr>
                <w:sz w:val="12"/>
                <w:szCs w:val="12"/>
                <w:color w:val="auto"/>
              </w:rPr>
            </w:pPr>
          </w:p>
        </w:tc>
        <w:tc>
          <w:tcPr>
            <w:tcW w:w="3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CFF0FC"/>
            </w:tcBorders>
            <w:shd w:val="clear" w:color="auto" w:fill="CFF0FC"/>
          </w:tcPr>
          <w:p>
            <w:pPr>
              <w:spacing w:after="0"/>
              <w:rPr>
                <w:sz w:val="12"/>
                <w:szCs w:val="12"/>
                <w:color w:val="auto"/>
              </w:rPr>
            </w:pPr>
          </w:p>
        </w:tc>
        <w:tc>
          <w:tcPr>
            <w:tcW w:w="1080" w:type="dxa"/>
            <w:vAlign w:val="bottom"/>
            <w:tcBorders>
              <w:top w:val="single" w:sz="8" w:color="auto"/>
              <w:bottom w:val="single" w:sz="8" w:color="CFF0FC"/>
            </w:tcBorders>
            <w:shd w:val="clear" w:color="auto" w:fill="CFF0FC"/>
          </w:tcPr>
          <w:p>
            <w:pPr>
              <w:spacing w:after="0"/>
              <w:rPr>
                <w:sz w:val="12"/>
                <w:szCs w:val="12"/>
                <w:color w:val="auto"/>
              </w:rPr>
            </w:pPr>
          </w:p>
        </w:tc>
        <w:tc>
          <w:tcPr>
            <w:tcW w:w="3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CFF0FC"/>
            </w:tcBorders>
            <w:shd w:val="clear" w:color="auto" w:fill="CFF0FC"/>
          </w:tcPr>
          <w:p>
            <w:pPr>
              <w:spacing w:after="0"/>
              <w:rPr>
                <w:sz w:val="12"/>
                <w:szCs w:val="12"/>
                <w:color w:val="auto"/>
              </w:rPr>
            </w:pPr>
          </w:p>
        </w:tc>
        <w:tc>
          <w:tcPr>
            <w:tcW w:w="1040" w:type="dxa"/>
            <w:vAlign w:val="bottom"/>
            <w:tcBorders>
              <w:top w:val="single" w:sz="8" w:color="auto"/>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r>
      <w:tr>
        <w:trPr>
          <w:trHeight w:val="175"/>
        </w:trPr>
        <w:tc>
          <w:tcPr>
            <w:tcW w:w="49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Sales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32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w:t>
            </w:r>
          </w:p>
        </w:tc>
        <w:tc>
          <w:tcPr>
            <w:tcW w:w="3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272.3</w:t>
            </w:r>
          </w:p>
        </w:tc>
        <w:tc>
          <w:tcPr>
            <w:tcW w:w="30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250.1</w:t>
            </w:r>
          </w:p>
        </w:tc>
        <w:tc>
          <w:tcPr>
            <w:tcW w:w="220" w:type="dxa"/>
            <w:vAlign w:val="bottom"/>
          </w:tcPr>
          <w:p>
            <w:pPr>
              <w:spacing w:after="0"/>
              <w:rPr>
                <w:sz w:val="15"/>
                <w:szCs w:val="15"/>
                <w:color w:val="auto"/>
              </w:rPr>
            </w:pPr>
          </w:p>
        </w:tc>
      </w:tr>
      <w:tr>
        <w:trPr>
          <w:trHeight w:val="176"/>
        </w:trPr>
        <w:tc>
          <w:tcPr>
            <w:tcW w:w="49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220" w:type="dxa"/>
            <w:vAlign w:val="bottom"/>
            <w:shd w:val="clear" w:color="auto" w:fill="CFF0FC"/>
          </w:tcPr>
          <w:p>
            <w:pPr>
              <w:spacing w:after="0"/>
              <w:rPr>
                <w:sz w:val="15"/>
                <w:szCs w:val="15"/>
                <w:color w:val="auto"/>
              </w:rPr>
            </w:pPr>
          </w:p>
        </w:tc>
      </w:tr>
      <w:tr>
        <w:trPr>
          <w:trHeight w:val="175"/>
        </w:trPr>
        <w:tc>
          <w:tcPr>
            <w:tcW w:w="49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Adjusted EBITDA (Non-GAAP basis)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32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3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30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220" w:type="dxa"/>
            <w:vAlign w:val="bottom"/>
          </w:tcPr>
          <w:p>
            <w:pPr>
              <w:spacing w:after="0"/>
              <w:rPr>
                <w:sz w:val="15"/>
                <w:szCs w:val="15"/>
                <w:color w:val="auto"/>
              </w:rPr>
            </w:pPr>
          </w:p>
        </w:tc>
      </w:tr>
      <w:tr>
        <w:trPr>
          <w:trHeight w:val="176"/>
        </w:trPr>
        <w:tc>
          <w:tcPr>
            <w:tcW w:w="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2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spacing w:after="0"/>
              <w:rPr>
                <w:sz w:val="15"/>
                <w:szCs w:val="15"/>
                <w:color w:val="auto"/>
              </w:rPr>
            </w:pPr>
          </w:p>
        </w:tc>
      </w:tr>
      <w:tr>
        <w:trPr>
          <w:trHeight w:val="176"/>
        </w:trPr>
        <w:tc>
          <w:tcPr>
            <w:tcW w:w="49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Gross Margin. as a percentage of sales</w:t>
            </w:r>
          </w:p>
        </w:tc>
        <w:tc>
          <w:tcPr>
            <w:tcW w:w="180" w:type="dxa"/>
            <w:vAlign w:val="bottom"/>
          </w:tcPr>
          <w:p>
            <w:pPr>
              <w:spacing w:after="0"/>
              <w:rPr>
                <w:sz w:val="15"/>
                <w:szCs w:val="15"/>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52.1 %</w:t>
            </w:r>
          </w:p>
        </w:tc>
        <w:tc>
          <w:tcPr>
            <w:tcW w:w="180" w:type="dxa"/>
            <w:vAlign w:val="bottom"/>
          </w:tcPr>
          <w:p>
            <w:pPr>
              <w:spacing w:after="0"/>
              <w:rPr>
                <w:sz w:val="15"/>
                <w:szCs w:val="15"/>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51.7 %</w:t>
            </w:r>
          </w:p>
        </w:tc>
        <w:tc>
          <w:tcPr>
            <w:tcW w:w="16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51.1 %</w:t>
            </w:r>
          </w:p>
        </w:tc>
        <w:tc>
          <w:tcPr>
            <w:tcW w:w="160" w:type="dxa"/>
            <w:vAlign w:val="bottom"/>
          </w:tcPr>
          <w:p>
            <w:pPr>
              <w:spacing w:after="0"/>
              <w:rPr>
                <w:sz w:val="15"/>
                <w:szCs w:val="15"/>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49.0 %</w:t>
            </w:r>
          </w:p>
        </w:tc>
      </w:tr>
      <w:tr>
        <w:trPr>
          <w:trHeight w:val="175"/>
        </w:trPr>
        <w:tc>
          <w:tcPr>
            <w:tcW w:w="49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SG&amp;A expenses, as a percentage of sales</w:t>
            </w:r>
          </w:p>
        </w:tc>
        <w:tc>
          <w:tcPr>
            <w:tcW w:w="18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34.2 %</w:t>
            </w:r>
          </w:p>
        </w:tc>
        <w:tc>
          <w:tcPr>
            <w:tcW w:w="18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30.1 %</w:t>
            </w:r>
          </w:p>
        </w:tc>
        <w:tc>
          <w:tcPr>
            <w:tcW w:w="16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35.3 %</w:t>
            </w:r>
          </w:p>
        </w:tc>
        <w:tc>
          <w:tcPr>
            <w:tcW w:w="1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31.5 %</w:t>
            </w:r>
          </w:p>
        </w:tc>
      </w:tr>
      <w:tr>
        <w:trPr>
          <w:trHeight w:val="176"/>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55"/>
        </w:trPr>
        <w:tc>
          <w:tcPr>
            <w:tcW w:w="20" w:type="dxa"/>
            <w:vAlign w:val="bottom"/>
            <w:shd w:val="clear" w:color="auto" w:fill="CFF0FC"/>
          </w:tcPr>
          <w:p>
            <w:pPr>
              <w:spacing w:after="0"/>
              <w:rPr>
                <w:sz w:val="13"/>
                <w:szCs w:val="13"/>
                <w:color w:val="auto"/>
              </w:rPr>
            </w:pPr>
          </w:p>
        </w:tc>
        <w:tc>
          <w:tcPr>
            <w:tcW w:w="4960" w:type="dxa"/>
            <w:vAlign w:val="bottom"/>
            <w:gridSpan w:val="3"/>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Per diluted share:</w:t>
            </w:r>
          </w:p>
        </w:tc>
        <w:tc>
          <w:tcPr>
            <w:tcW w:w="1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r>
      <w:tr>
        <w:trPr>
          <w:trHeight w:val="188"/>
        </w:trPr>
        <w:tc>
          <w:tcPr>
            <w:tcW w:w="20" w:type="dxa"/>
            <w:vAlign w:val="bottom"/>
            <w:tcBorders>
              <w:top w:val="single" w:sz="8" w:color="CFF0FC"/>
            </w:tcBorders>
          </w:tcPr>
          <w:p>
            <w:pPr>
              <w:spacing w:after="0"/>
              <w:rPr>
                <w:sz w:val="16"/>
                <w:szCs w:val="16"/>
                <w:color w:val="auto"/>
              </w:rPr>
            </w:pPr>
          </w:p>
        </w:tc>
        <w:tc>
          <w:tcPr>
            <w:tcW w:w="1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Net income</w:t>
            </w:r>
          </w:p>
        </w:tc>
        <w:tc>
          <w:tcPr>
            <w:tcW w:w="3960" w:type="dxa"/>
            <w:vAlign w:val="bottom"/>
            <w:tcBorders>
              <w:top w:val="single" w:sz="8" w:color="CFF0FC"/>
            </w:tcBorders>
            <w:gridSpan w:val="2"/>
          </w:tcPr>
          <w:p>
            <w:pPr>
              <w:spacing w:after="0"/>
              <w:rPr>
                <w:sz w:val="16"/>
                <w:szCs w:val="16"/>
                <w:color w:val="auto"/>
              </w:rPr>
            </w:pPr>
          </w:p>
        </w:tc>
        <w:tc>
          <w:tcPr>
            <w:tcW w:w="180" w:type="dxa"/>
            <w:vAlign w:val="bottom"/>
            <w:tcBorders>
              <w:top w:val="single" w:sz="8" w:color="CFF0FC"/>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0.85</w:t>
            </w:r>
          </w:p>
        </w:tc>
        <w:tc>
          <w:tcPr>
            <w:tcW w:w="320" w:type="dxa"/>
            <w:vAlign w:val="bottom"/>
            <w:tcBorders>
              <w:top w:val="single" w:sz="8" w:color="CFF0FC"/>
            </w:tcBorders>
          </w:tcPr>
          <w:p>
            <w:pPr>
              <w:spacing w:after="0"/>
              <w:rPr>
                <w:sz w:val="16"/>
                <w:szCs w:val="16"/>
                <w:color w:val="auto"/>
              </w:rPr>
            </w:pPr>
          </w:p>
        </w:tc>
        <w:tc>
          <w:tcPr>
            <w:tcW w:w="180" w:type="dxa"/>
            <w:vAlign w:val="bottom"/>
            <w:tcBorders>
              <w:top w:val="single" w:sz="8" w:color="CFF0FC"/>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320" w:type="dxa"/>
            <w:vAlign w:val="bottom"/>
            <w:tcBorders>
              <w:top w:val="single" w:sz="8" w:color="CFF0FC"/>
            </w:tcBorders>
          </w:tcPr>
          <w:p>
            <w:pPr>
              <w:spacing w:after="0"/>
              <w:rPr>
                <w:sz w:val="16"/>
                <w:szCs w:val="16"/>
                <w:color w:val="auto"/>
              </w:rPr>
            </w:pPr>
          </w:p>
        </w:tc>
        <w:tc>
          <w:tcPr>
            <w:tcW w:w="160" w:type="dxa"/>
            <w:vAlign w:val="bottom"/>
            <w:tcBorders>
              <w:top w:val="single" w:sz="8" w:color="CFF0FC"/>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300" w:type="dxa"/>
            <w:vAlign w:val="bottom"/>
            <w:tcBorders>
              <w:top w:val="single" w:sz="8" w:color="CFF0FC"/>
            </w:tcBorders>
          </w:tcPr>
          <w:p>
            <w:pPr>
              <w:spacing w:after="0"/>
              <w:rPr>
                <w:sz w:val="16"/>
                <w:szCs w:val="16"/>
                <w:color w:val="auto"/>
              </w:rPr>
            </w:pPr>
          </w:p>
        </w:tc>
        <w:tc>
          <w:tcPr>
            <w:tcW w:w="160" w:type="dxa"/>
            <w:vAlign w:val="bottom"/>
            <w:tcBorders>
              <w:top w:val="single" w:sz="8" w:color="CFF0FC"/>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0.50</w:t>
            </w:r>
          </w:p>
        </w:tc>
        <w:tc>
          <w:tcPr>
            <w:tcW w:w="220" w:type="dxa"/>
            <w:vAlign w:val="bottom"/>
            <w:tcBorders>
              <w:top w:val="single" w:sz="8" w:color="CFF0FC"/>
            </w:tcBorders>
          </w:tcPr>
          <w:p>
            <w:pPr>
              <w:spacing w:after="0"/>
              <w:rPr>
                <w:sz w:val="16"/>
                <w:szCs w:val="16"/>
                <w:color w:val="auto"/>
              </w:rPr>
            </w:pPr>
          </w:p>
        </w:tc>
      </w:tr>
    </w:tbl>
    <w:p>
      <w:pPr>
        <w:spacing w:after="0" w:line="200" w:lineRule="exact"/>
        <w:rPr>
          <w:sz w:val="20"/>
          <w:szCs w:val="20"/>
          <w:color w:val="auto"/>
        </w:rPr>
      </w:pPr>
    </w:p>
    <w:p>
      <w:pPr>
        <w:spacing w:after="0" w:line="228"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We are pleased to report continued earnings and sales growth this quarter, with results exceeding our internal expectations. Comparable sales increased 6.1% for the quarter, with increases across all of our customer channels, driven by higher average order values, our digital transformation, and our brand repositioning. Regionally, all parts of the country performed above their pre-pandemic levels, with the largest gains during the second quarter in New England and Florida, while parts of the Midwest lagged. Dollars per transaction was the primary driver of our sales increase and was attributable to our reduced reliance on promotions, a historically low-level of clearance inventory and a shift in merchandise mix to higher-price items, such as tailored clothing. Our gross margin rate for the second quarter also benefited from the low promotions and clearance enabling us to substantially offset the increase in freight and shipping costs that we continue to experience. In line with our expectations, our selling, general and administrative expenses (SG&amp;A) increased by 410 basis points during the second quarter, primarily due to increased payroll costs to support sales, marketing costs, and accruals for performance-based incentive plans. Our marketing costs for the second quarter of fiscal 2022 represented approximately 170 basis points of this increase. Our marketing plan for fiscal 2022 is 6.2% of sales, which in total is an increase of 150 basis points from fiscal 2021.</w:t>
      </w:r>
    </w:p>
    <w:p>
      <w:pPr>
        <w:spacing w:after="0" w:line="18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During the second quarter of fiscal 2022, we determined that it was more likely than not that we would be able to realize substantially all of our deferred tax assets primarily due to the cumulative three-years of earnings as well as projections for future earnings. As a result, we recorded a non-cash tax benefit of $35.5 million, related to the release of substantially all of the valuation allowance against our deferred tax assets.</w:t>
      </w:r>
    </w:p>
    <w:p>
      <w:pPr>
        <w:spacing w:after="0" w:line="190" w:lineRule="exact"/>
        <w:rPr>
          <w:sz w:val="20"/>
          <w:szCs w:val="20"/>
          <w:color w:val="auto"/>
        </w:rPr>
      </w:pPr>
    </w:p>
    <w:p>
      <w:pPr>
        <w:ind w:right="420"/>
        <w:spacing w:after="0" w:line="296" w:lineRule="auto"/>
        <w:rPr>
          <w:sz w:val="20"/>
          <w:szCs w:val="20"/>
          <w:color w:val="auto"/>
        </w:rPr>
      </w:pPr>
      <w:r>
        <w:rPr>
          <w:rFonts w:ascii="Times New Roman" w:cs="Times New Roman" w:eastAsia="Times New Roman" w:hAnsi="Times New Roman"/>
          <w:sz w:val="17"/>
          <w:szCs w:val="17"/>
          <w:color w:val="auto"/>
        </w:rPr>
        <w:t>Net income for the second quarter was $56.9 million, or $0.85 per diluted share and included a tax benefit of $35.5 million, or $0.53 per diluted share, related to the release of the tax valuation allowance. Net income for the second quarter of fiscal 2021 was $24.5 million, or $0.36 per diluted share.</w:t>
      </w:r>
    </w:p>
    <w:p>
      <w:pPr>
        <w:spacing w:after="0" w:line="13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At July 30, 2022, we had no debt outstanding and we did not make any borrowings under our credit facility during the first six months. Our unused excess availability at July 30, 2022 was $85.1 million. At the end of the second quarter, we are in a strong inventory position and have been able to replenish those categories that were depleted at the end of the second quarter last year. As a result, our inventory level at the end of the second quarter is intentionally up 31.8% from last year, but compared to the end of the second quarter in fiscal 2019 inventory is down 12.7%. In addition, we have improved our inventory turn by almost 40% from fiscal 2019.</w:t>
      </w:r>
    </w:p>
    <w:p>
      <w:pPr>
        <w:spacing w:after="0" w:line="17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As we previously disclosed, the Company's Board of Directors approved a $15.0 million stock repurchase program in March 2022 and, during the first six months of fiscal 2022, we utilized our free cash flow to repurchase 2.9 million shares of our common stock, at an aggregate cost of $12.7 million, including fees.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9" w:name="page20"/>
    <w:bookmarkEnd w:id="19"/>
    <w:p>
      <w:pPr>
        <w:ind w:right="280"/>
        <w:spacing w:after="0" w:line="282" w:lineRule="auto"/>
        <w:rPr>
          <w:sz w:val="20"/>
          <w:szCs w:val="20"/>
          <w:color w:val="auto"/>
        </w:rPr>
      </w:pPr>
      <w:r>
        <w:rPr>
          <w:rFonts w:ascii="Times New Roman" w:cs="Times New Roman" w:eastAsia="Times New Roman" w:hAnsi="Times New Roman"/>
          <w:sz w:val="18"/>
          <w:szCs w:val="18"/>
          <w:color w:val="auto"/>
        </w:rPr>
        <w:t>While we believe our long-term outlook is strong, the current retail environment remains highly volatile, with inflation, rising interest rates, supply chain issues, labor and staffing challenges, the ongoing global pandemic, as well as the war in Ukraine.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Summary</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sales by segment for the three and six months ended July 30, 2022 and July 31,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00" w:type="dxa"/>
            <w:vAlign w:val="bottom"/>
            <w:gridSpan w:val="6"/>
          </w:tcPr>
          <w:p>
            <w:pPr>
              <w:jc w:val="right"/>
              <w:ind w:right="59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gridSpan w:val="6"/>
          </w:tcPr>
          <w:p>
            <w:pPr>
              <w:jc w:val="right"/>
              <w:ind w:right="590"/>
              <w:spacing w:after="0"/>
              <w:rPr>
                <w:sz w:val="20"/>
                <w:szCs w:val="20"/>
                <w:color w:val="auto"/>
              </w:rPr>
            </w:pPr>
            <w:r>
              <w:rPr>
                <w:rFonts w:ascii="Times New Roman" w:cs="Times New Roman" w:eastAsia="Times New Roman" w:hAnsi="Times New Roman"/>
                <w:sz w:val="18"/>
                <w:szCs w:val="18"/>
                <w:color w:val="auto"/>
              </w:rPr>
              <w:t>For the Six Months Ended</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July 30, 2022</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July 31, 2021</w:t>
            </w:r>
          </w:p>
        </w:tc>
        <w:tc>
          <w:tcPr>
            <w:tcW w:w="10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71.9 %</w:t>
            </w: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July 30, 2022</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July 31, 2021</w:t>
            </w:r>
          </w:p>
        </w:tc>
        <w:tc>
          <w:tcPr>
            <w:tcW w:w="9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70.7 %</w:t>
            </w:r>
          </w:p>
        </w:tc>
        <w:tc>
          <w:tcPr>
            <w:tcW w:w="0" w:type="dxa"/>
            <w:vAlign w:val="bottom"/>
          </w:tcPr>
          <w:p>
            <w:pPr>
              <w:spacing w:after="0"/>
              <w:rPr>
                <w:sz w:val="1"/>
                <w:szCs w:val="1"/>
                <w:color w:val="auto"/>
              </w:rPr>
            </w:pPr>
          </w:p>
        </w:tc>
      </w:tr>
      <w:tr>
        <w:trPr>
          <w:trHeight w:val="210"/>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100,924</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rPr>
              <w:t>69.8 %</w:t>
            </w: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99,043</w:t>
            </w:r>
          </w:p>
        </w:tc>
        <w:tc>
          <w:tcPr>
            <w:tcW w:w="102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189,203</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rPr>
              <w:t>69.6 %</w:t>
            </w: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173,923</w:t>
            </w:r>
          </w:p>
        </w:tc>
        <w:tc>
          <w:tcPr>
            <w:tcW w:w="9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sales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43,693</w:t>
            </w:r>
          </w:p>
        </w:tc>
        <w:tc>
          <w:tcPr>
            <w:tcW w:w="1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30.2 %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38,664</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28.1 %</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82,687</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rPr>
              <w:t>30.4 %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72,206</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rPr>
              <w:t>29.3 %</w:t>
            </w:r>
          </w:p>
        </w:tc>
        <w:tc>
          <w:tcPr>
            <w:tcW w:w="0" w:type="dxa"/>
            <w:vAlign w:val="bottom"/>
          </w:tcPr>
          <w:p>
            <w:pPr>
              <w:spacing w:after="0"/>
              <w:rPr>
                <w:sz w:val="1"/>
                <w:szCs w:val="1"/>
                <w:color w:val="auto"/>
              </w:rPr>
            </w:pPr>
          </w:p>
        </w:tc>
      </w:tr>
      <w:tr>
        <w:trPr>
          <w:trHeight w:val="209"/>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segment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144,617</w:t>
            </w:r>
          </w:p>
        </w:tc>
        <w:tc>
          <w:tcPr>
            <w:tcW w:w="1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137,707</w:t>
            </w:r>
          </w:p>
        </w:tc>
        <w:tc>
          <w:tcPr>
            <w:tcW w:w="1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271,890</w:t>
            </w: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246,129</w:t>
            </w:r>
          </w:p>
        </w:tc>
        <w:tc>
          <w:tcPr>
            <w:tcW w:w="1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Wholesale segment</w:t>
            </w:r>
          </w:p>
        </w:tc>
        <w:tc>
          <w:tcPr>
            <w:tcW w:w="1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144,634</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138,590</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272,289</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250,084</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-590550</wp:posOffset>
            </wp:positionV>
            <wp:extent cx="7132320" cy="2825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-170815</wp:posOffset>
            </wp:positionV>
            <wp:extent cx="7747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-170815</wp:posOffset>
            </wp:positionV>
            <wp:extent cx="7747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-170815</wp:posOffset>
            </wp:positionV>
            <wp:extent cx="6858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-170815</wp:posOffset>
            </wp:positionV>
            <wp:extent cx="6858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7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Total sales for the second quarter of fiscal 2022 were $144.6 million, as compared to $138.6 million in the second quarter of fiscal 2021. Comparable sales for the second quarter were up 6.1% with comparable sales from our stores up 3.6% and our direct business up 12.7%.</w:t>
      </w:r>
    </w:p>
    <w:p>
      <w:pPr>
        <w:spacing w:after="0" w:line="68"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Sales for the second quarter exceeded our plan, driven primarily by an increase in dollars per transaction. This increase is attributable to a combination of factors, including less markdowns from fewer promotions, deeper penetration in high-ticket categories such as tailored clothing, less clearance inventory available for sale and, to a lesser extent, targeted price increases. The growth in our direct business of 12.7% was driven by our web and app with continued growth from online marketplaces. Through our digital efforts and marketplace presence, we are continuing to attract a new customer to DXL.</w:t>
      </w:r>
    </w:p>
    <w:p>
      <w:pPr>
        <w:spacing w:after="0" w:line="86"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8"/>
          <w:szCs w:val="18"/>
          <w:color w:val="auto"/>
        </w:rPr>
        <w:t>Compared to the second quarter of fiscal 2019, the last normalized selling year, our comparable sales for the second quarter of fiscal 2022 were up 32.6% in May, up 27.8% in June, and up 27.6% in July. We believe the comparison to fiscal 2019 is relevant when evaluating our sales performance given the impact of the pandemic on the past two years. We expect to see a fairly similar comparable sales trend in the second half of fiscal 2022 as compared to fiscal 2019, and we expect comparable sales growth, against fiscal 2021, to be in the low to mid-single digits during the third quarter and high-single digits during the fourth quarter. During the second quarter of fiscal 2022, comparable sales were up 14.0% in May, up 3.6% in June and up 1.1% in July, when compared against fiscal 2021.</w:t>
      </w:r>
    </w:p>
    <w:p>
      <w:pPr>
        <w:spacing w:after="0" w:line="87"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For the first six months of fiscal 2022, total sales increased 8.9% to $272.3 million, as compared to $250.1 million for the first six months of fiscal 2021. Comparable sales for the first six months of fiscal 2022, as compared to fiscal 2021, increased 12.0%, with comparable sales from our stores up 11.0% and our direct business up 14.6%.</w:t>
      </w:r>
    </w:p>
    <w:p>
      <w:pPr>
        <w:spacing w:after="0" w:line="82"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As we previously disclosed, during the first quarter of fiscal 2022, we ended our relationship with our primary wholesale customer. As a result, our wholesale revenues for the first six months of fiscal 2022 were $0.4 million as compared to $4.0 million for the first six months of fiscal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 Rate</w:t>
      </w:r>
    </w:p>
    <w:p>
      <w:pPr>
        <w:spacing w:after="0" w:line="11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For the second quarter of fiscal 2022, our gross margin rate, inclusive of occupancy costs, was 52.1% as compared to a gross margin rate of 51.7% for second quarter of fiscal 2021.</w:t>
      </w:r>
    </w:p>
    <w:p>
      <w:pPr>
        <w:spacing w:after="0" w:line="54"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Our gross margin rate improved by 40 basis points, driven by a 50 basis point improvement in occupancy cost offset by a 10 basis point decrease in merchandise margins as compared to the second quarter of fiscal 2021. The 50 basis point improvement in occupancy costs was due to the increased leverage from sales as well as a decrease of approximately $0.1 million in occupancy costs from closed stores. The 10 basis point decrease in merchandise margin was due to an increase in both inbound and outbound shipping costs of approximately 180 basis points, mostly offset by lower promotional markdowns. We expect that we will continue to experience an increase in freight costs and in the cost of certain raw materials, particularly cotton. Although at the beginning of fiscal 2022, we reported that we expected our gross margin to be 200 points lower than fiscal 2021, we now expect that our gross margin rate for the full fiscal year will be approximately flat to fiscal 2021 based on our current expectations.</w:t>
      </w:r>
    </w:p>
    <w:p>
      <w:pPr>
        <w:spacing w:after="0" w:line="73"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color w:val="auto"/>
        </w:rPr>
        <w:t>For the first six months of fiscal 2022, our gross margin rate, inclusive of occupancy costs, was 51.1%, as compared to a gross margin rate of 49.0% for the first six months of fiscal 2021. The increase of 210 basis points was due to an improvement of 130 basis points in occupancy costs, due to the increased leverage from sales, and an increase in merchandise margins of 80 basis points, due primarily to the lower promotional markdowns partially offset by the increase in freight and shipping costs.</w:t>
      </w:r>
    </w:p>
    <w:p>
      <w:pPr>
        <w:spacing w:after="0" w:line="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40" w:right="2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As a percentage of sales, SG&amp;A (selling, general and administrative) expenses for the second quarter of fiscal 2022 were 34.2% as compared to 30.1% for the second quarter of fiscal 2021. The SG&amp;A rate for the second quarter of fiscal 2021 was abnormally low due to the surge in sales from pent-up demand and stimulus money while at the same time experiencing a shortage in store staffing. However, our SG&amp;A rate as a percentage of sales is favorable when compared against 38.5% in the second quarter of fiscal 2019, which was our last normalized second quarter, pre-pandemic.</w:t>
      </w:r>
    </w:p>
    <w:p>
      <w:pPr>
        <w:spacing w:after="0" w:line="69" w:lineRule="exact"/>
        <w:rPr>
          <w:sz w:val="20"/>
          <w:szCs w:val="20"/>
          <w:color w:val="auto"/>
        </w:rPr>
      </w:pPr>
    </w:p>
    <w:p>
      <w:pPr>
        <w:ind w:right="280"/>
        <w:spacing w:after="0" w:line="246" w:lineRule="auto"/>
        <w:rPr>
          <w:sz w:val="20"/>
          <w:szCs w:val="20"/>
          <w:color w:val="auto"/>
        </w:rPr>
      </w:pPr>
      <w:r>
        <w:rPr>
          <w:rFonts w:ascii="Times New Roman" w:cs="Times New Roman" w:eastAsia="Times New Roman" w:hAnsi="Times New Roman"/>
          <w:sz w:val="18"/>
          <w:szCs w:val="18"/>
          <w:color w:val="auto"/>
        </w:rPr>
        <w:t>On a dollar basis, SG&amp;A expenses increased by $7.7 million as compared to the second quarter of fiscal 2021. The increase was primarily due to an increase in marketing costs to drive customer acquisition and engagement, payroll costs to support sales growth, including merit adjustments and filling open positions, and an increase in performance-based incentive accruals. Our marketing costs for the second quarter of fiscal 2022 represented 5.4% of sales as compared to 3.7% in the second quarter of fiscal 2021. For fiscal 2022, the Company is expecting marketing costs to be approximately 6.2% of sales.</w:t>
      </w:r>
    </w:p>
    <w:p>
      <w:pPr>
        <w:spacing w:after="0" w:line="7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For the first six months of fiscal 2022, SG&amp;A expenses were 35.3% of sales as compared to 31.5% of sales for the first six months of fiscal 2021. Similar to the second quarter, the prior year rate was abnormally low. When compared against the first six months of fiscal 2019 when the rate was 39.0% of sales, the savings that we have been able to realize in our SG&amp;A costs is evident. As compared to the first six months of fiscal 2021, SG&amp;A costs increased $17.2 million, or 21.8%, as a result of increased marketing costs, payroll costs to support sales growth, first quarter merit adjustments, filling open positions and an increase in performance-based incentive accruals.</w:t>
      </w:r>
    </w:p>
    <w:p>
      <w:pPr>
        <w:spacing w:after="0" w:line="69"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Management views SG&amp;A expenses through two primary cost centers: Customer Facing Costs and Corporate Support Costs. Customer Facing Costs, which include store payroll, marketing and other store and direct operating costs, represented 19.8% of sales in the first six months of fiscal 2022 as compared to 17.4% of sales in the first six months of fiscal 2021. Corporate Support Costs, which include the distribution center and corporate overhead costs, represented 15.5% of sales in the first six months of fiscal 2022 compared to 14.1% of sales in the first six months of fiscal 2021.</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(Gain) of Assets</w:t>
      </w:r>
    </w:p>
    <w:p>
      <w:pPr>
        <w:spacing w:after="0" w:line="119"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During the second quarter of fiscal 2022 and fiscal 2021, the Company recorded non-cash gains of $0.1 million and $0.4 million, respectively, and for the first six months of fiscal 2022 and fiscal 2021, the Company recorded non-cash gains of $0.6 million and $1.1 million, respectively, on the reduction of its operating lease liability in connection with its decision to close certain retail stores, which resulted in a revaluation of the lease liability. Of the total non-cash gains, $0.1 million and $0.4 million for the second quarter of fiscal 2022 and fiscal 2021, respectively, and $0.4 million and $1.0 million for the first six months of fiscal 2022 and fiscal 2021 respectively, related to leases where the right-of-use assets had previously been impaired, and therefore, were recorded as a reduction of the previously-recorded impairment and were included in the Impairment (Gain) of Assets line of the Consolidated Statement of Operations for the three months ended July 30, 2022 and July 31, 2021. The remaining gains of $0.2 million and $0.1 million for the first six months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2022 and fiscal 2021 were recorded as a reduction to occupancy costs in each period.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Depreciation and amortization for the second quarter of fiscal 2022 decreased to $4.0 million as compared to $4.4 million for the second quarter of fiscal 2021. For the first six months of fiscal 2022, depreciation and amortization decreased to $8.0 million as compared to $8.9 million for the first six months of fiscal 2021. The decrease was due to a lower depreciable cost base, especially from our store assets, due to our limited capital spending since fiscal 2020.</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06"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Interest expense for second quarter of fiscal 2022 was $0.1 million, as compared to $0.9 million for the second quarter of fiscal 2021. For the first six months of fiscal 2022, interest expense was $0.2 million as compared to $2.1 million for the first six months of fiscal 2021. The Company had no outstanding debt and no borrowings under its credit facility during the second quarter and first six months of fiscal 2022 resulting in a decrease in interest expense as compared to the second quarter and first six months of fiscal 2021.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Since the end of fiscal 2013, we have maintained a full valuation allowance against our deferred tax assets. During the second quarter of fiscal 2022, we determined that it was more likely than not that we would be able to realize the benefit of substantially all of our deferred tax assets in the United States. In reaching this determination, we considered the cumulative three years of profitability, our expectations regarding the generation of future taxable income as well as the overall improvement in the Company's business and its current market position. As a result, in the second quarter of fiscal 2022, we recognized a tax benefit related to the release of approximately $35.5 million in valuation allowance against our deferred tax assets in the United States. At July 30, 2022, we continued to provide a valuation allowance of $2.4 million, primarily against certain state and foreign net operating losses ("NOLs").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21" w:name="page22"/>
    <w:bookmarkEnd w:id="21"/>
    <w:p>
      <w:pPr>
        <w:spacing w:after="0" w:line="258" w:lineRule="auto"/>
        <w:rPr>
          <w:sz w:val="20"/>
          <w:szCs w:val="20"/>
          <w:color w:val="auto"/>
        </w:rPr>
      </w:pPr>
      <w:r>
        <w:rPr>
          <w:rFonts w:ascii="Times New Roman" w:cs="Times New Roman" w:eastAsia="Times New Roman" w:hAnsi="Times New Roman"/>
          <w:sz w:val="18"/>
          <w:szCs w:val="18"/>
          <w:color w:val="auto"/>
        </w:rPr>
        <w:t>During the second quarter and first six months of fiscal 2022, we recorded an income tax benefit of $35.1 million and $35.0 million, respectively. Excluding the release of $35.5 million in valuation allowance, we recorded income tax expense of $408,000 and $511,000, respectively, primarily related to income tax in states where NOL usage is statutorily limited.</w:t>
      </w:r>
    </w:p>
    <w:p>
      <w:pPr>
        <w:spacing w:after="0" w:line="6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the second quarter and first six months of fiscal 2021, we recorded income tax expense of $426,000 and $454,000, respectively, primarily related to income tax in states where NOL usage is statutorily limited.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214"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For the second quarter and first six months of fiscal 2022, we recorded net income of $56.9 million, or $0.85 per diluted share, and $70.3 million, or $1.04 per diluted share, respectively. Results for the second quarter and first six months of fiscal 2022 include a non-cash tax benefit of $35.5 million, or $0.53 per diluted share, related to the release of substantially all of the Company's valuation allowance against its deferred tax assets.</w:t>
      </w:r>
    </w:p>
    <w:p>
      <w:pPr>
        <w:spacing w:after="0" w:line="16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the second quarter and first six months of fiscal 2021 net income was $24.5 million, or $0.36 per diluted share and $33.1 million, or $0.50 per diluted share,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7"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18"/>
          <w:szCs w:val="18"/>
          <w:color w:val="auto"/>
        </w:rPr>
        <w:t>As of July 30, 2022, our inventory increased approximately $23.4 million to $96.7 million, as compared to $73.4 million at July 31, 2021. We are in a stronger inventory position at July 30, 2022 than at the end of the second quarter last year. This increase was purposeful in order to replenish several categories that were depleted last year. Compared to the second quarter of fiscal 2019, our inventory is down 12.7%. Managing our inventory remains a primary focus for us given the potential impact that inflation may have on consumer spending. We believe that we will be able to secure sufficient inventory to support our sales forecasts for fiscal 2022 while also ensuring that we don't have excess inventory levels. At July 30, 2022, our clearance inventory was 6.9% of our total inventory, as compared to 8.9% at July 31, 2021 and 10.9% at August 3, 2019.</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and consistent with the retail industry, we have experienced seasonal fluctuations as it relates to our operating income and net income.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Traditionally, a significant portion of our operating income and net income is generated in the fourth quarter, as a result of the “Holiday” season.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Our primary sources of liquidity are cash generated from operations and availability under our credit facility. At July 30, 2022, we had no outstanding debt, including no borrowings under our credit facility during the first six months of fiscal 2022. We believe our cash on hand, availability under our credit facility, and ongoing cash generated from our operations will be sufficient to fund our working capital requirements, our stock repurchase program and capital expenditures for the next 12 months. We believe that cash flows from operating activities and cash on hand will also be sufficient to satisfy our capital requirements in the longer-term, however, to the extent future capital requirements exceed cash on hand plus cash flows from operating activities, we anticipate that working capital will be financed by our credit facility, as discussed below.</w:t>
      </w:r>
    </w:p>
    <w:p>
      <w:pPr>
        <w:spacing w:after="0" w:line="195"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For the first six months of fiscal 2022, cash flow from operations decreased to $23.8 million as compared to $42.2 million for the first six months of fiscal 2021. Free cash flow, a non-GAAP measure, decreased to $19.8 million for the first six months of fiscal 2022 as compared to $40.5 million for the first six months of fiscal 2021. The decrease in free cash flow was due to our seasonal inventory build, the payout of incentive-based awards, and an increase in capital expenditures, which were partially offset by our increased earnings.</w:t>
      </w:r>
    </w:p>
    <w:p>
      <w:pPr>
        <w:spacing w:after="0" w:line="177"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Cash flow used from financing activities for the first six months of fiscal 2022 improved by $40.5 million as compared to the first six months of fiscal 2021, primarily due to the repayment in the prior year of amounts outstanding under our revolver. This was partially offset by the stock offering in February 2021 and the repurchase of our common stock, as discussed below, in the first six months of fiscal 2022.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Repurchase Program</w:t>
      </w:r>
    </w:p>
    <w:p>
      <w:pPr>
        <w:spacing w:after="0" w:line="212"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In March 2022, the Company’s Board of Directors approved a stock repurchase program. Under the stock repurchase program, the Company may repurchase up to $15.0 million of its common stock through open market and privately negotiated transactions. For the first six months of fiscal 2022, the Company repurchased 2.9 million shares at an aggregate cost, including fees, of $12.7 million</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from available cash on hand. Shares of repurchased common stock are held as treasury stock. The stock repurchase program will expire in March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21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On October 28, 2021, we entered into a $125.0 million revolving credit agreement, which replaced our prior credit facility that was due to expire in May 2023 (the "Credit Facility"). The Credit Facility has a five-year term and provides more favorable terms than the previous credit facility. The Credit Facility includes a sublimit of $20.0 million for commercial and standby letters of credit and a sublimit of up to $15.0 million for swingline loans. Borrowings made pursuant to the Credit Facility will be made pursuant to either a Base Rate loan or LIBOR Rate loan, at the Company's option. Base Rate loans bear interest, at a rate equal to (i) the greater of: (a) the Prime Rate, (b) the Federal Funds effective rate plus 0.50% per annum and (c) the daily LIBOR rate plus 1.00% per annum, plus (ii) a varying percentage, based on the Company’s average excess availability, of either 0.25% or 0.50%. LIBOR Rate loans, which may be either for 1 month or 3 months, bear interest at (i) the LIBOR rate, or the Benchmark Rate as defined in the credit agreement plus (ii) a varying percentage based on the Company’s average excess availability, of either 1.25% or 1.50%.</w:t>
      </w:r>
    </w:p>
    <w:p>
      <w:pPr>
        <w:spacing w:after="0" w:line="18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We had no outstanding borrowings under the New Credit Facility at July 30, 2022 and no borrowings during the first six months of fiscal 2022. At July 30, 2022, outstanding standby letters of credit were $2.4 million and outstanding documentary letters of credit were $1.0 million. The average unused excess availability during the first six months of fiscal 2022 was approximately $79.9 million and the unused excess availability at July 30, 2022 was $85.1 million.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Capital Expenditures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open stores and related square footage at July 30, 2022 and July 31, 2021, respectively: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July 30, 2022</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3"/>
          </w:tcPr>
          <w:p>
            <w:pPr>
              <w:ind w:left="900"/>
              <w:spacing w:after="0"/>
              <w:rPr>
                <w:sz w:val="20"/>
                <w:szCs w:val="20"/>
                <w:color w:val="auto"/>
              </w:rPr>
            </w:pPr>
            <w:r>
              <w:rPr>
                <w:rFonts w:ascii="Times New Roman" w:cs="Times New Roman" w:eastAsia="Times New Roman" w:hAnsi="Times New Roman"/>
                <w:sz w:val="14"/>
                <w:szCs w:val="14"/>
                <w:color w:val="auto"/>
              </w:rPr>
              <w:t>July 31, 2021</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Store Concept</w:t>
            </w:r>
          </w:p>
        </w:tc>
        <w:tc>
          <w:tcPr>
            <w:tcW w:w="140" w:type="dxa"/>
            <w:vAlign w:val="bottom"/>
          </w:tcPr>
          <w:p>
            <w:pPr>
              <w:spacing w:after="0"/>
              <w:rPr>
                <w:sz w:val="14"/>
                <w:szCs w:val="14"/>
                <w:color w:val="auto"/>
              </w:rPr>
            </w:pPr>
          </w:p>
        </w:tc>
        <w:tc>
          <w:tcPr>
            <w:tcW w:w="92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Number of</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315"/>
              <w:spacing w:after="0"/>
              <w:rPr>
                <w:sz w:val="20"/>
                <w:szCs w:val="20"/>
                <w:color w:val="auto"/>
              </w:rPr>
            </w:pPr>
            <w:r>
              <w:rPr>
                <w:rFonts w:ascii="Times New Roman" w:cs="Times New Roman" w:eastAsia="Times New Roman" w:hAnsi="Times New Roman"/>
                <w:sz w:val="14"/>
                <w:szCs w:val="14"/>
                <w:color w:val="auto"/>
              </w:rPr>
              <w:t>Square</w:t>
            </w:r>
          </w:p>
        </w:tc>
        <w:tc>
          <w:tcPr>
            <w:tcW w:w="240" w:type="dxa"/>
            <w:vAlign w:val="bottom"/>
          </w:tcPr>
          <w:p>
            <w:pPr>
              <w:spacing w:after="0"/>
              <w:rPr>
                <w:sz w:val="14"/>
                <w:szCs w:val="14"/>
                <w:color w:val="auto"/>
              </w:rPr>
            </w:pPr>
          </w:p>
        </w:tc>
        <w:tc>
          <w:tcPr>
            <w:tcW w:w="172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color w:val="auto"/>
              </w:rPr>
              <w:t>Number of</w:t>
            </w:r>
          </w:p>
        </w:tc>
        <w:tc>
          <w:tcPr>
            <w:tcW w:w="860" w:type="dxa"/>
            <w:vAlign w:val="bottom"/>
          </w:tcPr>
          <w:p>
            <w:pPr>
              <w:jc w:val="right"/>
              <w:ind w:right="295"/>
              <w:spacing w:after="0"/>
              <w:rPr>
                <w:sz w:val="20"/>
                <w:szCs w:val="20"/>
                <w:color w:val="auto"/>
              </w:rPr>
            </w:pPr>
            <w:r>
              <w:rPr>
                <w:rFonts w:ascii="Times New Roman" w:cs="Times New Roman" w:eastAsia="Times New Roman" w:hAnsi="Times New Roman"/>
                <w:sz w:val="14"/>
                <w:szCs w:val="14"/>
                <w:color w:val="auto"/>
              </w:rPr>
              <w:t>Square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Stores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295"/>
              <w:spacing w:after="0"/>
              <w:rPr>
                <w:sz w:val="20"/>
                <w:szCs w:val="20"/>
                <w:color w:val="auto"/>
              </w:rPr>
            </w:pPr>
            <w:r>
              <w:rPr>
                <w:rFonts w:ascii="Times New Roman" w:cs="Times New Roman" w:eastAsia="Times New Roman" w:hAnsi="Times New Roman"/>
                <w:sz w:val="14"/>
                <w:szCs w:val="14"/>
                <w:color w:val="auto"/>
              </w:rPr>
              <w:t>Footage</w:t>
            </w:r>
          </w:p>
        </w:tc>
        <w:tc>
          <w:tcPr>
            <w:tcW w:w="240" w:type="dxa"/>
            <w:vAlign w:val="bottom"/>
          </w:tcPr>
          <w:p>
            <w:pPr>
              <w:spacing w:after="0"/>
              <w:rPr>
                <w:sz w:val="14"/>
                <w:szCs w:val="14"/>
                <w:color w:val="auto"/>
              </w:rPr>
            </w:pPr>
          </w:p>
        </w:tc>
        <w:tc>
          <w:tcPr>
            <w:tcW w:w="172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color w:val="auto"/>
              </w:rPr>
              <w:t>Stores</w:t>
            </w:r>
          </w:p>
        </w:tc>
        <w:tc>
          <w:tcPr>
            <w:tcW w:w="860" w:type="dxa"/>
            <w:vAlign w:val="bottom"/>
          </w:tcPr>
          <w:p>
            <w:pPr>
              <w:jc w:val="right"/>
              <w:ind w:right="275"/>
              <w:spacing w:after="0"/>
              <w:rPr>
                <w:sz w:val="20"/>
                <w:szCs w:val="20"/>
                <w:color w:val="auto"/>
              </w:rPr>
            </w:pPr>
            <w:r>
              <w:rPr>
                <w:rFonts w:ascii="Times New Roman" w:cs="Times New Roman" w:eastAsia="Times New Roman" w:hAnsi="Times New Roman"/>
                <w:sz w:val="14"/>
                <w:szCs w:val="14"/>
                <w:color w:val="auto"/>
              </w:rPr>
              <w:t>Footage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(square footage in thousands)</w:t>
            </w:r>
          </w:p>
        </w:tc>
        <w:tc>
          <w:tcPr>
            <w:tcW w:w="14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DXL Retail</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218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DXL Outlets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Casual Male XL Retail</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Casual Male Outlets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Stores</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284</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320"/>
        <w:spacing w:after="0" w:line="250" w:lineRule="auto"/>
        <w:rPr>
          <w:sz w:val="20"/>
          <w:szCs w:val="20"/>
          <w:color w:val="auto"/>
        </w:rPr>
      </w:pPr>
      <w:r>
        <w:rPr>
          <w:rFonts w:ascii="Times New Roman" w:cs="Times New Roman" w:eastAsia="Times New Roman" w:hAnsi="Times New Roman"/>
          <w:sz w:val="18"/>
          <w:szCs w:val="18"/>
          <w:color w:val="auto"/>
        </w:rPr>
        <w:t>Our capital expenditures for the past two years have been very limited due to the pandemic. For fiscal 2022, we expect our capital expenditures will be approximately $10.0-$12.0 million as we make investments in technology related to our marketing and merchandising initiatives. We are also actively pursuing opportunities to relocate or convert our remaining Casual Male XL stores to DXL stores which may require some capital investment in fiscal 2022. During the first six months of fiscal 2022, we closed 4 Casual Male XL retail stores and 2 DXL retail stores.</w:t>
      </w:r>
    </w:p>
    <w:p>
      <w:pPr>
        <w:spacing w:after="0" w:line="19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We are also reviewing white space opportunities in markets where our store footprint is underpenetrated and relocation opportunities where we have an existing Casual Male XL store. We believe that our store portfolio is a vital asset to our business strategy and we expect to continue to invest in stores over the next several years as we further strengthen the store portfolio. Over the next three to five years, based on our preliminary store development plan, we believe that we could potentially open up to 50 new and relocated stores.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1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critical accounting policies and estimates disclosed in our Fiscal 2021 Annual Report. See Note 1 to the Consolidated Financial Statements included in this report for information on recent accounting pronouncements and changes in accounting principles.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w:t>
      </w:r>
    </w:p>
    <w:p>
      <w:pPr>
        <w:spacing w:after="0" w:line="216"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8"/>
          <w:szCs w:val="18"/>
          <w:color w:val="auto"/>
        </w:rPr>
        <w:t>Free cash flow and Adjusted EBITDA are non-GAAP measures. These non-GAAP measures are not presented in accordance with GAAP and should not be considered superior to or as a substitute for net income or cash flows from operating activities or any other measure of performance derived in accordance with GAAP. In addition, all companies do not calculate non-GAAP financial measures in the same manner and, accordingly, the non-GAAP measures presented in this Quarterly Report may not be comparable to similar measures used by other companies. We believe that inclusion of these non-GAAP measures helps investors gain a better understanding of our performance, especially when comparing such results to previous periods and that they are useful as an additional means for investors to evaluate our operating results, when reviewed in conjunction with our GAAP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 xml:space="preserve">Reconciliations of these non-GAAP measures are presented in the following tables </w:t>
      </w:r>
      <w:r>
        <w:rPr>
          <w:rFonts w:ascii="Times New Roman" w:cs="Times New Roman" w:eastAsia="Times New Roman" w:hAnsi="Times New Roman"/>
          <w:sz w:val="18"/>
          <w:szCs w:val="18"/>
          <w:i w:val="1"/>
          <w:iCs w:val="1"/>
          <w:color w:val="auto"/>
        </w:rPr>
        <w:t>(certain columns may not foot due to rounding)</w:t>
      </w:r>
      <w:r>
        <w:rPr>
          <w:rFonts w:ascii="Times New Roman" w:cs="Times New Roman" w:eastAsia="Times New Roman" w:hAnsi="Times New Roman"/>
          <w:sz w:val="18"/>
          <w:szCs w:val="18"/>
          <w:color w:val="auto"/>
        </w:rPr>
        <w:t>: '</w:t>
      </w:r>
    </w:p>
    <w:p>
      <w:pPr>
        <w:spacing w:after="0" w:line="22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i w:val="1"/>
          <w:iCs w:val="1"/>
          <w:u w:val="single" w:color="auto"/>
          <w:color w:val="auto"/>
        </w:rPr>
        <w:t>Free Cash Flow.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define free cash flow as cash flow from operating activities less capital expenditures. Free cash flow excludes the mandatory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discretionary repayment of debt. Free cash flow is a metric that management uses to monitor liquidity. We expect to fund our ongoing capital expenditures with cash flow from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free cash flow: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80" w:type="dxa"/>
            <w:vAlign w:val="bottom"/>
            <w:gridSpan w:val="5"/>
          </w:tcPr>
          <w:p>
            <w:pPr>
              <w:jc w:val="right"/>
              <w:ind w:right="1900"/>
              <w:spacing w:after="0"/>
              <w:rPr>
                <w:sz w:val="20"/>
                <w:szCs w:val="20"/>
                <w:color w:val="auto"/>
              </w:rPr>
            </w:pPr>
            <w:r>
              <w:rPr>
                <w:rFonts w:ascii="Times New Roman" w:cs="Times New Roman" w:eastAsia="Times New Roman" w:hAnsi="Times New Roman"/>
                <w:sz w:val="14"/>
                <w:szCs w:val="14"/>
                <w:color w:val="auto"/>
              </w:rPr>
              <w:t>For the six months ended</w:t>
            </w:r>
          </w:p>
        </w:tc>
      </w:tr>
      <w:tr>
        <w:trPr>
          <w:trHeight w:val="185"/>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Pr>
          <w:p>
            <w:pPr>
              <w:spacing w:after="0"/>
              <w:rPr>
                <w:sz w:val="16"/>
                <w:szCs w:val="16"/>
                <w:color w:val="auto"/>
              </w:rPr>
            </w:pPr>
          </w:p>
        </w:tc>
        <w:tc>
          <w:tcPr>
            <w:tcW w:w="2160" w:type="dxa"/>
            <w:vAlign w:val="bottom"/>
            <w:gridSpan w:val="2"/>
          </w:tcPr>
          <w:p>
            <w:pPr>
              <w:jc w:val="right"/>
              <w:ind w:right="1080"/>
              <w:spacing w:after="0"/>
              <w:rPr>
                <w:sz w:val="20"/>
                <w:szCs w:val="20"/>
                <w:color w:val="auto"/>
              </w:rPr>
            </w:pPr>
            <w:r>
              <w:rPr>
                <w:rFonts w:ascii="Times New Roman" w:cs="Times New Roman" w:eastAsia="Times New Roman" w:hAnsi="Times New Roman"/>
                <w:sz w:val="14"/>
                <w:szCs w:val="14"/>
                <w:color w:val="auto"/>
              </w:rPr>
              <w:t>July 30, 2022</w:t>
            </w:r>
          </w:p>
        </w:tc>
        <w:tc>
          <w:tcPr>
            <w:tcW w:w="440" w:type="dxa"/>
            <w:vAlign w:val="bottom"/>
          </w:tcPr>
          <w:p>
            <w:pPr>
              <w:spacing w:after="0"/>
              <w:rPr>
                <w:sz w:val="16"/>
                <w:szCs w:val="16"/>
                <w:color w:val="auto"/>
              </w:rPr>
            </w:pPr>
          </w:p>
        </w:tc>
        <w:tc>
          <w:tcPr>
            <w:tcW w:w="2280" w:type="dxa"/>
            <w:vAlign w:val="bottom"/>
            <w:gridSpan w:val="2"/>
          </w:tcPr>
          <w:p>
            <w:pPr>
              <w:jc w:val="right"/>
              <w:ind w:right="1160"/>
              <w:spacing w:after="0"/>
              <w:rPr>
                <w:sz w:val="20"/>
                <w:szCs w:val="20"/>
                <w:color w:val="auto"/>
              </w:rPr>
            </w:pPr>
            <w:r>
              <w:rPr>
                <w:rFonts w:ascii="Times New Roman" w:cs="Times New Roman" w:eastAsia="Times New Roman" w:hAnsi="Times New Roman"/>
                <w:sz w:val="14"/>
                <w:szCs w:val="14"/>
                <w:color w:val="auto"/>
              </w:rPr>
              <w:t>July 31, 2021</w:t>
            </w:r>
          </w:p>
        </w:tc>
      </w:tr>
      <w:tr>
        <w:trPr>
          <w:trHeight w:val="169"/>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380" w:type="dxa"/>
            <w:vAlign w:val="bottom"/>
            <w:tcBorders>
              <w:top w:val="single" w:sz="8" w:color="auto"/>
            </w:tcBorders>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400" w:type="dxa"/>
            <w:vAlign w:val="bottom"/>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360" w:type="dxa"/>
            <w:vAlign w:val="bottom"/>
            <w:shd w:val="clear" w:color="auto" w:fill="CFF0FC"/>
          </w:tcPr>
          <w:p>
            <w:pPr>
              <w:spacing w:after="0"/>
              <w:rPr>
                <w:sz w:val="14"/>
                <w:szCs w:val="14"/>
                <w:color w:val="auto"/>
              </w:rPr>
            </w:pPr>
          </w:p>
        </w:tc>
      </w:tr>
      <w:tr>
        <w:trPr>
          <w:trHeight w:val="176"/>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expenditures</w:t>
            </w:r>
          </w:p>
        </w:tc>
        <w:tc>
          <w:tcPr>
            <w:tcW w:w="380" w:type="dxa"/>
            <w:vAlign w:val="bottom"/>
          </w:tcPr>
          <w:p>
            <w:pPr>
              <w:spacing w:after="0"/>
              <w:rPr>
                <w:sz w:val="15"/>
                <w:szCs w:val="15"/>
                <w:color w:val="auto"/>
              </w:rPr>
            </w:pPr>
          </w:p>
        </w:tc>
        <w:tc>
          <w:tcPr>
            <w:tcW w:w="21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(4.1 )</w:t>
            </w:r>
          </w:p>
        </w:tc>
        <w:tc>
          <w:tcPr>
            <w:tcW w:w="440" w:type="dxa"/>
            <w:vAlign w:val="bottom"/>
          </w:tcPr>
          <w:p>
            <w:pPr>
              <w:spacing w:after="0"/>
              <w:rPr>
                <w:sz w:val="15"/>
                <w:szCs w:val="15"/>
                <w:color w:val="auto"/>
              </w:rPr>
            </w:pPr>
          </w:p>
        </w:tc>
        <w:tc>
          <w:tcPr>
            <w:tcW w:w="22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(1.7 )</w:t>
            </w:r>
          </w:p>
        </w:tc>
      </w:tr>
      <w:tr>
        <w:trPr>
          <w:trHeight w:val="209"/>
        </w:trPr>
        <w:tc>
          <w:tcPr>
            <w:tcW w:w="598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Free Cash Flow (non-GAAP basis)</w:t>
            </w:r>
          </w:p>
        </w:tc>
        <w:tc>
          <w:tcPr>
            <w:tcW w:w="380" w:type="dxa"/>
            <w:vAlign w:val="bottom"/>
            <w:tcBorders>
              <w:top w:val="single" w:sz="8" w:color="auto"/>
              <w:bottom w:val="single" w:sz="8" w:color="auto"/>
            </w:tcBorders>
            <w:shd w:val="clear" w:color="auto" w:fill="CFF0FC"/>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19.8</w:t>
            </w:r>
          </w:p>
        </w:tc>
        <w:tc>
          <w:tcPr>
            <w:tcW w:w="4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jc w:val="right"/>
              <w:ind w:right="2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40.5</w:t>
            </w:r>
          </w:p>
        </w:tc>
        <w:tc>
          <w:tcPr>
            <w:tcW w:w="36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-24765</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i w:val="1"/>
          <w:iCs w:val="1"/>
          <w:u w:val="single" w:color="auto"/>
          <w:color w:val="auto"/>
        </w:rPr>
        <w:t>Adjusted EBITDA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Adjusted EBITDA is calculated as earnings before interest, taxes, depreciation and amortization and is before any impairment of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any. We believe that adjusted EBITDA is useful to investors in evaluating our performance and is a key metric to measure profitability and economic productivity. The following table reconciles adjusted EBITDA from net income: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820" w:type="dxa"/>
            <w:vAlign w:val="bottom"/>
            <w:gridSpan w:val="4"/>
          </w:tcPr>
          <w:p>
            <w:pPr>
              <w:jc w:val="right"/>
              <w:ind w:right="288"/>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2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color w:val="auto"/>
              </w:rPr>
              <w:t>For the six months ended</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July 30, 2022</w:t>
            </w:r>
          </w:p>
        </w:tc>
        <w:tc>
          <w:tcPr>
            <w:tcW w:w="3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July 31, 2021</w:t>
            </w:r>
          </w:p>
        </w:tc>
        <w:tc>
          <w:tcPr>
            <w:tcW w:w="2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July 30, 2022</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July 31, 2021</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4520" w:type="dxa"/>
            <w:vAlign w:val="bottom"/>
            <w:gridSpan w:val="2"/>
            <w:vMerge w:val="continue"/>
          </w:tcPr>
          <w:p>
            <w:pPr>
              <w:spacing w:after="0"/>
              <w:rPr>
                <w:sz w:val="12"/>
                <w:szCs w:val="12"/>
                <w:color w:val="auto"/>
              </w:rPr>
            </w:pPr>
          </w:p>
        </w:tc>
        <w:tc>
          <w:tcPr>
            <w:tcW w:w="1100" w:type="dxa"/>
            <w:vAlign w:val="bottom"/>
            <w:vMerge w:val="restart"/>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300" w:type="dxa"/>
            <w:vAlign w:val="bottom"/>
          </w:tcPr>
          <w:p>
            <w:pPr>
              <w:spacing w:after="0"/>
              <w:rPr>
                <w:sz w:val="12"/>
                <w:szCs w:val="12"/>
                <w:color w:val="auto"/>
              </w:rPr>
            </w:pPr>
          </w:p>
        </w:tc>
        <w:tc>
          <w:tcPr>
            <w:tcW w:w="1120" w:type="dxa"/>
            <w:vAlign w:val="bottom"/>
            <w:vMerge w:val="restart"/>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220" w:type="dxa"/>
            <w:vAlign w:val="bottom"/>
          </w:tcPr>
          <w:p>
            <w:pPr>
              <w:spacing w:after="0"/>
              <w:rPr>
                <w:sz w:val="12"/>
                <w:szCs w:val="12"/>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260" w:type="dxa"/>
            <w:vAlign w:val="bottom"/>
          </w:tcPr>
          <w:p>
            <w:pPr>
              <w:spacing w:after="0"/>
              <w:rPr>
                <w:sz w:val="12"/>
                <w:szCs w:val="12"/>
                <w:color w:val="auto"/>
              </w:rPr>
            </w:pP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vMerge w:val="continue"/>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(GAAP basis)</w:t>
            </w:r>
          </w:p>
        </w:tc>
        <w:tc>
          <w:tcPr>
            <w:tcW w:w="110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Add back:</w:t>
            </w:r>
          </w:p>
        </w:tc>
        <w:tc>
          <w:tcPr>
            <w:tcW w:w="1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Impairment (gain) of assets</w:t>
            </w:r>
          </w:p>
        </w:tc>
        <w:tc>
          <w:tcPr>
            <w:tcW w:w="1100" w:type="dxa"/>
            <w:vAlign w:val="bottom"/>
          </w:tcPr>
          <w:p>
            <w:pPr>
              <w:spacing w:after="0"/>
              <w:rPr>
                <w:sz w:val="15"/>
                <w:szCs w:val="15"/>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(0.0 )</w:t>
            </w:r>
          </w:p>
        </w:tc>
        <w:tc>
          <w:tcPr>
            <w:tcW w:w="11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(0.4 )</w:t>
            </w: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(0.4 )</w:t>
            </w:r>
          </w:p>
        </w:tc>
        <w:tc>
          <w:tcPr>
            <w:tcW w:w="18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75"/>
        </w:trPr>
        <w:tc>
          <w:tcPr>
            <w:tcW w:w="45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110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w w:val="90"/>
              </w:rPr>
              <w:t>(35.1 )</w:t>
            </w:r>
          </w:p>
        </w:tc>
        <w:tc>
          <w:tcPr>
            <w:tcW w:w="112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(35.0 )</w:t>
            </w:r>
          </w:p>
        </w:tc>
        <w:tc>
          <w:tcPr>
            <w:tcW w:w="18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1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10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30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Adjusted EBITDA (non-GAAP basis)</w:t>
            </w:r>
          </w:p>
        </w:tc>
        <w:tc>
          <w:tcPr>
            <w:tcW w:w="1100" w:type="dxa"/>
            <w:vAlign w:val="bottom"/>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300" w:type="dxa"/>
            <w:vAlign w:val="bottom"/>
          </w:tcPr>
          <w:p>
            <w:pPr>
              <w:spacing w:after="0"/>
              <w:rPr>
                <w:sz w:val="14"/>
                <w:szCs w:val="14"/>
                <w:color w:val="auto"/>
              </w:rPr>
            </w:pPr>
          </w:p>
        </w:tc>
        <w:tc>
          <w:tcPr>
            <w:tcW w:w="1120" w:type="dxa"/>
            <w:vAlign w:val="bottom"/>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22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26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-145415</wp:posOffset>
            </wp:positionV>
            <wp:extent cx="77470" cy="146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-145415</wp:posOffset>
            </wp:positionV>
            <wp:extent cx="77470" cy="146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-145415</wp:posOffset>
            </wp:positionV>
            <wp:extent cx="68580" cy="146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-145415</wp:posOffset>
            </wp:positionV>
            <wp:extent cx="68580" cy="146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6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There have not been any material changes to our interest rate or foreign currency risks previously disclosed in Part II, Item 7A of our Fiscal 2021 Annual Report.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104"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July 30, 2022.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July 30, 2022, our disclosure controls and procedures were effective.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10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While the majority of our home office employees continue to work remotely for a portion of the work week, we have not experienced any changes in our internal control over financial reporting (as defined in Rules 13a-15(f) and 15d-15(f) under the Exchange Act) during the three months ended July 30, 2022 that has materially affected, or is reasonably likely to materially affect, our internal control over financial reporting.</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are subject to various legal proceedings and claims that arise in the ordinary course of business. Management currently believes that the resolution of these matters will not have a material adverse impact on our future results of operations or financial position.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as previously disclosed in Part I, Item 1A of our Fiscal 2021 Annual Report.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w:t>
      </w:r>
    </w:p>
    <w:p>
      <w:pPr>
        <w:spacing w:after="0" w:line="198" w:lineRule="exact"/>
        <w:rPr>
          <w:sz w:val="20"/>
          <w:szCs w:val="20"/>
          <w:color w:val="auto"/>
        </w:rPr>
      </w:pPr>
    </w:p>
    <w:p>
      <w:pPr>
        <w:ind w:left="300" w:right="60"/>
        <w:spacing w:after="0" w:line="250" w:lineRule="auto"/>
        <w:rPr>
          <w:sz w:val="20"/>
          <w:szCs w:val="20"/>
          <w:color w:val="auto"/>
        </w:rPr>
      </w:pPr>
      <w:r>
        <w:rPr>
          <w:rFonts w:ascii="Times New Roman" w:cs="Times New Roman" w:eastAsia="Times New Roman" w:hAnsi="Times New Roman"/>
          <w:sz w:val="18"/>
          <w:szCs w:val="18"/>
          <w:color w:val="auto"/>
        </w:rPr>
        <w:t>On March 15, 2022, the Company’s Board of Directors approved a stock repurchase program that allows for the repurchase of up to $15.0 million of our common stock through open market and privately negotiated transactions. The timing and the amount of any repurchases of common stock will be determined based on the Company’s evaluation of market conditions and other factors. The stock repurchase program will expire on March 15, 2023, but may be suspended, terminated or modified at any time for any reason. At July 30, 2022, the remaining authorization under the stock repurchase program was approximately $2.3 million.</w:t>
      </w:r>
    </w:p>
    <w:p>
      <w:pPr>
        <w:spacing w:after="0" w:line="1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Stock repurchase activity during the three months ended July 30, 2022 was as follows: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8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(c)</w:t>
            </w: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3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8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Total number of</w:t>
            </w:r>
          </w:p>
        </w:tc>
        <w:tc>
          <w:tcPr>
            <w:tcW w:w="2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center"/>
              <w:ind w:right="580"/>
              <w:spacing w:after="0" w:line="189" w:lineRule="exact"/>
              <w:rPr>
                <w:sz w:val="20"/>
                <w:szCs w:val="20"/>
                <w:color w:val="auto"/>
              </w:rPr>
            </w:pPr>
            <w:r>
              <w:rPr>
                <w:rFonts w:ascii="Times New Roman" w:cs="Times New Roman" w:eastAsia="Times New Roman" w:hAnsi="Times New Roman"/>
                <w:sz w:val="18"/>
                <w:szCs w:val="18"/>
                <w:color w:val="auto"/>
              </w:rPr>
              <w:t>(d)</w:t>
            </w:r>
          </w:p>
        </w:tc>
      </w:tr>
      <w:tr>
        <w:trPr>
          <w:trHeight w:val="189"/>
        </w:trPr>
        <w:tc>
          <w:tcPr>
            <w:tcW w:w="3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530"/>
              <w:spacing w:after="0" w:line="189" w:lineRule="exact"/>
              <w:rPr>
                <w:sz w:val="20"/>
                <w:szCs w:val="20"/>
                <w:color w:val="auto"/>
              </w:rPr>
            </w:pPr>
            <w:r>
              <w:rPr>
                <w:rFonts w:ascii="Times New Roman" w:cs="Times New Roman" w:eastAsia="Times New Roman" w:hAnsi="Times New Roman"/>
                <w:sz w:val="18"/>
                <w:szCs w:val="18"/>
                <w:color w:val="auto"/>
              </w:rPr>
              <w:t>(a)</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00" w:type="dxa"/>
            <w:vAlign w:val="bottom"/>
            <w:shd w:val="clear" w:color="auto" w:fill="CFF0FC"/>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5"/>
              </w:rPr>
              <w:t>(b)</w:t>
            </w:r>
          </w:p>
        </w:tc>
        <w:tc>
          <w:tcPr>
            <w:tcW w:w="260" w:type="dxa"/>
            <w:vAlign w:val="bottom"/>
            <w:shd w:val="clear" w:color="auto" w:fill="CFF0FC"/>
          </w:tcPr>
          <w:p>
            <w:pPr>
              <w:spacing w:after="0"/>
              <w:rPr>
                <w:sz w:val="16"/>
                <w:szCs w:val="16"/>
                <w:color w:val="auto"/>
              </w:rPr>
            </w:pPr>
          </w:p>
        </w:tc>
        <w:tc>
          <w:tcPr>
            <w:tcW w:w="168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shares purchased as</w:t>
            </w:r>
          </w:p>
        </w:tc>
        <w:tc>
          <w:tcPr>
            <w:tcW w:w="200" w:type="dxa"/>
            <w:vAlign w:val="bottom"/>
            <w:shd w:val="clear" w:color="auto" w:fill="CFF0FC"/>
          </w:tcPr>
          <w:p>
            <w:pPr>
              <w:spacing w:after="0"/>
              <w:rPr>
                <w:sz w:val="16"/>
                <w:szCs w:val="16"/>
                <w:color w:val="auto"/>
              </w:rPr>
            </w:pPr>
          </w:p>
        </w:tc>
        <w:tc>
          <w:tcPr>
            <w:tcW w:w="1980" w:type="dxa"/>
            <w:vAlign w:val="bottom"/>
            <w:gridSpan w:val="3"/>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Approximate dollar value</w:t>
            </w:r>
          </w:p>
        </w:tc>
      </w:tr>
      <w:tr>
        <w:trPr>
          <w:trHeight w:val="189"/>
        </w:trPr>
        <w:tc>
          <w:tcPr>
            <w:tcW w:w="3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Total number of</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00" w:type="dxa"/>
            <w:vAlign w:val="bottom"/>
            <w:shd w:val="clear" w:color="auto" w:fill="CFF0FC"/>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99"/>
              </w:rPr>
              <w:t>Average price paid</w:t>
            </w:r>
          </w:p>
        </w:tc>
        <w:tc>
          <w:tcPr>
            <w:tcW w:w="260" w:type="dxa"/>
            <w:vAlign w:val="bottom"/>
            <w:shd w:val="clear" w:color="auto" w:fill="CFF0FC"/>
          </w:tcPr>
          <w:p>
            <w:pPr>
              <w:spacing w:after="0"/>
              <w:rPr>
                <w:sz w:val="16"/>
                <w:szCs w:val="16"/>
                <w:color w:val="auto"/>
              </w:rPr>
            </w:pPr>
          </w:p>
        </w:tc>
        <w:tc>
          <w:tcPr>
            <w:tcW w:w="168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part of publicly</w:t>
            </w:r>
          </w:p>
        </w:tc>
        <w:tc>
          <w:tcPr>
            <w:tcW w:w="200" w:type="dxa"/>
            <w:vAlign w:val="bottom"/>
            <w:shd w:val="clear" w:color="auto" w:fill="CFF0FC"/>
          </w:tcPr>
          <w:p>
            <w:pPr>
              <w:spacing w:after="0"/>
              <w:rPr>
                <w:sz w:val="16"/>
                <w:szCs w:val="16"/>
                <w:color w:val="auto"/>
              </w:rPr>
            </w:pPr>
          </w:p>
        </w:tc>
        <w:tc>
          <w:tcPr>
            <w:tcW w:w="1980" w:type="dxa"/>
            <w:vAlign w:val="bottom"/>
            <w:gridSpan w:val="3"/>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of shares that may yet be</w:t>
            </w:r>
          </w:p>
        </w:tc>
      </w:tr>
      <w:tr>
        <w:trPr>
          <w:trHeight w:val="234"/>
        </w:trPr>
        <w:tc>
          <w:tcPr>
            <w:tcW w:w="3720" w:type="dxa"/>
            <w:vAlign w:val="bottom"/>
            <w:tcBorders>
              <w:bottom w:val="single" w:sz="8" w:color="auto"/>
            </w:tcBorders>
            <w:shd w:val="clear" w:color="auto" w:fill="CFF0FC"/>
          </w:tcPr>
          <w:p>
            <w:pPr>
              <w:ind w:left="1620"/>
              <w:spacing w:after="0"/>
              <w:rPr>
                <w:sz w:val="20"/>
                <w:szCs w:val="20"/>
                <w:color w:val="auto"/>
              </w:rPr>
            </w:pPr>
            <w:r>
              <w:rPr>
                <w:rFonts w:ascii="Times New Roman" w:cs="Times New Roman" w:eastAsia="Times New Roman" w:hAnsi="Times New Roman"/>
                <w:sz w:val="18"/>
                <w:szCs w:val="18"/>
                <w:color w:val="auto"/>
              </w:rPr>
              <w:t>Period</w:t>
            </w:r>
          </w:p>
        </w:tc>
        <w:tc>
          <w:tcPr>
            <w:tcW w:w="10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shares purchased</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center"/>
              <w:ind w:right="10"/>
              <w:spacing w:after="0"/>
              <w:rPr>
                <w:sz w:val="20"/>
                <w:szCs w:val="20"/>
                <w:color w:val="auto"/>
              </w:rPr>
            </w:pPr>
            <w:r>
              <w:rPr>
                <w:rFonts w:ascii="Times New Roman" w:cs="Times New Roman" w:eastAsia="Times New Roman" w:hAnsi="Times New Roman"/>
                <w:sz w:val="18"/>
                <w:szCs w:val="18"/>
                <w:color w:val="auto"/>
                <w:w w:val="97"/>
              </w:rPr>
              <w:t>per share</w:t>
            </w:r>
          </w:p>
        </w:tc>
        <w:tc>
          <w:tcPr>
            <w:tcW w:w="260" w:type="dxa"/>
            <w:vAlign w:val="bottom"/>
            <w:tcBorders>
              <w:bottom w:val="single" w:sz="8" w:color="CFF0FC"/>
            </w:tcBorders>
            <w:shd w:val="clear" w:color="auto" w:fill="CFF0FC"/>
          </w:tcPr>
          <w:p>
            <w:pPr>
              <w:spacing w:after="0"/>
              <w:rPr>
                <w:sz w:val="20"/>
                <w:szCs w:val="20"/>
                <w:color w:val="auto"/>
              </w:rPr>
            </w:pPr>
          </w:p>
        </w:tc>
        <w:tc>
          <w:tcPr>
            <w:tcW w:w="16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announced plan</w:t>
            </w:r>
          </w:p>
        </w:tc>
        <w:tc>
          <w:tcPr>
            <w:tcW w:w="200" w:type="dxa"/>
            <w:vAlign w:val="bottom"/>
            <w:tcBorders>
              <w:bottom w:val="single" w:sz="8" w:color="CFF0FC"/>
            </w:tcBorders>
            <w:shd w:val="clear" w:color="auto" w:fill="CFF0FC"/>
          </w:tcPr>
          <w:p>
            <w:pPr>
              <w:spacing w:after="0"/>
              <w:rPr>
                <w:sz w:val="20"/>
                <w:szCs w:val="20"/>
                <w:color w:val="auto"/>
              </w:rPr>
            </w:pPr>
          </w:p>
        </w:tc>
        <w:tc>
          <w:tcPr>
            <w:tcW w:w="1880" w:type="dxa"/>
            <w:vAlign w:val="bottom"/>
            <w:tcBorders>
              <w:bottom w:val="single" w:sz="8" w:color="auto"/>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purchased under the plan</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0"/>
        </w:trPr>
        <w:tc>
          <w:tcPr>
            <w:tcW w:w="372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500" w:type="dxa"/>
            <w:vAlign w:val="bottom"/>
          </w:tcPr>
          <w:p>
            <w:pPr>
              <w:spacing w:after="0"/>
              <w:rPr>
                <w:sz w:val="18"/>
                <w:szCs w:val="18"/>
                <w:color w:val="auto"/>
              </w:rPr>
            </w:pPr>
          </w:p>
        </w:tc>
        <w:tc>
          <w:tcPr>
            <w:tcW w:w="1940" w:type="dxa"/>
            <w:vAlign w:val="bottom"/>
            <w:gridSpan w:val="2"/>
          </w:tcPr>
          <w:p>
            <w:pPr>
              <w:spacing w:after="0"/>
              <w:rPr>
                <w:sz w:val="18"/>
                <w:szCs w:val="18"/>
                <w:color w:val="auto"/>
              </w:rPr>
            </w:pPr>
          </w:p>
        </w:tc>
        <w:tc>
          <w:tcPr>
            <w:tcW w:w="660" w:type="dxa"/>
            <w:vAlign w:val="bottom"/>
            <w:gridSpan w:val="2"/>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May 1, 2022 to May 28, 2022</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555,680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555,680</w:t>
            </w:r>
          </w:p>
        </w:tc>
        <w:tc>
          <w:tcPr>
            <w:tcW w:w="6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7,828,265</w:t>
            </w:r>
          </w:p>
        </w:tc>
        <w:tc>
          <w:tcPr>
            <w:tcW w:w="100" w:type="dxa"/>
            <w:vAlign w:val="bottom"/>
            <w:shd w:val="clear" w:color="auto" w:fill="CFF0FC"/>
          </w:tcPr>
          <w:p>
            <w:pPr>
              <w:spacing w:after="0"/>
              <w:rPr>
                <w:sz w:val="18"/>
                <w:szCs w:val="18"/>
                <w:color w:val="auto"/>
              </w:rPr>
            </w:pP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29, 2022 to July 2, 2022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567,518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567,518</w:t>
            </w: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5,153,032</w:t>
            </w:r>
          </w:p>
        </w:tc>
        <w:tc>
          <w:tcPr>
            <w:tcW w:w="100" w:type="dxa"/>
            <w:vAlign w:val="bottom"/>
          </w:tcPr>
          <w:p>
            <w:pPr>
              <w:spacing w:after="0"/>
              <w:rPr>
                <w:sz w:val="18"/>
                <w:szCs w:val="18"/>
                <w:color w:val="auto"/>
              </w:rPr>
            </w:pPr>
          </w:p>
        </w:tc>
      </w:tr>
      <w:tr>
        <w:trPr>
          <w:trHeight w:val="216"/>
        </w:trPr>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July 3, 2022 to July 30, 2022</w:t>
            </w:r>
          </w:p>
        </w:tc>
        <w:tc>
          <w:tcPr>
            <w:tcW w:w="1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6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2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2,271,288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1,923,198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1,923,198</w:t>
            </w: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2,271,288</w:t>
            </w:r>
          </w:p>
        </w:tc>
        <w:tc>
          <w:tcPr>
            <w:tcW w:w="100" w:type="dxa"/>
            <w:vAlign w:val="bottom"/>
          </w:tcPr>
          <w:p>
            <w:pPr>
              <w:spacing w:after="0"/>
              <w:rPr>
                <w:sz w:val="18"/>
                <w:szCs w:val="18"/>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-728345</wp:posOffset>
            </wp:positionV>
            <wp:extent cx="68580" cy="146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-728345</wp:posOffset>
            </wp:positionV>
            <wp:extent cx="76835" cy="146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-728345</wp:posOffset>
            </wp:positionV>
            <wp:extent cx="76835" cy="146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-728345</wp:posOffset>
            </wp:positionV>
            <wp:extent cx="68580" cy="146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146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-170815</wp:posOffset>
            </wp:positionV>
            <wp:extent cx="76835"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-170815</wp:posOffset>
            </wp:positionV>
            <wp:extent cx="76835"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-170815</wp:posOffset>
            </wp:positionV>
            <wp:extent cx="6858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of the Company pursuant to Rule 13a-14(a) under the Securities Exchange Act of 1934*.</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5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of the Company pursuant to Rule 13a-14(a) under the Securities Exchange Act of 1934.*</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56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 Act</w:t>
            </w:r>
          </w:p>
        </w:tc>
      </w:tr>
      <w:tr>
        <w:trPr>
          <w:trHeight w:val="169"/>
        </w:trPr>
        <w:tc>
          <w:tcPr>
            <w:tcW w:w="960" w:type="dxa"/>
            <w:vAlign w:val="bottom"/>
          </w:tcPr>
          <w:p>
            <w:pPr>
              <w:spacing w:after="0"/>
              <w:rPr>
                <w:sz w:val="14"/>
                <w:szCs w:val="14"/>
                <w:color w:val="auto"/>
              </w:rPr>
            </w:pPr>
          </w:p>
        </w:tc>
        <w:tc>
          <w:tcPr>
            <w:tcW w:w="68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5"/>
              </w:rPr>
              <w:t>of 2002.*</w:t>
            </w:r>
          </w:p>
        </w:tc>
        <w:tc>
          <w:tcPr>
            <w:tcW w:w="20" w:type="dxa"/>
            <w:vAlign w:val="bottom"/>
            <w:tcBorders>
              <w:top w:val="single" w:sz="8" w:color="0000FF"/>
              <w:bottom w:val="single" w:sz="8" w:color="0000EE"/>
            </w:tcBorders>
          </w:tcPr>
          <w:p>
            <w:pPr>
              <w:spacing w:after="0"/>
              <w:rPr>
                <w:sz w:val="14"/>
                <w:szCs w:val="14"/>
                <w:color w:val="auto"/>
              </w:rPr>
            </w:pPr>
          </w:p>
        </w:tc>
        <w:tc>
          <w:tcPr>
            <w:tcW w:w="9380" w:type="dxa"/>
            <w:vAlign w:val="bottom"/>
            <w:tcBorders>
              <w:top w:val="single" w:sz="8" w:color="0000FF"/>
            </w:tcBorders>
            <w:gridSpan w:val="9"/>
          </w:tcPr>
          <w:p>
            <w:pPr>
              <w:spacing w:after="0"/>
              <w:rPr>
                <w:sz w:val="14"/>
                <w:szCs w:val="14"/>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 Act</w:t>
            </w:r>
          </w:p>
        </w:tc>
      </w:tr>
      <w:tr>
        <w:trPr>
          <w:trHeight w:val="169"/>
        </w:trPr>
        <w:tc>
          <w:tcPr>
            <w:tcW w:w="960" w:type="dxa"/>
            <w:vAlign w:val="bottom"/>
          </w:tcPr>
          <w:p>
            <w:pPr>
              <w:spacing w:after="0"/>
              <w:rPr>
                <w:sz w:val="14"/>
                <w:szCs w:val="14"/>
                <w:color w:val="auto"/>
              </w:rPr>
            </w:pPr>
          </w:p>
        </w:tc>
        <w:tc>
          <w:tcPr>
            <w:tcW w:w="68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5"/>
              </w:rPr>
              <w:t>of 2002.*</w:t>
            </w:r>
          </w:p>
        </w:tc>
        <w:tc>
          <w:tcPr>
            <w:tcW w:w="20" w:type="dxa"/>
            <w:vAlign w:val="bottom"/>
            <w:tcBorders>
              <w:top w:val="single" w:sz="8" w:color="0000FF"/>
              <w:bottom w:val="single" w:sz="8" w:color="0000EE"/>
            </w:tcBorders>
          </w:tcPr>
          <w:p>
            <w:pPr>
              <w:spacing w:after="0"/>
              <w:rPr>
                <w:sz w:val="14"/>
                <w:szCs w:val="14"/>
                <w:color w:val="auto"/>
              </w:rPr>
            </w:pPr>
          </w:p>
        </w:tc>
        <w:tc>
          <w:tcPr>
            <w:tcW w:w="9320" w:type="dxa"/>
            <w:vAlign w:val="bottom"/>
            <w:tcBorders>
              <w:top w:val="single" w:sz="8" w:color="0000FF"/>
            </w:tcBorders>
            <w:gridSpan w:val="7"/>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Inline XBRL Instance Document. The instance document does not appear in the Interactive Data File because its XBRL tags are embedded</w:t>
            </w:r>
          </w:p>
        </w:tc>
      </w:tr>
      <w:tr>
        <w:trPr>
          <w:trHeight w:val="169"/>
        </w:trPr>
        <w:tc>
          <w:tcPr>
            <w:tcW w:w="960" w:type="dxa"/>
            <w:vAlign w:val="bottom"/>
          </w:tcPr>
          <w:p>
            <w:pPr>
              <w:spacing w:after="0"/>
              <w:rPr>
                <w:sz w:val="14"/>
                <w:szCs w:val="14"/>
                <w:color w:val="auto"/>
              </w:rPr>
            </w:pPr>
          </w:p>
        </w:tc>
        <w:tc>
          <w:tcPr>
            <w:tcW w:w="1006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within the Inline XBRL document.</w:t>
            </w:r>
          </w:p>
        </w:tc>
        <w:tc>
          <w:tcPr>
            <w:tcW w:w="20" w:type="dxa"/>
            <w:vAlign w:val="bottom"/>
          </w:tcPr>
          <w:p>
            <w:pPr>
              <w:spacing w:after="0"/>
              <w:rPr>
                <w:sz w:val="14"/>
                <w:szCs w:val="14"/>
                <w:color w:val="auto"/>
              </w:rPr>
            </w:pPr>
          </w:p>
        </w:tc>
      </w:tr>
      <w:tr>
        <w:trPr>
          <w:trHeight w:val="20"/>
        </w:trPr>
        <w:tc>
          <w:tcPr>
            <w:tcW w:w="960" w:type="dxa"/>
            <w:vAlign w:val="bottom"/>
            <w:tcBorders>
              <w:right w:val="single" w:sz="8" w:color="0000FF"/>
            </w:tcBorders>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Inline XBRL Taxonomy Extension Schema Document.</w:t>
            </w:r>
          </w:p>
        </w:tc>
      </w:tr>
      <w:tr>
        <w:trPr>
          <w:trHeight w:val="20"/>
        </w:trPr>
        <w:tc>
          <w:tcPr>
            <w:tcW w:w="960" w:type="dxa"/>
            <w:vAlign w:val="bottom"/>
            <w:tcBorders>
              <w:right w:val="single" w:sz="8" w:color="0000FF"/>
            </w:tcBorders>
          </w:tcPr>
          <w:p>
            <w:pPr>
              <w:spacing w:after="0" w:line="20" w:lineRule="exact"/>
              <w:rPr>
                <w:sz w:val="1"/>
                <w:szCs w:val="1"/>
                <w:color w:val="auto"/>
              </w:rPr>
            </w:pPr>
          </w:p>
        </w:tc>
        <w:tc>
          <w:tcPr>
            <w:tcW w:w="3960" w:type="dxa"/>
            <w:vAlign w:val="bottom"/>
            <w:gridSpan w:val="4"/>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Inline XBRL Taxonomy Extension Calculation Linkbase Document.</w:t>
            </w: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8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Inline XBRL Taxonomy Extension Definition Linkbase Document.</w:t>
            </w:r>
          </w:p>
        </w:tc>
        <w:tc>
          <w:tcPr>
            <w:tcW w:w="140" w:type="dxa"/>
            <w:vAlign w:val="bottom"/>
            <w:tcBorders>
              <w:top w:val="single" w:sz="8" w:color="0000FF"/>
            </w:tcBorders>
          </w:tcPr>
          <w:p>
            <w:pPr>
              <w:spacing w:after="0"/>
              <w:rPr>
                <w:sz w:val="24"/>
                <w:szCs w:val="24"/>
                <w:color w:val="auto"/>
              </w:rPr>
            </w:pPr>
          </w:p>
        </w:tc>
        <w:tc>
          <w:tcPr>
            <w:tcW w:w="5100" w:type="dxa"/>
            <w:vAlign w:val="bottom"/>
            <w:gridSpan w:val="4"/>
          </w:tcPr>
          <w:p>
            <w:pPr>
              <w:spacing w:after="0"/>
              <w:rPr>
                <w:sz w:val="24"/>
                <w:szCs w:val="24"/>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Inline XBRL Taxonomy Extension Label Linkbase Document.</w:t>
            </w:r>
          </w:p>
        </w:tc>
      </w:tr>
      <w:tr>
        <w:trPr>
          <w:trHeight w:val="20"/>
        </w:trPr>
        <w:tc>
          <w:tcPr>
            <w:tcW w:w="960" w:type="dxa"/>
            <w:vAlign w:val="bottom"/>
            <w:tcBorders>
              <w:right w:val="single" w:sz="8" w:color="0000FF"/>
            </w:tcBorders>
          </w:tcPr>
          <w:p>
            <w:pPr>
              <w:spacing w:after="0" w:line="20" w:lineRule="exact"/>
              <w:rPr>
                <w:sz w:val="1"/>
                <w:szCs w:val="1"/>
                <w:color w:val="auto"/>
              </w:rPr>
            </w:pPr>
          </w:p>
        </w:tc>
        <w:tc>
          <w:tcPr>
            <w:tcW w:w="4500" w:type="dxa"/>
            <w:vAlign w:val="bottom"/>
            <w:gridSpan w:val="5"/>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Inline XBRL Taxonomy Extension Presentation Linkbase Document.</w:t>
            </w:r>
          </w:p>
        </w:tc>
      </w:tr>
      <w:tr>
        <w:trPr>
          <w:trHeight w:val="20"/>
        </w:trPr>
        <w:tc>
          <w:tcPr>
            <w:tcW w:w="960" w:type="dxa"/>
            <w:vAlign w:val="bottom"/>
            <w:tcBorders>
              <w:right w:val="single" w:sz="8" w:color="0000FF"/>
            </w:tcBorders>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ind w:left="1020" w:hanging="938"/>
        <w:spacing w:after="0" w:line="250"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Cover Page Interactive Data File – The cover page interactive data file does not appear in the interactive data file because its XBRL tags are embedded within the Inline XBRL document.</w:t>
      </w:r>
    </w:p>
    <w:p>
      <w:pPr>
        <w:spacing w:after="0" w:line="189"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36" w:right="459" w:bottom="1440" w:gutter="0" w:footer="0" w:header="0"/>
        </w:sectPr>
      </w:pPr>
    </w:p>
    <w:bookmarkStart w:id="26" w:name="page27"/>
    <w:bookmarkEnd w:id="26"/>
    <w:p>
      <w:pPr>
        <w:jc w:val="center"/>
        <w:ind w:right="-27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320" w:firstLine="255"/>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5940" w:val="left"/>
          <w:tab w:leader="none" w:pos="6760" w:val="left"/>
        </w:tabs>
        <w:rPr>
          <w:sz w:val="20"/>
          <w:szCs w:val="20"/>
          <w:color w:val="auto"/>
        </w:rPr>
      </w:pPr>
      <w:r>
        <w:rPr>
          <w:rFonts w:ascii="Times New Roman" w:cs="Times New Roman" w:eastAsia="Times New Roman" w:hAnsi="Times New Roman"/>
          <w:sz w:val="18"/>
          <w:szCs w:val="18"/>
          <w:color w:val="auto"/>
        </w:rPr>
        <w:t>Date: August 25,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F.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17145</wp:posOffset>
            </wp:positionV>
            <wp:extent cx="28371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John F. Cooney</w:t>
      </w:r>
    </w:p>
    <w:p>
      <w:pPr>
        <w:ind w:left="6780"/>
        <w:spacing w:after="0" w:line="231" w:lineRule="auto"/>
        <w:rPr>
          <w:sz w:val="20"/>
          <w:szCs w:val="20"/>
          <w:color w:val="auto"/>
        </w:rPr>
      </w:pPr>
      <w:r>
        <w:rPr>
          <w:rFonts w:ascii="Times New Roman" w:cs="Times New Roman" w:eastAsia="Times New Roman" w:hAnsi="Times New Roman"/>
          <w:sz w:val="18"/>
          <w:szCs w:val="18"/>
          <w:color w:val="auto"/>
        </w:rPr>
        <w:t>Senior Vice President, Chief Accounting Officer and</w:t>
      </w:r>
    </w:p>
    <w:p>
      <w:pPr>
        <w:ind w:left="6780"/>
        <w:spacing w:after="0" w:line="219" w:lineRule="auto"/>
        <w:rPr>
          <w:sz w:val="20"/>
          <w:szCs w:val="20"/>
          <w:color w:val="auto"/>
        </w:rPr>
      </w:pPr>
      <w:r>
        <w:rPr>
          <w:rFonts w:ascii="Times New Roman" w:cs="Times New Roman" w:eastAsia="Times New Roman" w:hAnsi="Times New Roman"/>
          <w:sz w:val="18"/>
          <w:szCs w:val="18"/>
          <w:color w:val="auto"/>
        </w:rPr>
        <w:t>Corporate Controller (Duly Authorized Officer and Chief</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3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324" w:right="659" w:bottom="1440" w:gutter="0" w:footer="0" w:header="0"/>
        </w:sectPr>
      </w:pPr>
    </w:p>
    <w:bookmarkStart w:id="27" w:name="page28"/>
    <w:bookmarkEnd w:id="27"/>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Harvey S. Kanter, certify that:</w:t>
      </w:r>
    </w:p>
    <w:p>
      <w:pPr>
        <w:spacing w:after="0" w:line="104"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Destination XL Group,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00" w:val="left"/>
          <w:tab w:leader="none" w:pos="6760" w:val="left"/>
          <w:tab w:leader="none" w:pos="8400" w:val="left"/>
        </w:tabs>
        <w:rPr>
          <w:sz w:val="20"/>
          <w:szCs w:val="20"/>
          <w:color w:val="auto"/>
        </w:rPr>
      </w:pPr>
      <w:r>
        <w:rPr>
          <w:rFonts w:ascii="Times New Roman" w:cs="Times New Roman" w:eastAsia="Times New Roman" w:hAnsi="Times New Roman"/>
          <w:sz w:val="18"/>
          <w:szCs w:val="18"/>
          <w:color w:val="auto"/>
        </w:rPr>
        <w:t>Date:</w:t>
        <w:tab/>
        <w:t>August 25,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17145</wp:posOffset>
            </wp:positionV>
            <wp:extent cx="264858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10"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Harvey S. Kanter</w:t>
      </w:r>
    </w:p>
    <w:p>
      <w:pPr>
        <w:spacing w:after="0" w:line="29"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320040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H. Stratton, Jr., certify that:</w:t>
      </w:r>
    </w:p>
    <w:p>
      <w:pPr>
        <w:spacing w:after="0" w:line="104"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Destination XL Group,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00" w:val="left"/>
          <w:tab w:leader="none" w:pos="6760" w:val="left"/>
          <w:tab w:leader="none" w:pos="8300" w:val="left"/>
        </w:tabs>
        <w:rPr>
          <w:sz w:val="20"/>
          <w:szCs w:val="20"/>
          <w:color w:val="auto"/>
        </w:rPr>
      </w:pPr>
      <w:r>
        <w:rPr>
          <w:rFonts w:ascii="Times New Roman" w:cs="Times New Roman" w:eastAsia="Times New Roman" w:hAnsi="Times New Roman"/>
          <w:sz w:val="18"/>
          <w:szCs w:val="18"/>
          <w:color w:val="auto"/>
        </w:rPr>
        <w:t>Date:</w:t>
        <w:tab/>
        <w:t>August 25,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17145</wp:posOffset>
            </wp:positionV>
            <wp:extent cx="264858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1"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Peter H. Stratton, Jr.</w:t>
      </w:r>
    </w:p>
    <w:p>
      <w:pPr>
        <w:spacing w:after="0" w:line="18"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320040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Destination XL Group, Inc. (the “Company”) for the period ended July 30, 2022, as filed with the Securities and Exchange Commission on the date hereof (the “Report”), I, Harvey S. Kanter, Chief Executive Officer of the Company, certify pursuant to 18 U.S.C. § 1350, as adopted pursuant to § 906 of the Sarbanes-Oxley Act of 2002, that:</w:t>
      </w:r>
    </w:p>
    <w:p>
      <w:pPr>
        <w:spacing w:after="0" w:line="61" w:lineRule="exact"/>
        <w:rPr>
          <w:sz w:val="20"/>
          <w:szCs w:val="20"/>
          <w:color w:val="auto"/>
        </w:rPr>
      </w:pPr>
    </w:p>
    <w:p>
      <w:pPr>
        <w:ind w:left="1400" w:right="480" w:hanging="374"/>
        <w:spacing w:after="0" w:line="266" w:lineRule="auto"/>
        <w:tabs>
          <w:tab w:leader="none" w:pos="12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4" w:lineRule="exact"/>
        <w:rPr>
          <w:rFonts w:ascii="Times New Roman" w:cs="Times New Roman" w:eastAsia="Times New Roman" w:hAnsi="Times New Roman"/>
          <w:sz w:val="18"/>
          <w:szCs w:val="18"/>
          <w:color w:val="auto"/>
        </w:rPr>
      </w:pPr>
    </w:p>
    <w:p>
      <w:pPr>
        <w:ind w:left="1400" w:right="260" w:hanging="374"/>
        <w:spacing w:after="0" w:line="282" w:lineRule="auto"/>
        <w:tabs>
          <w:tab w:leader="none" w:pos="12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8"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81" w:lineRule="exact"/>
        <w:rPr>
          <w:sz w:val="20"/>
          <w:szCs w:val="20"/>
          <w:color w:val="auto"/>
        </w:rPr>
      </w:pPr>
    </w:p>
    <w:p>
      <w:pPr>
        <w:ind w:left="20"/>
        <w:spacing w:after="0"/>
        <w:tabs>
          <w:tab w:leader="none" w:pos="600" w:val="left"/>
          <w:tab w:leader="none" w:pos="6780" w:val="left"/>
          <w:tab w:leader="none" w:pos="8400" w:val="left"/>
        </w:tabs>
        <w:rPr>
          <w:sz w:val="20"/>
          <w:szCs w:val="20"/>
          <w:color w:val="auto"/>
        </w:rPr>
      </w:pPr>
      <w:r>
        <w:rPr>
          <w:rFonts w:ascii="Times New Roman" w:cs="Times New Roman" w:eastAsia="Times New Roman" w:hAnsi="Times New Roman"/>
          <w:sz w:val="18"/>
          <w:szCs w:val="18"/>
          <w:color w:val="auto"/>
        </w:rPr>
        <w:t>Date:</w:t>
        <w:tab/>
        <w:t>August 25,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Harvey S. Kanter</w:t>
      </w:r>
    </w:p>
    <w:p>
      <w:pPr>
        <w:spacing w:after="0" w:line="27"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4"/>
          <w:szCs w:val="14"/>
          <w:b w:val="1"/>
          <w:bCs w:val="1"/>
          <w:color w:val="auto"/>
        </w:rPr>
        <w:t>Harvey S. Kanter</w:t>
      </w:r>
    </w:p>
    <w:p>
      <w:pPr>
        <w:spacing w:after="0" w:line="18"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207"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Destination XL Group, Inc. (the “Company”) for the period ended July 30, 2022,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61" w:lineRule="exact"/>
        <w:rPr>
          <w:sz w:val="20"/>
          <w:szCs w:val="20"/>
          <w:color w:val="auto"/>
        </w:rPr>
      </w:pPr>
    </w:p>
    <w:p>
      <w:pPr>
        <w:ind w:left="1400" w:right="480" w:hanging="374"/>
        <w:spacing w:after="0" w:line="266" w:lineRule="auto"/>
        <w:tabs>
          <w:tab w:leader="none" w:pos="128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4" w:lineRule="exact"/>
        <w:rPr>
          <w:rFonts w:ascii="Times New Roman" w:cs="Times New Roman" w:eastAsia="Times New Roman" w:hAnsi="Times New Roman"/>
          <w:sz w:val="18"/>
          <w:szCs w:val="18"/>
          <w:color w:val="auto"/>
        </w:rPr>
      </w:pPr>
    </w:p>
    <w:p>
      <w:pPr>
        <w:ind w:left="1400" w:right="260" w:hanging="374"/>
        <w:spacing w:after="0" w:line="282" w:lineRule="auto"/>
        <w:tabs>
          <w:tab w:leader="none" w:pos="128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8"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81" w:lineRule="exact"/>
        <w:rPr>
          <w:sz w:val="20"/>
          <w:szCs w:val="20"/>
          <w:color w:val="auto"/>
        </w:rPr>
      </w:pPr>
    </w:p>
    <w:p>
      <w:pPr>
        <w:ind w:left="20"/>
        <w:spacing w:after="0"/>
        <w:tabs>
          <w:tab w:leader="none" w:pos="560" w:val="left"/>
          <w:tab w:leader="none" w:pos="6760" w:val="left"/>
          <w:tab w:leader="none" w:pos="8280" w:val="left"/>
        </w:tabs>
        <w:rPr>
          <w:sz w:val="20"/>
          <w:szCs w:val="20"/>
          <w:color w:val="auto"/>
        </w:rPr>
      </w:pPr>
      <w:r>
        <w:rPr>
          <w:rFonts w:ascii="Times New Roman" w:cs="Times New Roman" w:eastAsia="Times New Roman" w:hAnsi="Times New Roman"/>
          <w:sz w:val="18"/>
          <w:szCs w:val="18"/>
          <w:color w:val="auto"/>
        </w:rPr>
        <w:t>Date:</w:t>
        <w:tab/>
        <w:t>August 25,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Peter H. Stratton, Jr.</w:t>
      </w:r>
    </w:p>
    <w:p>
      <w:pPr>
        <w:spacing w:after="0" w:line="27"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Peter H. Stratton, Jr.</w:t>
      </w:r>
    </w:p>
    <w:p>
      <w:pPr>
        <w:spacing w:after="0" w:line="18"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07"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04"/>
    </w:lvl>
    <w:lvl w:ilvl="1">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2022-08-25T14:52:51Z</dcterms:created>
  <dcterms:modified xsi:type="dcterms:W3CDTF">2022-08-25T14:52:51Z</dcterms:modified>
</cp:coreProperties>
</file>