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CANNELL CAPITAL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245 MERIWETHER CIRCLE</w:t>
      </w:r>
    </w:p>
    <w:p>
      <w:pPr>
        <w:spacing w:after="0" w:line="3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ALTA</w:t>
      </w:r>
      <w:r>
        <w:rPr>
          <w:sz w:val="20"/>
          <w:szCs w:val="20"/>
          <w:color w:val="auto"/>
        </w:rPr>
        <w:tab/>
      </w:r>
      <w:r>
        <w:rPr>
          <w:rFonts w:ascii="Arial" w:cs="Arial" w:eastAsia="Arial" w:hAnsi="Arial"/>
          <w:sz w:val="17"/>
          <w:szCs w:val="17"/>
          <w:color w:val="0000FF"/>
        </w:rPr>
        <w:t>WY</w:t>
      </w:r>
      <w:r>
        <w:rPr>
          <w:sz w:val="20"/>
          <w:szCs w:val="20"/>
          <w:color w:val="auto"/>
        </w:rPr>
        <w:tab/>
      </w:r>
      <w:r>
        <w:rPr>
          <w:rFonts w:ascii="Arial" w:cs="Arial" w:eastAsia="Arial" w:hAnsi="Arial"/>
          <w:sz w:val="15"/>
          <w:szCs w:val="15"/>
          <w:color w:val="0000FF"/>
        </w:rPr>
        <w:t>83414</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34"/>
        </w:trPr>
        <w:tc>
          <w:tcPr>
            <w:tcW w:w="3820" w:type="dxa"/>
            <w:vAlign w:val="bottom"/>
            <w:gridSpan w:val="2"/>
          </w:tcPr>
          <w:p>
            <w:pPr>
              <w:ind w:left="80"/>
              <w:spacing w:after="0" w:line="234"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0" w:type="dxa"/>
            <w:vAlign w:val="bottom"/>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06/03/2020</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210185</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60" w:type="dxa"/>
            <w:vAlign w:val="bottom"/>
            <w:gridSpan w:val="6"/>
          </w:tcPr>
          <w:p>
            <w:pPr>
              <w:ind w:left="240"/>
              <w:spacing w:after="0"/>
              <w:rPr>
                <w:sz w:val="20"/>
                <w:szCs w:val="20"/>
                <w:color w:val="auto"/>
              </w:rPr>
            </w:pPr>
            <w:r>
              <w:rPr>
                <w:rFonts w:ascii="Arial" w:cs="Arial" w:eastAsia="Arial" w:hAnsi="Arial"/>
                <w:sz w:val="12"/>
                <w:szCs w:val="12"/>
                <w:b w:val="1"/>
                <w:bCs w:val="1"/>
                <w:color w:val="auto"/>
              </w:rPr>
              <w:t>6. Ownership  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 or</w:t>
            </w:r>
          </w:p>
        </w:tc>
        <w:tc>
          <w:tcPr>
            <w:tcW w:w="148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By partnerships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7"/>
                <w:szCs w:val="17"/>
                <w:color w:val="0000FF"/>
              </w:rPr>
              <w:t>06/03/2020</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Pr>
          <w:p>
            <w:pPr>
              <w:spacing w:after="0"/>
              <w:rPr>
                <w:sz w:val="18"/>
                <w:szCs w:val="18"/>
                <w:color w:val="auto"/>
              </w:rPr>
            </w:pPr>
          </w:p>
        </w:tc>
        <w:tc>
          <w:tcPr>
            <w:tcW w:w="820" w:type="dxa"/>
            <w:vAlign w:val="bottom"/>
          </w:tcPr>
          <w:p>
            <w:pPr>
              <w:ind w:left="120"/>
              <w:spacing w:after="0"/>
              <w:rPr>
                <w:sz w:val="20"/>
                <w:szCs w:val="20"/>
                <w:color w:val="auto"/>
              </w:rPr>
            </w:pPr>
            <w:r>
              <w:rPr>
                <w:rFonts w:ascii="Arial" w:cs="Arial" w:eastAsia="Arial" w:hAnsi="Arial"/>
                <w:sz w:val="17"/>
                <w:szCs w:val="17"/>
                <w:color w:val="0000FF"/>
              </w:rPr>
              <w:t>164,765</w:t>
            </w:r>
          </w:p>
        </w:tc>
        <w:tc>
          <w:tcPr>
            <w:tcW w:w="400" w:type="dxa"/>
            <w:vAlign w:val="bottom"/>
          </w:tcPr>
          <w:p>
            <w:pPr>
              <w:ind w:left="160"/>
              <w:spacing w:after="0"/>
              <w:rPr>
                <w:sz w:val="20"/>
                <w:szCs w:val="20"/>
                <w:color w:val="auto"/>
              </w:rPr>
            </w:pPr>
            <w:r>
              <w:rPr>
                <w:rFonts w:ascii="Arial" w:cs="Arial" w:eastAsia="Arial" w:hAnsi="Arial"/>
                <w:sz w:val="17"/>
                <w:szCs w:val="17"/>
                <w:color w:val="0000FF"/>
              </w:rPr>
              <w:t>D</w:t>
            </w:r>
          </w:p>
        </w:tc>
        <w:tc>
          <w:tcPr>
            <w:tcW w:w="760" w:type="dxa"/>
            <w:vAlign w:val="bottom"/>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0.3497</w:t>
            </w:r>
          </w:p>
        </w:tc>
        <w:tc>
          <w:tcPr>
            <w:tcW w:w="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7"/>
                <w:szCs w:val="17"/>
                <w:color w:val="0000FF"/>
                <w:w w:val="92"/>
              </w:rPr>
              <w:t>5,091,601</w:t>
            </w:r>
          </w:p>
        </w:tc>
        <w:tc>
          <w:tcPr>
            <w:tcW w:w="980" w:type="dxa"/>
            <w:vAlign w:val="bottom"/>
          </w:tcPr>
          <w:p>
            <w:pPr>
              <w:ind w:left="46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(1)(2)</w:t>
            </w:r>
          </w:p>
        </w:tc>
        <w:tc>
          <w:tcPr>
            <w:tcW w:w="760" w:type="dxa"/>
            <w:vAlign w:val="bottom"/>
          </w:tcPr>
          <w:p>
            <w:pPr>
              <w:ind w:left="160"/>
              <w:spacing w:after="0"/>
              <w:rPr>
                <w:sz w:val="20"/>
                <w:szCs w:val="20"/>
                <w:color w:val="auto"/>
              </w:rPr>
            </w:pPr>
            <w:r>
              <w:rPr>
                <w:rFonts w:ascii="Arial" w:cs="Arial" w:eastAsia="Arial" w:hAnsi="Arial"/>
                <w:sz w:val="17"/>
                <w:szCs w:val="17"/>
                <w:color w:val="0000FF"/>
              </w:rPr>
              <w:t>and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corporations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6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8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June 3, 2020, Tonga Partners, LP, Cuttyhunk II Fund. Tristan Partners, LP, and Tristan Offshore Fund, Ltd (collectively the "Cannell Investment Vehicles") owned in the aggregate 5,091,601 shares of the common stock of Destination XL Group, Inc.</w:t>
      </w:r>
    </w:p>
    <w:p>
      <w:pPr>
        <w:spacing w:after="0" w:line="15" w:lineRule="exact"/>
        <w:rPr>
          <w:rFonts w:ascii="Arial" w:cs="Arial" w:eastAsia="Arial" w:hAnsi="Arial"/>
          <w:sz w:val="13"/>
          <w:szCs w:val="13"/>
          <w:color w:val="008000"/>
        </w:rPr>
      </w:pPr>
    </w:p>
    <w:p>
      <w:pPr>
        <w:jc w:val="both"/>
        <w:ind w:left="40" w:right="220" w:firstLine="7"/>
        <w:spacing w:after="0" w:line="26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June 3, 2020, Mr. Cannell beneficially owns 5,091,601 shares. Mr.</w:t>
      </w:r>
    </w:p>
    <w:p>
      <w:pPr>
        <w:spacing w:after="0" w:line="1"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3"/>
          <w:szCs w:val="13"/>
          <w:color w:val="008000"/>
        </w:rPr>
        <w:t>Cannell's interest in the securities reported herein is limited to the extent of his pecuniary interest in each of the Cannell Investment Vehicles, if any.</w:t>
      </w:r>
    </w:p>
    <w:p>
      <w:pPr>
        <w:sectPr>
          <w:pgSz w:w="11900" w:h="16838" w:orient="portrait"/>
          <w:cols w:equalWidth="0" w:num="1">
            <w:col w:w="11080"/>
          </w:cols>
          <w:pgMar w:left="460" w:top="225" w:right="359" w:bottom="1440" w:gutter="0" w:footer="0" w:header="0"/>
          <w:type w:val="continuous"/>
        </w:sectPr>
      </w:pPr>
    </w:p>
    <w:p>
      <w:pPr>
        <w:spacing w:after="0" w:line="67"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J. Carlo Cannell,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0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of Cannell Capital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41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2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5"/>
          <w:szCs w:val="15"/>
          <w:color w:val="0000FF"/>
        </w:rPr>
        <w:t>06/05/2020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058854"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2020-06-05T15:18:43Z</dcterms:created>
  <dcterms:modified xsi:type="dcterms:W3CDTF">2020-06-05T15:18:43Z</dcterms:modified>
</cp:coreProperties>
</file>