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spacing w:after="0" w:line="250" w:lineRule="exact"/>
              <w:rPr>
                <w:rFonts w:ascii="Arial" w:cs="Arial" w:eastAsia="Arial" w:hAnsi="Arial"/>
                <w:sz w:val="22"/>
                <w:szCs w:val="22"/>
                <w:color w:val="0000EE"/>
                <w:w w:val="92"/>
              </w:rPr>
            </w:pPr>
            <w:hyperlink r:id="rId12">
              <w:r>
                <w:rPr>
                  <w:rFonts w:ascii="Arial" w:cs="Arial" w:eastAsia="Arial" w:hAnsi="Arial"/>
                  <w:sz w:val="22"/>
                  <w:szCs w:val="22"/>
                  <w:color w:val="0000EE"/>
                  <w:w w:val="92"/>
                </w:rPr>
                <w:t>Smith Vickie</w:t>
              </w:r>
            </w:hyperlink>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0000EE"/>
            </w:tcBorders>
            <w:gridSpan w:val="2"/>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32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500" w:type="dxa"/>
            <w:vAlign w:val="bottom"/>
          </w:tcPr>
          <w:p>
            <w:pPr>
              <w:spacing w:after="0"/>
              <w:rPr>
                <w:sz w:val="6"/>
                <w:szCs w:val="6"/>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color w:val="auto"/>
              </w:rPr>
              <w:t>(First)</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continue"/>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gridSpan w:val="6"/>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60" w:type="dxa"/>
            <w:vAlign w:val="bottom"/>
            <w:gridSpan w:val="5"/>
            <w:vMerge w:val="restart"/>
          </w:tcPr>
          <w:p>
            <w:pPr>
              <w:ind w:left="240"/>
              <w:spacing w:after="0"/>
              <w:rPr>
                <w:sz w:val="20"/>
                <w:szCs w:val="20"/>
                <w:color w:val="auto"/>
              </w:rPr>
            </w:pPr>
            <w:r>
              <w:rPr>
                <w:rFonts w:ascii="Arial" w:cs="Arial" w:eastAsia="Arial" w:hAnsi="Arial"/>
                <w:sz w:val="18"/>
                <w:szCs w:val="18"/>
                <w:color w:val="0000FF"/>
              </w:rPr>
              <w:t>SVP, Planning &amp; Allocation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05/23/2012</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200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50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line="20" w:lineRule="exact"/>
              <w:rPr>
                <w:sz w:val="1"/>
                <w:szCs w:val="1"/>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2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34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40" w:type="dxa"/>
            <w:vAlign w:val="bottom"/>
            <w:gridSpan w:val="6"/>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00" w:type="dxa"/>
            <w:vAlign w:val="bottom"/>
          </w:tcPr>
          <w:p>
            <w:pPr>
              <w:spacing w:after="0"/>
              <w:rPr>
                <w:sz w:val="9"/>
                <w:szCs w:val="9"/>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8"/>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4"/>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840" w:type="dxa"/>
            <w:vAlign w:val="bottom"/>
            <w:tcBorders>
              <w:bottom w:val="single" w:sz="8" w:color="2C2C2C"/>
            </w:tcBorders>
            <w:gridSpan w:val="4"/>
          </w:tcPr>
          <w:p>
            <w:pPr>
              <w:ind w:left="860"/>
              <w:spacing w:after="0"/>
              <w:rPr>
                <w:sz w:val="20"/>
                <w:szCs w:val="20"/>
                <w:color w:val="auto"/>
              </w:rPr>
            </w:pPr>
            <w:r>
              <w:rPr>
                <w:rFonts w:ascii="Arial" w:cs="Arial" w:eastAsia="Arial" w:hAnsi="Arial"/>
                <w:sz w:val="18"/>
                <w:szCs w:val="18"/>
                <w:color w:val="0000FF"/>
              </w:rPr>
              <w:t>05/23/2012</w:t>
            </w: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6,667</w:t>
            </w:r>
          </w:p>
        </w:tc>
        <w:tc>
          <w:tcPr>
            <w:tcW w:w="72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2.84</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15,347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8"/>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gridSpan w:val="14"/>
          </w:tcPr>
          <w:p>
            <w:pPr>
              <w:jc w:val="center"/>
              <w:ind w:left="5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5"/>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actual sale prices with respect to these shares were between $2.84 and $2.85. The Reporting Person hereby undertakes to provide upon request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Vickie Smith</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05/24/2012</w:t>
            </w:r>
          </w:p>
        </w:tc>
      </w:tr>
      <w:tr>
        <w:trPr>
          <w:trHeight w:val="20"/>
        </w:trPr>
        <w:tc>
          <w:tcPr>
            <w:tcW w:w="9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6591"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2019-12-16T05:17:34Z</dcterms:created>
  <dcterms:modified xsi:type="dcterms:W3CDTF">2019-12-16T05:17:34Z</dcterms:modified>
</cp:coreProperties>
</file>