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67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671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96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Threadgill Ronald</w:t>
              </w:r>
            </w:hyperlink>
          </w:p>
        </w:tc>
        <w:tc>
          <w:tcPr>
            <w:tcW w:w="1640" w:type="dxa"/>
            <w:vAlign w:val="bottom"/>
          </w:tcPr>
          <w:p>
            <w:pPr>
              <w:ind w:left="42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1640" w:type="dxa"/>
            <w:vAlign w:val="bottom"/>
          </w:tcPr>
          <w:p>
            <w:pPr>
              <w:ind w:left="42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580" w:type="dxa"/>
            <w:vAlign w:val="bottom"/>
            <w:tcBorders>
              <w:top w:val="single" w:sz="8" w:color="0000EE"/>
            </w:tcBorders>
          </w:tcPr>
          <w:p>
            <w:pPr>
              <w:spacing w:after="0"/>
              <w:rPr>
                <w:sz w:val="9"/>
                <w:szCs w:val="9"/>
                <w:color w:val="auto"/>
              </w:rPr>
            </w:pPr>
          </w:p>
        </w:tc>
        <w:tc>
          <w:tcPr>
            <w:tcW w:w="1380" w:type="dxa"/>
            <w:vAlign w:val="bottom"/>
          </w:tcPr>
          <w:p>
            <w:pPr>
              <w:spacing w:after="0"/>
              <w:rPr>
                <w:sz w:val="9"/>
                <w:szCs w:val="9"/>
                <w:color w:val="auto"/>
              </w:rPr>
            </w:pPr>
          </w:p>
        </w:tc>
        <w:tc>
          <w:tcPr>
            <w:tcW w:w="1640" w:type="dxa"/>
            <w:vAlign w:val="bottom"/>
          </w:tcPr>
          <w:p>
            <w:pPr>
              <w:ind w:left="420"/>
              <w:spacing w:after="0" w:line="114" w:lineRule="exact"/>
              <w:rPr>
                <w:sz w:val="20"/>
                <w:szCs w:val="20"/>
                <w:color w:val="auto"/>
              </w:rPr>
            </w:pPr>
            <w:r>
              <w:rPr>
                <w:rFonts w:ascii="Arial" w:cs="Arial" w:eastAsia="Arial" w:hAnsi="Arial"/>
                <w:sz w:val="13"/>
                <w:szCs w:val="13"/>
                <w:color w:val="0000FF"/>
              </w:rPr>
              <w:t>05/27/2008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CASUAL MALE RETAIL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cmrg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18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78"/>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83"/>
        </w:trPr>
        <w:tc>
          <w:tcPr>
            <w:tcW w:w="2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6"/>
        <w:spacing w:after="0"/>
        <w:rPr>
          <w:sz w:val="20"/>
          <w:szCs w:val="20"/>
          <w:color w:val="auto"/>
        </w:rPr>
      </w:pPr>
      <w:r>
        <w:rPr>
          <w:rFonts w:ascii="Arial" w:cs="Arial" w:eastAsia="Arial" w:hAnsi="Arial"/>
          <w:sz w:val="16"/>
          <w:szCs w:val="16"/>
          <w:color w:val="0000FF"/>
        </w:rPr>
        <w:t>Vice President,Global Sourcing</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149"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rPr>
              <w:t>No Securities Beneficially Owned</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884"/>
              <w:spacing w:after="0"/>
              <w:rPr>
                <w:sz w:val="20"/>
                <w:szCs w:val="20"/>
                <w:color w:val="auto"/>
              </w:rPr>
            </w:pPr>
            <w:r>
              <w:rPr>
                <w:rFonts w:ascii="Arial" w:cs="Arial" w:eastAsia="Arial" w:hAnsi="Arial"/>
                <w:sz w:val="18"/>
                <w:szCs w:val="18"/>
                <w:color w:val="0000FF"/>
              </w:rPr>
              <w:t>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880" w:type="dxa"/>
            <w:vAlign w:val="bottom"/>
            <w:gridSpan w:val="6"/>
          </w:tcPr>
          <w:p>
            <w:pPr>
              <w:ind w:left="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ind w:left="620"/>
              <w:spacing w:after="0"/>
              <w:rPr>
                <w:sz w:val="20"/>
                <w:szCs w:val="20"/>
                <w:color w:val="auto"/>
              </w:rPr>
            </w:pPr>
            <w:r>
              <w:rPr>
                <w:rFonts w:ascii="Arial" w:cs="Arial" w:eastAsia="Arial" w:hAnsi="Arial"/>
                <w:sz w:val="14"/>
                <w:szCs w:val="14"/>
                <w:color w:val="0000FF"/>
                <w:w w:val="90"/>
              </w:rPr>
              <w:t>02/11/2008</w:t>
            </w:r>
            <w:r>
              <w:rPr>
                <w:rFonts w:ascii="Arial" w:cs="Arial" w:eastAsia="Arial" w:hAnsi="Arial"/>
                <w:sz w:val="22"/>
                <w:szCs w:val="22"/>
                <w:color w:val="008000"/>
                <w:w w:val="90"/>
                <w:vertAlign w:val="superscript"/>
              </w:rPr>
              <w:t>(1)</w:t>
            </w:r>
          </w:p>
        </w:tc>
        <w:tc>
          <w:tcPr>
            <w:tcW w:w="800" w:type="dxa"/>
            <w:vAlign w:val="bottom"/>
          </w:tcPr>
          <w:p>
            <w:pPr>
              <w:jc w:val="right"/>
              <w:ind w:right="32"/>
              <w:spacing w:after="0"/>
              <w:rPr>
                <w:sz w:val="20"/>
                <w:szCs w:val="20"/>
                <w:color w:val="auto"/>
              </w:rPr>
            </w:pPr>
            <w:r>
              <w:rPr>
                <w:rFonts w:ascii="Arial" w:cs="Arial" w:eastAsia="Arial" w:hAnsi="Arial"/>
                <w:sz w:val="14"/>
                <w:szCs w:val="14"/>
                <w:color w:val="0000FF"/>
                <w:w w:val="96"/>
              </w:rPr>
              <w:t>02/11/2018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10,000</w:t>
            </w:r>
          </w:p>
        </w:tc>
        <w:tc>
          <w:tcPr>
            <w:tcW w:w="880" w:type="dxa"/>
            <w:vAlign w:val="bottom"/>
          </w:tcPr>
          <w:p>
            <w:pPr>
              <w:ind w:left="280"/>
              <w:spacing w:after="0"/>
              <w:rPr>
                <w:sz w:val="20"/>
                <w:szCs w:val="20"/>
                <w:color w:val="auto"/>
              </w:rPr>
            </w:pPr>
            <w:r>
              <w:rPr>
                <w:rFonts w:ascii="Arial" w:cs="Arial" w:eastAsia="Arial" w:hAnsi="Arial"/>
                <w:sz w:val="18"/>
                <w:szCs w:val="18"/>
                <w:color w:val="0000FF"/>
              </w:rPr>
              <w:t>3.98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Vests one-third per year on each of the first three anniversaries of the date of grant.</w:t>
      </w:r>
    </w:p>
    <w:p>
      <w:pPr>
        <w:spacing w:after="0" w:line="4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0000FF"/>
                <w:w w:val="90"/>
              </w:rPr>
              <w:t>Ronald Threadgill</w:t>
            </w:r>
          </w:p>
        </w:tc>
        <w:tc>
          <w:tcPr>
            <w:tcW w:w="8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06/02/2008</w:t>
            </w:r>
          </w:p>
        </w:tc>
      </w:tr>
      <w:tr>
        <w:trPr>
          <w:trHeight w:val="20"/>
        </w:trPr>
        <w:tc>
          <w:tcPr>
            <w:tcW w:w="68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6"/>
          <w:szCs w:val="16"/>
          <w:color w:val="auto"/>
        </w:rPr>
        <w:t>EXHIBIT 24</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9" w:lineRule="exact"/>
        <w:rPr>
          <w:sz w:val="20"/>
          <w:szCs w:val="20"/>
          <w:color w:val="auto"/>
        </w:rPr>
      </w:pPr>
    </w:p>
    <w:p>
      <w:pPr>
        <w:ind w:right="2619" w:firstLine="843"/>
        <w:spacing w:after="0" w:line="268" w:lineRule="auto"/>
        <w:rPr>
          <w:sz w:val="20"/>
          <w:szCs w:val="20"/>
          <w:color w:val="auto"/>
        </w:rPr>
      </w:pPr>
      <w:r>
        <w:rPr>
          <w:rFonts w:ascii="Courier New" w:cs="Courier New" w:eastAsia="Courier New" w:hAnsi="Courier New"/>
          <w:sz w:val="16"/>
          <w:szCs w:val="16"/>
          <w:color w:val="auto"/>
        </w:rPr>
        <w:t>This Statement confirms that the undersigned, Ronald Threadgill, has authorized and designated David A. Levin and Dennis R. Hernreich</w:t>
      </w:r>
    </w:p>
    <w:p>
      <w:pPr>
        <w:ind w:right="2519"/>
        <w:spacing w:after="0" w:line="238" w:lineRule="auto"/>
        <w:rPr>
          <w:sz w:val="20"/>
          <w:szCs w:val="20"/>
          <w:color w:val="auto"/>
        </w:rPr>
      </w:pPr>
      <w:r>
        <w:rPr>
          <w:rFonts w:ascii="Courier New" w:cs="Courier New" w:eastAsia="Courier New" w:hAnsi="Courier New"/>
          <w:sz w:val="18"/>
          <w:szCs w:val="18"/>
          <w:color w:val="auto"/>
        </w:rPr>
        <w:t>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Casual Male Retail Group, Inc. The authority of David A. Levin and Dennis R. Hernreich under this Statement shall continue until the undersigned is no longer required to file Forms 3, 4 and 5 with regard to the undersigned's ownership of or transactions in the securities of Casual Male Retail Group, Inc., unless earlier revoked in writing. The undersigned acknowledges that David A. Levin and Dennis R. Hernreich are not assuming any of the undersigned's responsibilities to comply with Section 16 of the Securities Exchange Act of 1934.</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27, 2008</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RONALD THREADGILL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RONALD THREADGILL</w:t>
      </w:r>
    </w:p>
    <w:p>
      <w:pPr>
        <w:spacing w:after="0" w:line="200" w:lineRule="exact"/>
        <w:rPr>
          <w:sz w:val="20"/>
          <w:szCs w:val="20"/>
          <w:color w:val="auto"/>
        </w:rPr>
      </w:pPr>
    </w:p>
    <w:p>
      <w:pPr>
        <w:sectPr>
          <w:pgSz w:w="11900" w:h="16838" w:orient="portrait"/>
          <w:cols w:equalWidth="0" w:num="2">
            <w:col w:w="3500" w:space="720"/>
            <w:col w:w="5999"/>
          </w:cols>
          <w:pgMar w:left="240" w:top="142" w:right="1440" w:bottom="1440" w:gutter="0" w:footer="0" w:header="0"/>
          <w:type w:val="continuous"/>
        </w:sectPr>
      </w:pPr>
    </w:p>
    <w:p>
      <w:pPr>
        <w:spacing w:after="0" w:line="209"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6"/>
          <w:szCs w:val="16"/>
          <w:color w:val="auto"/>
        </w:rPr>
        <w:t>Page 3 of 3</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36234"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2019-12-16T05:05:04Z</dcterms:created>
  <dcterms:modified xsi:type="dcterms:W3CDTF">2019-12-16T05:05:04Z</dcterms:modified>
</cp:coreProperties>
</file>