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20" w:hanging="3859"/>
        <w:spacing w:after="0" w:line="383" w:lineRule="auto"/>
        <w:tabs>
          <w:tab w:leader="none" w:pos="5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April 29, 2023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240" w:right="1600" w:hanging="4219"/>
        <w:spacing w:after="0" w:line="423" w:lineRule="auto"/>
        <w:tabs>
          <w:tab w:leader="none" w:pos="51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DESTINATION XL GROUP, INC.</w:t>
      </w:r>
    </w:p>
    <w:p>
      <w:pPr>
        <w:sectPr>
          <w:pgSz w:w="11900" w:h="16838" w:orient="portrait"/>
          <w:cols w:equalWidth="0" w:num="1">
            <w:col w:w="11240"/>
          </w:cols>
          <w:pgMar w:left="320" w:top="746"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20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2"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555 Turnpike Street</w:t>
      </w:r>
    </w:p>
    <w:p>
      <w:pPr>
        <w:spacing w:after="0" w:line="27"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Canton, MA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04-2623104</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76"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02021</w:t>
      </w:r>
    </w:p>
    <w:p>
      <w:pPr>
        <w:spacing w:after="0" w:line="36" w:lineRule="exact"/>
        <w:rPr>
          <w:sz w:val="24"/>
          <w:szCs w:val="24"/>
          <w:color w:val="auto"/>
        </w:rPr>
      </w:pPr>
    </w:p>
    <w:p>
      <w:pPr>
        <w:sectPr>
          <w:pgSz w:w="11900" w:h="16838" w:orient="portrait"/>
          <w:cols w:equalWidth="0" w:num="2">
            <w:col w:w="7720" w:space="220"/>
            <w:col w:w="3300"/>
          </w:cols>
          <w:pgMar w:left="320" w:top="746"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74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30"/>
        </w:trPr>
        <w:tc>
          <w:tcPr>
            <w:tcW w:w="1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348"/>
        </w:trPr>
        <w:tc>
          <w:tcPr>
            <w:tcW w:w="140" w:type="dxa"/>
            <w:vAlign w:val="bottom"/>
            <w:tcBorders>
              <w:right w:val="single" w:sz="8" w:color="auto"/>
            </w:tcBorders>
          </w:tcPr>
          <w:p>
            <w:pPr>
              <w:spacing w:after="0"/>
              <w:rPr>
                <w:sz w:val="24"/>
                <w:szCs w:val="24"/>
                <w:color w:val="auto"/>
              </w:rPr>
            </w:pPr>
          </w:p>
        </w:tc>
        <w:tc>
          <w:tcPr>
            <w:tcW w:w="4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14"/>
        </w:trPr>
        <w:tc>
          <w:tcPr>
            <w:tcW w:w="140" w:type="dxa"/>
            <w:vAlign w:val="bottom"/>
            <w:tcBorders>
              <w:right w:val="single" w:sz="8" w:color="auto"/>
            </w:tcBorders>
          </w:tcPr>
          <w:p>
            <w:pPr>
              <w:spacing w:after="0"/>
              <w:rPr>
                <w:sz w:val="18"/>
                <w:szCs w:val="18"/>
                <w:color w:val="auto"/>
              </w:rPr>
            </w:pPr>
          </w:p>
        </w:tc>
        <w:tc>
          <w:tcPr>
            <w:tcW w:w="4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DXLG</w:t>
            </w:r>
          </w:p>
        </w:tc>
        <w:tc>
          <w:tcPr>
            <w:tcW w:w="4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
        </w:trPr>
        <w:tc>
          <w:tcPr>
            <w:tcW w:w="140" w:type="dxa"/>
            <w:vAlign w:val="bottom"/>
            <w:tcBorders>
              <w:right w:val="single" w:sz="8" w:color="auto"/>
            </w:tcBorders>
          </w:tcPr>
          <w:p>
            <w:pPr>
              <w:spacing w:after="0" w:line="20" w:lineRule="exact"/>
              <w:rPr>
                <w:sz w:val="1"/>
                <w:szCs w:val="1"/>
                <w:color w:val="auto"/>
              </w:rPr>
            </w:pPr>
          </w:p>
        </w:tc>
        <w:tc>
          <w:tcPr>
            <w:tcW w:w="4600" w:type="dxa"/>
            <w:vAlign w:val="bottom"/>
            <w:tcBorders>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4700" w:type="dxa"/>
            <w:vAlign w:val="bottom"/>
            <w:tcBorders>
              <w:bottom w:val="single" w:sz="8" w:color="auto"/>
              <w:right w:val="single" w:sz="8" w:color="auto"/>
            </w:tcBorders>
          </w:tcPr>
          <w:p>
            <w:pPr>
              <w:spacing w:after="0" w:line="20" w:lineRule="exact"/>
              <w:rPr>
                <w:sz w:val="1"/>
                <w:szCs w:val="1"/>
                <w:color w:val="auto"/>
              </w:rPr>
            </w:pPr>
          </w:p>
        </w:tc>
      </w:tr>
    </w:tbl>
    <w:p>
      <w:pPr>
        <w:spacing w:after="0" w:line="98" w:lineRule="exact"/>
        <w:rPr>
          <w:sz w:val="24"/>
          <w:szCs w:val="24"/>
          <w:color w:val="auto"/>
        </w:rPr>
      </w:pPr>
    </w:p>
    <w:p>
      <w:pPr>
        <w:ind w:firstLine="599"/>
        <w:spacing w:after="0" w:line="22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ind w:right="100" w:firstLine="599"/>
        <w:spacing w:after="0" w:line="22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17"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0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040" w:firstLine="599"/>
        <w:spacing w:after="0" w:line="22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As of May 12, 2023, the registrant had 62,895,439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4"/>
                <w:szCs w:val="14"/>
                <w:color w:val="auto"/>
              </w:rPr>
              <w:t>April 29, 2023</w:t>
            </w:r>
          </w:p>
        </w:tc>
        <w:tc>
          <w:tcPr>
            <w:tcW w:w="200" w:type="dxa"/>
            <w:vAlign w:val="bottom"/>
          </w:tcPr>
          <w:p>
            <w:pPr>
              <w:spacing w:after="0"/>
              <w:rPr>
                <w:sz w:val="15"/>
                <w:szCs w:val="15"/>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4"/>
                <w:szCs w:val="14"/>
                <w:color w:val="auto"/>
                <w:w w:val="97"/>
              </w:rPr>
              <w:t>January 28, 2023</w:t>
            </w:r>
          </w:p>
        </w:tc>
      </w:tr>
      <w:tr>
        <w:trPr>
          <w:trHeight w:val="181"/>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4"/>
                <w:szCs w:val="14"/>
                <w:color w:val="auto"/>
              </w:rPr>
              <w:t>(Fiscal 2023)</w:t>
            </w:r>
          </w:p>
        </w:tc>
        <w:tc>
          <w:tcPr>
            <w:tcW w:w="200" w:type="dxa"/>
            <w:vAlign w:val="bottom"/>
          </w:tcPr>
          <w:p>
            <w:pPr>
              <w:spacing w:after="0"/>
              <w:rPr>
                <w:sz w:val="15"/>
                <w:szCs w:val="15"/>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2022)</w:t>
            </w:r>
          </w:p>
        </w:tc>
      </w:tr>
      <w:tr>
        <w:trPr>
          <w:trHeight w:val="169"/>
        </w:trPr>
        <w:tc>
          <w:tcPr>
            <w:tcW w:w="76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29,933</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52,074</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16,064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100,258</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93,004</w:t>
            </w:r>
          </w:p>
        </w:tc>
        <w:tc>
          <w:tcPr>
            <w:tcW w:w="14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7,709</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155,150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154,012</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i w:val="1"/>
                <w:iCs w:val="1"/>
                <w:color w:val="auto"/>
              </w:rPr>
              <w:t>Non-current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35,766</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39,062</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125,981</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124,356</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 net of valuation allowance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29,072</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347,668</w:t>
            </w:r>
          </w:p>
        </w:tc>
        <w:tc>
          <w:tcPr>
            <w:tcW w:w="3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350,598</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4"/>
        </w:trPr>
        <w:tc>
          <w:tcPr>
            <w:tcW w:w="7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25,879</w:t>
            </w:r>
          </w:p>
        </w:tc>
        <w:tc>
          <w:tcPr>
            <w:tcW w:w="3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27,548</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27,074</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36,875</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Operating leases, current</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37,071</w:t>
            </w: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37,329</w:t>
            </w:r>
          </w:p>
        </w:tc>
        <w:tc>
          <w:tcPr>
            <w:tcW w:w="140" w:type="dxa"/>
            <w:vAlign w:val="bottom"/>
          </w:tcPr>
          <w:p>
            <w:pPr>
              <w:spacing w:after="0"/>
              <w:rPr>
                <w:sz w:val="21"/>
                <w:szCs w:val="21"/>
                <w:color w:val="auto"/>
              </w:rPr>
            </w:pPr>
          </w:p>
        </w:tc>
      </w:tr>
      <w:tr>
        <w:trPr>
          <w:trHeight w:val="236"/>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90,024</w:t>
            </w:r>
          </w:p>
        </w:tc>
        <w:tc>
          <w:tcPr>
            <w:tcW w:w="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101,752</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Long-term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Operating leases, non-current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106,845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106,912</w:t>
            </w:r>
          </w:p>
        </w:tc>
        <w:tc>
          <w:tcPr>
            <w:tcW w:w="140" w:type="dxa"/>
            <w:vAlign w:val="bottom"/>
          </w:tcPr>
          <w:p>
            <w:pPr>
              <w:spacing w:after="0"/>
              <w:rPr>
                <w:sz w:val="20"/>
                <w:szCs w:val="20"/>
                <w:color w:val="auto"/>
              </w:rPr>
            </w:pPr>
          </w:p>
        </w:tc>
      </w:tr>
      <w:tr>
        <w:trPr>
          <w:trHeight w:val="249"/>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5,127</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long-term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111,972</w:t>
            </w: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111,618</w:t>
            </w:r>
          </w:p>
        </w:tc>
        <w:tc>
          <w:tcPr>
            <w:tcW w:w="140" w:type="dxa"/>
            <w:vAlign w:val="bottom"/>
          </w:tcPr>
          <w:p>
            <w:pPr>
              <w:spacing w:after="0"/>
              <w:rPr>
                <w:sz w:val="20"/>
                <w:szCs w:val="20"/>
                <w:color w:val="auto"/>
              </w:rPr>
            </w:pPr>
          </w:p>
        </w:tc>
      </w:tr>
      <w:tr>
        <w:trPr>
          <w:trHeight w:val="236"/>
        </w:trPr>
        <w:tc>
          <w:tcPr>
            <w:tcW w:w="7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i w:val="1"/>
                <w:iCs w:val="1"/>
                <w:color w:val="auto"/>
              </w:rPr>
              <w:t>Stockholders' equity:</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2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ind w:left="200"/>
              <w:spacing w:after="0"/>
              <w:rPr>
                <w:sz w:val="20"/>
                <w:szCs w:val="20"/>
                <w:color w:val="auto"/>
              </w:rPr>
            </w:pPr>
            <w:r>
              <w:rPr>
                <w:rFonts w:ascii="Arial" w:cs="Arial" w:eastAsia="Arial" w:hAnsi="Arial"/>
                <w:sz w:val="18"/>
                <w:szCs w:val="18"/>
                <w:color w:val="auto"/>
                <w:w w:val="92"/>
              </w:rPr>
              <w:t>Common stock, $0.01 par value, 125,000,000 shares authorized, 78,495,557 and 78,229,861 shares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issued at April 29, 2023 and January 28, 2023, respectively</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785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20"/>
                <w:szCs w:val="20"/>
                <w:color w:val="auto"/>
              </w:rPr>
            </w:pP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322,941</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321,516</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w w:val="97"/>
              </w:rPr>
              <w:t>Treasury stock at cost, 15,625,172 shares at April 29, 2023 and January 28, 2023, respectively</w:t>
            </w:r>
          </w:p>
        </w:tc>
        <w:tc>
          <w:tcPr>
            <w:tcW w:w="24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(105,386 )</w:t>
            </w:r>
          </w:p>
        </w:tc>
        <w:tc>
          <w:tcPr>
            <w:tcW w:w="20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(105,386 )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(67,789 )</w:t>
            </w: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(74,756 )</w:t>
            </w: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(4,879 )</w:t>
            </w:r>
          </w:p>
        </w:tc>
        <w:tc>
          <w:tcPr>
            <w:tcW w:w="20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(4,928 )</w:t>
            </w:r>
          </w:p>
        </w:tc>
      </w:tr>
      <w:tr>
        <w:trPr>
          <w:trHeight w:val="236"/>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145,672</w:t>
            </w:r>
          </w:p>
        </w:tc>
        <w:tc>
          <w:tcPr>
            <w:tcW w:w="3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137,228</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60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347,668</w:t>
            </w:r>
          </w:p>
        </w:tc>
        <w:tc>
          <w:tcPr>
            <w:tcW w:w="3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350,598</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-5348605</wp:posOffset>
            </wp:positionV>
            <wp:extent cx="8572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-5348605</wp:posOffset>
            </wp:positionV>
            <wp:extent cx="85725"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-4105910</wp:posOffset>
            </wp:positionV>
            <wp:extent cx="85725"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-4105910</wp:posOffset>
            </wp:positionV>
            <wp:extent cx="8572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-2828290</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-2828290</wp:posOffset>
            </wp:positionV>
            <wp:extent cx="8572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-2202815</wp:posOffset>
            </wp:positionV>
            <wp:extent cx="8572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-2202815</wp:posOffset>
            </wp:positionV>
            <wp:extent cx="857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20" w:type="dxa"/>
            <w:vAlign w:val="bottom"/>
            <w:gridSpan w:val="6"/>
          </w:tcPr>
          <w:p>
            <w:pPr>
              <w:jc w:val="right"/>
              <w:ind w:right="1600"/>
              <w:spacing w:after="0"/>
              <w:rPr>
                <w:sz w:val="20"/>
                <w:szCs w:val="20"/>
                <w:color w:val="auto"/>
              </w:rPr>
            </w:pPr>
            <w:r>
              <w:rPr>
                <w:rFonts w:ascii="Arial" w:cs="Arial" w:eastAsia="Arial" w:hAnsi="Arial"/>
                <w:sz w:val="14"/>
                <w:szCs w:val="14"/>
                <w:color w:val="auto"/>
              </w:rPr>
              <w:t>For the Three Months Ended</w:t>
            </w:r>
          </w:p>
        </w:tc>
      </w:tr>
      <w:tr>
        <w:trPr>
          <w:trHeight w:val="176"/>
        </w:trPr>
        <w:tc>
          <w:tcPr>
            <w:tcW w:w="6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jc w:val="right"/>
              <w:ind w:right="493"/>
              <w:spacing w:after="0"/>
              <w:rPr>
                <w:sz w:val="20"/>
                <w:szCs w:val="20"/>
                <w:color w:val="auto"/>
              </w:rPr>
            </w:pPr>
            <w:r>
              <w:rPr>
                <w:rFonts w:ascii="Arial" w:cs="Arial" w:eastAsia="Arial" w:hAnsi="Arial"/>
                <w:sz w:val="14"/>
                <w:szCs w:val="14"/>
                <w:color w:val="auto"/>
              </w:rPr>
              <w:t>April 29, 2023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4"/>
                <w:szCs w:val="14"/>
                <w:color w:val="auto"/>
              </w:rPr>
              <w:t>April 30, 2022</w:t>
            </w:r>
          </w:p>
        </w:tc>
      </w:tr>
      <w:tr>
        <w:trPr>
          <w:trHeight w:val="181"/>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color w:val="auto"/>
              </w:rPr>
              <w:t>(Fiscal 2023)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(Fiscal 2022)</w:t>
            </w:r>
          </w:p>
        </w:tc>
        <w:tc>
          <w:tcPr>
            <w:tcW w:w="280" w:type="dxa"/>
            <w:vAlign w:val="bottom"/>
          </w:tcPr>
          <w:p>
            <w:pPr>
              <w:spacing w:after="0"/>
              <w:rPr>
                <w:sz w:val="15"/>
                <w:szCs w:val="15"/>
                <w:color w:val="auto"/>
              </w:rPr>
            </w:pPr>
          </w:p>
        </w:tc>
      </w:tr>
      <w:tr>
        <w:trPr>
          <w:trHeight w:val="169"/>
        </w:trPr>
        <w:tc>
          <w:tcPr>
            <w:tcW w:w="6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125,442</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127,655</w:t>
            </w:r>
          </w:p>
        </w:tc>
        <w:tc>
          <w:tcPr>
            <w:tcW w:w="280" w:type="dxa"/>
            <w:vAlign w:val="bottom"/>
            <w:shd w:val="clear" w:color="auto" w:fill="CFF0FC"/>
          </w:tcPr>
          <w:p>
            <w:pPr>
              <w:spacing w:after="0"/>
              <w:rPr>
                <w:sz w:val="21"/>
                <w:szCs w:val="2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Cost of goods sold including occupancy costs</w:t>
            </w: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64,526</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63,788</w:t>
            </w:r>
          </w:p>
        </w:tc>
        <w:tc>
          <w:tcPr>
            <w:tcW w:w="280" w:type="dxa"/>
            <w:vAlign w:val="bottom"/>
          </w:tcPr>
          <w:p>
            <w:pPr>
              <w:spacing w:after="0"/>
              <w:rPr>
                <w:sz w:val="21"/>
                <w:szCs w:val="21"/>
                <w:color w:val="auto"/>
              </w:rPr>
            </w:pPr>
          </w:p>
        </w:tc>
      </w:tr>
      <w:tr>
        <w:trPr>
          <w:trHeight w:val="237"/>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60,916</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63,867</w:t>
            </w:r>
          </w:p>
        </w:tc>
        <w:tc>
          <w:tcPr>
            <w:tcW w:w="280" w:type="dxa"/>
            <w:vAlign w:val="bottom"/>
            <w:shd w:val="clear" w:color="auto" w:fill="CFF0FC"/>
          </w:tcPr>
          <w:p>
            <w:pPr>
              <w:spacing w:after="0"/>
              <w:rPr>
                <w:sz w:val="20"/>
                <w:szCs w:val="20"/>
                <w:color w:val="auto"/>
              </w:rPr>
            </w:pPr>
          </w:p>
        </w:tc>
      </w:tr>
      <w:tr>
        <w:trPr>
          <w:trHeight w:val="243"/>
        </w:trPr>
        <w:tc>
          <w:tcPr>
            <w:tcW w:w="6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w:t>
            </w:r>
          </w:p>
        </w:tc>
        <w:tc>
          <w:tcPr>
            <w:tcW w:w="3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r>
      <w:tr>
        <w:trPr>
          <w:trHeight w:val="237"/>
        </w:trPr>
        <w:tc>
          <w:tcPr>
            <w:tcW w:w="66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48,281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46,597</w:t>
            </w:r>
          </w:p>
        </w:tc>
        <w:tc>
          <w:tcPr>
            <w:tcW w:w="280" w:type="dxa"/>
            <w:vAlign w:val="bottom"/>
          </w:tcPr>
          <w:p>
            <w:pPr>
              <w:spacing w:after="0"/>
              <w:rPr>
                <w:sz w:val="20"/>
                <w:szCs w:val="20"/>
                <w:color w:val="auto"/>
              </w:rPr>
            </w:pPr>
          </w:p>
        </w:tc>
      </w:tr>
      <w:tr>
        <w:trPr>
          <w:trHeight w:val="249"/>
        </w:trPr>
        <w:tc>
          <w:tcPr>
            <w:tcW w:w="6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 (gain) of assets</w:t>
            </w:r>
          </w:p>
        </w:tc>
        <w:tc>
          <w:tcPr>
            <w:tcW w:w="3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(351 )</w:t>
            </w:r>
          </w:p>
        </w:tc>
      </w:tr>
      <w:tr>
        <w:trPr>
          <w:trHeight w:val="243"/>
        </w:trPr>
        <w:tc>
          <w:tcPr>
            <w:tcW w:w="6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3,477</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w:t>
            </w:r>
          </w:p>
        </w:tc>
        <w:tc>
          <w:tcPr>
            <w:tcW w:w="280" w:type="dxa"/>
            <w:vAlign w:val="bottom"/>
          </w:tcPr>
          <w:p>
            <w:pPr>
              <w:spacing w:after="0"/>
              <w:rPr>
                <w:sz w:val="21"/>
                <w:szCs w:val="21"/>
                <w:color w:val="auto"/>
              </w:rPr>
            </w:pPr>
          </w:p>
        </w:tc>
      </w:tr>
      <w:tr>
        <w:trPr>
          <w:trHeight w:val="237"/>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auto"/>
            </w:tcBorders>
            <w:shd w:val="clear" w:color="auto" w:fill="CFF0FC"/>
          </w:tcPr>
          <w:p>
            <w:pPr>
              <w:spacing w:after="0"/>
              <w:rPr>
                <w:sz w:val="20"/>
                <w:szCs w:val="20"/>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51,758</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50,233</w:t>
            </w:r>
          </w:p>
        </w:tc>
        <w:tc>
          <w:tcPr>
            <w:tcW w:w="280" w:type="dxa"/>
            <w:vAlign w:val="bottom"/>
            <w:tcBorders>
              <w:bottom w:val="single" w:sz="8" w:color="CFF0FC"/>
            </w:tcBorders>
            <w:shd w:val="clear" w:color="auto" w:fill="CFF0FC"/>
          </w:tcPr>
          <w:p>
            <w:pPr>
              <w:spacing w:after="0"/>
              <w:rPr>
                <w:sz w:val="20"/>
                <w:szCs w:val="20"/>
                <w:color w:val="auto"/>
              </w:rPr>
            </w:pPr>
          </w:p>
        </w:tc>
      </w:tr>
      <w:tr>
        <w:trPr>
          <w:trHeight w:val="236"/>
        </w:trPr>
        <w:tc>
          <w:tcPr>
            <w:tcW w:w="6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13,634</w:t>
            </w:r>
          </w:p>
        </w:tc>
        <w:tc>
          <w:tcPr>
            <w:tcW w:w="280" w:type="dxa"/>
            <w:vAlign w:val="bottom"/>
            <w:shd w:val="clear" w:color="auto" w:fill="CFF0FC"/>
          </w:tcPr>
          <w:p>
            <w:pPr>
              <w:spacing w:after="0"/>
              <w:rPr>
                <w:sz w:val="21"/>
                <w:szCs w:val="21"/>
                <w:color w:val="auto"/>
              </w:rPr>
            </w:pPr>
          </w:p>
        </w:tc>
      </w:tr>
      <w:tr>
        <w:trPr>
          <w:trHeight w:val="243"/>
        </w:trPr>
        <w:tc>
          <w:tcPr>
            <w:tcW w:w="6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gridSpan w:val="2"/>
          </w:tcPr>
          <w:p>
            <w:pPr>
              <w:spacing w:after="0"/>
              <w:rPr>
                <w:sz w:val="21"/>
                <w:szCs w:val="21"/>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(expense), net</w:t>
            </w:r>
          </w:p>
        </w:tc>
        <w:tc>
          <w:tcPr>
            <w:tcW w:w="3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(143 )</w:t>
            </w:r>
          </w:p>
        </w:tc>
      </w:tr>
      <w:tr>
        <w:trPr>
          <w:trHeight w:val="237"/>
        </w:trPr>
        <w:tc>
          <w:tcPr>
            <w:tcW w:w="6680" w:type="dxa"/>
            <w:vAlign w:val="bottom"/>
            <w:tcBorders>
              <w:top w:val="single" w:sz="8" w:color="CFF0FC"/>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9,497</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13,491</w:t>
            </w:r>
          </w:p>
        </w:tc>
        <w:tc>
          <w:tcPr>
            <w:tcW w:w="280" w:type="dxa"/>
            <w:vAlign w:val="bottom"/>
            <w:shd w:val="clear" w:color="auto" w:fill="CFF0FC"/>
          </w:tcPr>
          <w:p>
            <w:pPr>
              <w:spacing w:after="0"/>
              <w:rPr>
                <w:sz w:val="21"/>
                <w:szCs w:val="21"/>
                <w:color w:val="auto"/>
              </w:rPr>
            </w:pPr>
          </w:p>
        </w:tc>
      </w:tr>
      <w:tr>
        <w:trPr>
          <w:trHeight w:val="243"/>
        </w:trPr>
        <w:tc>
          <w:tcPr>
            <w:tcW w:w="6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1"/>
                <w:szCs w:val="21"/>
                <w:color w:val="auto"/>
              </w:rPr>
            </w:pPr>
          </w:p>
        </w:tc>
      </w:tr>
      <w:tr>
        <w:trPr>
          <w:trHeight w:val="237"/>
        </w:trPr>
        <w:tc>
          <w:tcPr>
            <w:tcW w:w="66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700" w:type="dxa"/>
            <w:vAlign w:val="bottom"/>
            <w:gridSpan w:val="3"/>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43"/>
        </w:trPr>
        <w:tc>
          <w:tcPr>
            <w:tcW w:w="6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700" w:type="dxa"/>
            <w:vAlign w:val="bottom"/>
            <w:gridSpan w:val="3"/>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83"/>
        </w:trPr>
        <w:tc>
          <w:tcPr>
            <w:tcW w:w="6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6,967</w:t>
            </w:r>
          </w:p>
        </w:tc>
        <w:tc>
          <w:tcPr>
            <w:tcW w:w="1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13,388</w:t>
            </w:r>
          </w:p>
        </w:tc>
        <w:tc>
          <w:tcPr>
            <w:tcW w:w="280" w:type="dxa"/>
            <w:vAlign w:val="bottom"/>
            <w:tcBorders>
              <w:bottom w:val="single" w:sz="8" w:color="CFF0FC"/>
            </w:tcBorders>
            <w:shd w:val="clear" w:color="auto" w:fill="CFF0FC"/>
          </w:tcPr>
          <w:p>
            <w:pPr>
              <w:spacing w:after="0"/>
              <w:rPr>
                <w:sz w:val="24"/>
                <w:szCs w:val="24"/>
                <w:color w:val="auto"/>
              </w:rPr>
            </w:pPr>
          </w:p>
        </w:tc>
      </w:tr>
      <w:tr>
        <w:trPr>
          <w:trHeight w:val="224"/>
        </w:trPr>
        <w:tc>
          <w:tcPr>
            <w:tcW w:w="6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00" w:type="dxa"/>
            <w:vAlign w:val="bottom"/>
            <w:gridSpan w:val="3"/>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43"/>
        </w:trPr>
        <w:tc>
          <w:tcPr>
            <w:tcW w:w="66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700" w:type="dxa"/>
            <w:vAlign w:val="bottom"/>
            <w:gridSpan w:val="3"/>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r>
      <w:tr>
        <w:trPr>
          <w:trHeight w:val="237"/>
        </w:trPr>
        <w:tc>
          <w:tcPr>
            <w:tcW w:w="66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0.11</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0.21</w:t>
            </w:r>
          </w:p>
        </w:tc>
        <w:tc>
          <w:tcPr>
            <w:tcW w:w="280" w:type="dxa"/>
            <w:vAlign w:val="bottom"/>
          </w:tcPr>
          <w:p>
            <w:pPr>
              <w:spacing w:after="0"/>
              <w:rPr>
                <w:sz w:val="20"/>
                <w:szCs w:val="20"/>
                <w:color w:val="auto"/>
              </w:rPr>
            </w:pP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share - diluted</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70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280" w:type="dxa"/>
            <w:vAlign w:val="bottom"/>
            <w:shd w:val="clear" w:color="auto" w:fill="CFF0FC"/>
          </w:tcPr>
          <w:p>
            <w:pPr>
              <w:spacing w:after="0"/>
              <w:rPr>
                <w:sz w:val="21"/>
                <w:szCs w:val="21"/>
                <w:color w:val="auto"/>
              </w:rPr>
            </w:pPr>
          </w:p>
        </w:tc>
      </w:tr>
      <w:tr>
        <w:trPr>
          <w:trHeight w:val="243"/>
        </w:trPr>
        <w:tc>
          <w:tcPr>
            <w:tcW w:w="6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number of common shares outstanding:</w:t>
            </w:r>
          </w:p>
        </w:tc>
        <w:tc>
          <w:tcPr>
            <w:tcW w:w="3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r>
      <w:tr>
        <w:trPr>
          <w:trHeight w:val="237"/>
        </w:trPr>
        <w:tc>
          <w:tcPr>
            <w:tcW w:w="668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62,690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64,080</w:t>
            </w:r>
          </w:p>
        </w:tc>
        <w:tc>
          <w:tcPr>
            <w:tcW w:w="280" w:type="dxa"/>
            <w:vAlign w:val="bottom"/>
          </w:tcPr>
          <w:p>
            <w:pPr>
              <w:spacing w:after="0"/>
              <w:rPr>
                <w:sz w:val="20"/>
                <w:szCs w:val="20"/>
                <w:color w:val="auto"/>
              </w:rPr>
            </w:pPr>
          </w:p>
        </w:tc>
      </w:tr>
      <w:tr>
        <w:trPr>
          <w:trHeight w:val="249"/>
        </w:trPr>
        <w:tc>
          <w:tcPr>
            <w:tcW w:w="6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66,316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68,370</w:t>
            </w:r>
          </w:p>
        </w:tc>
        <w:tc>
          <w:tcPr>
            <w:tcW w:w="28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-2828290</wp:posOffset>
            </wp:positionV>
            <wp:extent cx="8572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-2828290</wp:posOffset>
            </wp:positionV>
            <wp:extent cx="85725"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-2202815</wp:posOffset>
            </wp:positionV>
            <wp:extent cx="8572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-2202815</wp:posOffset>
            </wp:positionV>
            <wp:extent cx="8572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-1259840</wp:posOffset>
            </wp:positionV>
            <wp:extent cx="152590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25905" cy="18034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80" w:type="dxa"/>
            <w:vAlign w:val="bottom"/>
          </w:tcPr>
          <w:p>
            <w:pPr>
              <w:spacing w:after="0"/>
              <w:rPr>
                <w:sz w:val="15"/>
                <w:szCs w:val="15"/>
                <w:color w:val="auto"/>
              </w:rPr>
            </w:pPr>
          </w:p>
        </w:tc>
        <w:tc>
          <w:tcPr>
            <w:tcW w:w="4060" w:type="dxa"/>
            <w:vAlign w:val="bottom"/>
            <w:gridSpan w:val="6"/>
          </w:tcPr>
          <w:p>
            <w:pPr>
              <w:jc w:val="right"/>
              <w:ind w:right="1380"/>
              <w:spacing w:after="0"/>
              <w:rPr>
                <w:sz w:val="20"/>
                <w:szCs w:val="20"/>
                <w:color w:val="auto"/>
              </w:rPr>
            </w:pPr>
            <w:r>
              <w:rPr>
                <w:rFonts w:ascii="Arial" w:cs="Arial" w:eastAsia="Arial" w:hAnsi="Arial"/>
                <w:sz w:val="14"/>
                <w:szCs w:val="14"/>
                <w:color w:val="auto"/>
              </w:rPr>
              <w:t>For the Three Months Ended</w:t>
            </w:r>
          </w:p>
        </w:tc>
      </w:tr>
      <w:tr>
        <w:trPr>
          <w:trHeight w:val="182"/>
        </w:trPr>
        <w:tc>
          <w:tcPr>
            <w:tcW w:w="7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April 29, 2023</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4"/>
                <w:szCs w:val="14"/>
                <w:color w:val="auto"/>
              </w:rPr>
              <w:t>April 30, 2022</w:t>
            </w:r>
          </w:p>
        </w:tc>
      </w:tr>
      <w:tr>
        <w:trPr>
          <w:trHeight w:val="181"/>
        </w:trPr>
        <w:tc>
          <w:tcPr>
            <w:tcW w:w="7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(Fiscal 2023)</w:t>
            </w: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4"/>
                <w:szCs w:val="14"/>
                <w:color w:val="auto"/>
              </w:rPr>
              <w:t>(Fiscal 2022)</w:t>
            </w:r>
          </w:p>
        </w:tc>
      </w:tr>
      <w:tr>
        <w:trPr>
          <w:trHeight w:val="237"/>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320" w:type="dxa"/>
            <w:vAlign w:val="bottom"/>
            <w:tcBorders>
              <w:top w:val="single" w:sz="8" w:color="auto"/>
            </w:tcBorders>
            <w:shd w:val="clear" w:color="auto" w:fill="CFF0FC"/>
          </w:tcPr>
          <w:p>
            <w:pPr>
              <w:jc w:val="right"/>
              <w:ind w:right="112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6,967</w:t>
            </w:r>
          </w:p>
        </w:tc>
        <w:tc>
          <w:tcPr>
            <w:tcW w:w="3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13,388</w:t>
            </w:r>
          </w:p>
        </w:tc>
        <w:tc>
          <w:tcPr>
            <w:tcW w:w="360" w:type="dxa"/>
            <w:vAlign w:val="bottom"/>
            <w:shd w:val="clear" w:color="auto" w:fill="CFF0FC"/>
          </w:tcPr>
          <w:p>
            <w:pPr>
              <w:spacing w:after="0"/>
              <w:rPr>
                <w:sz w:val="20"/>
                <w:szCs w:val="20"/>
                <w:color w:val="auto"/>
              </w:rPr>
            </w:pPr>
          </w:p>
        </w:tc>
      </w:tr>
      <w:tr>
        <w:trPr>
          <w:trHeight w:val="243"/>
        </w:trPr>
        <w:tc>
          <w:tcPr>
            <w:tcW w:w="7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before taxes:</w:t>
            </w:r>
          </w:p>
        </w:tc>
        <w:tc>
          <w:tcPr>
            <w:tcW w:w="1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1320" w:type="dxa"/>
            <w:vAlign w:val="bottom"/>
          </w:tcPr>
          <w:p>
            <w:pPr>
              <w:spacing w:after="0"/>
              <w:rPr>
                <w:sz w:val="20"/>
                <w:szCs w:val="20"/>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(4 )</w:t>
            </w:r>
          </w:p>
        </w:tc>
      </w:tr>
      <w:tr>
        <w:trPr>
          <w:trHeight w:val="249"/>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Pension plans</w:t>
            </w:r>
          </w:p>
        </w:tc>
        <w:tc>
          <w:tcPr>
            <w:tcW w:w="13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CFF0FC"/>
            </w:tcBorders>
            <w:shd w:val="clear" w:color="auto" w:fill="CFF0FC"/>
          </w:tcPr>
          <w:p>
            <w:pPr>
              <w:spacing w:after="0"/>
              <w:rPr>
                <w:sz w:val="21"/>
                <w:szCs w:val="21"/>
                <w:color w:val="auto"/>
              </w:rPr>
            </w:pPr>
          </w:p>
        </w:tc>
      </w:tr>
      <w:tr>
        <w:trPr>
          <w:trHeight w:val="230"/>
        </w:trPr>
        <w:tc>
          <w:tcPr>
            <w:tcW w:w="7180" w:type="dxa"/>
            <w:vAlign w:val="bottom"/>
          </w:tcPr>
          <w:p>
            <w:pPr>
              <w:ind w:left="380"/>
              <w:spacing w:after="0"/>
              <w:rPr>
                <w:sz w:val="20"/>
                <w:szCs w:val="20"/>
                <w:color w:val="auto"/>
              </w:rPr>
            </w:pPr>
            <w:r>
              <w:rPr>
                <w:rFonts w:ascii="Arial" w:cs="Arial" w:eastAsia="Arial" w:hAnsi="Arial"/>
                <w:sz w:val="18"/>
                <w:szCs w:val="18"/>
                <w:color w:val="auto"/>
              </w:rPr>
              <w:t>Other comprehensive income before taxes</w:t>
            </w:r>
          </w:p>
        </w:tc>
        <w:tc>
          <w:tcPr>
            <w:tcW w:w="1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20"/>
                <w:szCs w:val="20"/>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 provision related to items of other comprehensive income</w:t>
            </w:r>
          </w:p>
        </w:tc>
        <w:tc>
          <w:tcPr>
            <w:tcW w:w="13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(17 )</w:t>
            </w:r>
          </w:p>
        </w:tc>
        <w:tc>
          <w:tcPr>
            <w:tcW w:w="2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r>
      <w:tr>
        <w:trPr>
          <w:trHeight w:val="236"/>
        </w:trPr>
        <w:tc>
          <w:tcPr>
            <w:tcW w:w="7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comprehensive income, net of tax</w:t>
            </w:r>
          </w:p>
        </w:tc>
        <w:tc>
          <w:tcPr>
            <w:tcW w:w="13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60" w:type="dxa"/>
            <w:vAlign w:val="bottom"/>
            <w:tcBorders>
              <w:top w:val="single" w:sz="8" w:color="CFF0FC"/>
            </w:tcBorders>
          </w:tcPr>
          <w:p>
            <w:pPr>
              <w:spacing w:after="0"/>
              <w:rPr>
                <w:sz w:val="20"/>
                <w:szCs w:val="20"/>
                <w:color w:val="auto"/>
              </w:rPr>
            </w:pPr>
          </w:p>
        </w:tc>
      </w:tr>
      <w:tr>
        <w:trPr>
          <w:trHeight w:val="277"/>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w:t>
            </w:r>
          </w:p>
        </w:tc>
        <w:tc>
          <w:tcPr>
            <w:tcW w:w="1320" w:type="dxa"/>
            <w:vAlign w:val="bottom"/>
            <w:tcBorders>
              <w:bottom w:val="single" w:sz="8" w:color="auto"/>
            </w:tcBorders>
            <w:shd w:val="clear" w:color="auto" w:fill="CFF0FC"/>
          </w:tcPr>
          <w:p>
            <w:pPr>
              <w:jc w:val="right"/>
              <w:ind w:right="112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7,016</w:t>
            </w:r>
          </w:p>
        </w:tc>
        <w:tc>
          <w:tcPr>
            <w:tcW w:w="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13,451</w:t>
            </w:r>
          </w:p>
        </w:tc>
        <w:tc>
          <w:tcPr>
            <w:tcW w:w="3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-668020</wp:posOffset>
            </wp:positionV>
            <wp:extent cx="857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-668020</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-350520</wp:posOffset>
            </wp:positionV>
            <wp:extent cx="857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-350520</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-25400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-7620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color w:val="auto"/>
                <w:w w:val="87"/>
              </w:rPr>
              <w:t>Accumulated</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3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w w:val="91"/>
              </w:rPr>
              <w:t>Additional</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color w:val="auto"/>
                <w:w w:val="92"/>
              </w:rPr>
              <w:t>Other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3"/>
                <w:szCs w:val="13"/>
                <w:color w:val="auto"/>
              </w:rPr>
              <w:t>Common Stock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3"/>
                <w:szCs w:val="13"/>
                <w:color w:val="auto"/>
              </w:rPr>
              <w:t>Paid-in</w:t>
            </w:r>
          </w:p>
        </w:tc>
        <w:tc>
          <w:tcPr>
            <w:tcW w:w="2000" w:type="dxa"/>
            <w:vAlign w:val="bottom"/>
            <w:gridSpan w:val="5"/>
          </w:tcPr>
          <w:p>
            <w:pPr>
              <w:jc w:val="right"/>
              <w:ind w:right="740"/>
              <w:spacing w:after="0"/>
              <w:rPr>
                <w:sz w:val="20"/>
                <w:szCs w:val="20"/>
                <w:color w:val="auto"/>
              </w:rPr>
            </w:pPr>
            <w:r>
              <w:rPr>
                <w:rFonts w:ascii="Arial" w:cs="Arial" w:eastAsia="Arial" w:hAnsi="Arial"/>
                <w:sz w:val="13"/>
                <w:szCs w:val="13"/>
                <w:color w:val="auto"/>
              </w:rPr>
              <w:t>Treasury Stock</w:t>
            </w:r>
          </w:p>
        </w:tc>
        <w:tc>
          <w:tcPr>
            <w:tcW w:w="1060" w:type="dxa"/>
            <w:vAlign w:val="bottom"/>
            <w:gridSpan w:val="3"/>
          </w:tcPr>
          <w:p>
            <w:pPr>
              <w:jc w:val="right"/>
              <w:ind w:right="320"/>
              <w:spacing w:after="0"/>
              <w:rPr>
                <w:sz w:val="20"/>
                <w:szCs w:val="20"/>
                <w:color w:val="auto"/>
              </w:rPr>
            </w:pPr>
            <w:r>
              <w:rPr>
                <w:rFonts w:ascii="Arial" w:cs="Arial" w:eastAsia="Arial" w:hAnsi="Arial"/>
                <w:sz w:val="13"/>
                <w:szCs w:val="13"/>
                <w:color w:val="auto"/>
                <w:w w:val="95"/>
              </w:rPr>
              <w:t>Accumulated</w:t>
            </w:r>
          </w:p>
        </w:tc>
        <w:tc>
          <w:tcPr>
            <w:tcW w:w="1160" w:type="dxa"/>
            <w:vAlign w:val="bottom"/>
            <w:gridSpan w:val="3"/>
          </w:tcPr>
          <w:p>
            <w:pPr>
              <w:jc w:val="center"/>
              <w:ind w:right="260"/>
              <w:spacing w:after="0"/>
              <w:rPr>
                <w:sz w:val="20"/>
                <w:szCs w:val="20"/>
                <w:color w:val="auto"/>
              </w:rPr>
            </w:pPr>
            <w:r>
              <w:rPr>
                <w:rFonts w:ascii="Arial" w:cs="Arial" w:eastAsia="Arial" w:hAnsi="Arial"/>
                <w:sz w:val="13"/>
                <w:szCs w:val="13"/>
                <w:color w:val="auto"/>
                <w:w w:val="85"/>
              </w:rPr>
              <w:t>Comprehensive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3"/>
        </w:trPr>
        <w:tc>
          <w:tcPr>
            <w:tcW w:w="3260" w:type="dxa"/>
            <w:vAlign w:val="bottom"/>
          </w:tcPr>
          <w:p>
            <w:pPr>
              <w:spacing w:after="0"/>
              <w:rPr>
                <w:sz w:val="14"/>
                <w:szCs w:val="14"/>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color w:val="auto"/>
              </w:rPr>
              <w:t>Shares</w:t>
            </w:r>
          </w:p>
        </w:tc>
        <w:tc>
          <w:tcPr>
            <w:tcW w:w="260" w:type="dxa"/>
            <w:vAlign w:val="bottom"/>
            <w:gridSpan w:val="2"/>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Amounts</w:t>
            </w:r>
          </w:p>
        </w:tc>
        <w:tc>
          <w:tcPr>
            <w:tcW w:w="2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color w:val="auto"/>
              </w:rPr>
              <w:t>Capital</w:t>
            </w:r>
          </w:p>
        </w:tc>
        <w:tc>
          <w:tcPr>
            <w:tcW w:w="260" w:type="dxa"/>
            <w:vAlign w:val="bottom"/>
          </w:tcPr>
          <w:p>
            <w:pPr>
              <w:spacing w:after="0"/>
              <w:rPr>
                <w:sz w:val="14"/>
                <w:szCs w:val="14"/>
                <w:color w:val="auto"/>
              </w:rPr>
            </w:pPr>
          </w:p>
        </w:tc>
        <w:tc>
          <w:tcPr>
            <w:tcW w:w="70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color w:val="auto"/>
              </w:rPr>
              <w:t>Shares</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color w:val="auto"/>
                <w:w w:val="93"/>
              </w:rPr>
              <w:t>Amounts</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color w:val="auto"/>
              </w:rPr>
              <w:t>Deficit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color w:val="auto"/>
                <w:w w:val="87"/>
              </w:rPr>
              <w:t>Loss</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4"/>
                <w:szCs w:val="14"/>
                <w:color w:val="auto"/>
              </w:rPr>
            </w:pPr>
          </w:p>
        </w:tc>
      </w:tr>
      <w:tr>
        <w:trPr>
          <w:trHeight w:val="224"/>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January 28, 2023</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78,230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321,516</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(15,625 )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8"/>
              </w:rPr>
              <w:t>(105,386 )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(74,756 )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(4,928 )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137,228</w:t>
            </w:r>
          </w:p>
        </w:tc>
        <w:tc>
          <w:tcPr>
            <w:tcW w:w="140" w:type="dxa"/>
            <w:vAlign w:val="bottom"/>
            <w:shd w:val="clear" w:color="auto" w:fill="CFF0FC"/>
          </w:tcPr>
          <w:p>
            <w:pPr>
              <w:spacing w:after="0"/>
              <w:rPr>
                <w:sz w:val="19"/>
                <w:szCs w:val="19"/>
                <w:color w:val="auto"/>
              </w:rPr>
            </w:pPr>
          </w:p>
        </w:tc>
      </w:tr>
      <w:tr>
        <w:trPr>
          <w:trHeight w:val="220"/>
        </w:trPr>
        <w:tc>
          <w:tcPr>
            <w:tcW w:w="3260" w:type="dxa"/>
            <w:vAlign w:val="bottom"/>
          </w:tcPr>
          <w:p>
            <w:pPr>
              <w:ind w:left="20"/>
              <w:spacing w:after="0"/>
              <w:rPr>
                <w:sz w:val="20"/>
                <w:szCs w:val="20"/>
                <w:color w:val="auto"/>
              </w:rPr>
            </w:pPr>
            <w:r>
              <w:rPr>
                <w:rFonts w:ascii="Arial" w:cs="Arial" w:eastAsia="Arial" w:hAnsi="Arial"/>
                <w:sz w:val="16"/>
                <w:szCs w:val="16"/>
                <w:color w:val="auto"/>
              </w:rPr>
              <w:t>Board of directors' compensation</w:t>
            </w: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c>
          <w:tcPr>
            <w:tcW w:w="2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9"/>
                <w:szCs w:val="19"/>
                <w:color w:val="auto"/>
              </w:rPr>
            </w:pPr>
          </w:p>
        </w:tc>
      </w:tr>
      <w:tr>
        <w:trPr>
          <w:trHeight w:val="239"/>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compensation expense</w:t>
            </w:r>
          </w:p>
        </w:tc>
        <w:tc>
          <w:tcPr>
            <w:tcW w:w="94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58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w:t>
            </w: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w:t>
            </w:r>
          </w:p>
        </w:tc>
        <w:tc>
          <w:tcPr>
            <w:tcW w:w="140" w:type="dxa"/>
            <w:vAlign w:val="bottom"/>
            <w:shd w:val="clear" w:color="auto" w:fill="CFF0FC"/>
          </w:tcPr>
          <w:p>
            <w:pPr>
              <w:spacing w:after="0"/>
              <w:rPr>
                <w:sz w:val="20"/>
                <w:szCs w:val="20"/>
                <w:color w:val="auto"/>
              </w:rPr>
            </w:pPr>
          </w:p>
        </w:tc>
      </w:tr>
      <w:tr>
        <w:trPr>
          <w:trHeight w:val="206"/>
        </w:trPr>
        <w:tc>
          <w:tcPr>
            <w:tcW w:w="3260" w:type="dxa"/>
            <w:vAlign w:val="bottom"/>
          </w:tcPr>
          <w:p>
            <w:pPr>
              <w:ind w:left="20"/>
              <w:spacing w:after="0"/>
              <w:rPr>
                <w:sz w:val="20"/>
                <w:szCs w:val="20"/>
                <w:color w:val="auto"/>
              </w:rPr>
            </w:pPr>
            <w:r>
              <w:rPr>
                <w:rFonts w:ascii="Arial" w:cs="Arial" w:eastAsia="Arial" w:hAnsi="Arial"/>
                <w:sz w:val="16"/>
                <w:szCs w:val="16"/>
                <w:color w:val="auto"/>
              </w:rPr>
              <w:t>Restricted stock units (RSUs) granted for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achievement of performance-based</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compensation, reclassified from liability to</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6"/>
                <w:szCs w:val="16"/>
                <w:color w:val="auto"/>
              </w:rPr>
              <w:t>equity</w:t>
            </w:r>
          </w:p>
        </w:tc>
        <w:tc>
          <w:tcPr>
            <w:tcW w:w="9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1,146</w:t>
            </w:r>
          </w:p>
        </w:tc>
        <w:tc>
          <w:tcPr>
            <w:tcW w:w="2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1,146</w:t>
            </w:r>
          </w:p>
        </w:tc>
        <w:tc>
          <w:tcPr>
            <w:tcW w:w="140" w:type="dxa"/>
            <w:vAlign w:val="bottom"/>
          </w:tcPr>
          <w:p>
            <w:pPr>
              <w:spacing w:after="0"/>
              <w:rPr>
                <w:sz w:val="18"/>
                <w:szCs w:val="18"/>
                <w:color w:val="auto"/>
              </w:rPr>
            </w:pPr>
          </w:p>
        </w:tc>
      </w:tr>
      <w:tr>
        <w:trPr>
          <w:trHeight w:val="239"/>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Issuance of common stock, upon RSUs release</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(3 )</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6"/>
        </w:trPr>
        <w:tc>
          <w:tcPr>
            <w:tcW w:w="3260" w:type="dxa"/>
            <w:vAlign w:val="bottom"/>
          </w:tcPr>
          <w:p>
            <w:pPr>
              <w:ind w:left="20"/>
              <w:spacing w:after="0"/>
              <w:rPr>
                <w:sz w:val="20"/>
                <w:szCs w:val="20"/>
                <w:color w:val="auto"/>
              </w:rPr>
            </w:pPr>
            <w:r>
              <w:rPr>
                <w:rFonts w:ascii="Arial" w:cs="Arial" w:eastAsia="Arial" w:hAnsi="Arial"/>
                <w:sz w:val="16"/>
                <w:szCs w:val="16"/>
                <w:color w:val="auto"/>
              </w:rPr>
              <w:t>Shares withheld for taxes related to net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(81 )</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(445 )</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(446 )</w:t>
            </w:r>
          </w:p>
        </w:tc>
      </w:tr>
      <w:tr>
        <w:trPr>
          <w:trHeight w:val="239"/>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2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140" w:type="dxa"/>
            <w:vAlign w:val="bottom"/>
            <w:shd w:val="clear" w:color="auto" w:fill="CFF0FC"/>
          </w:tcPr>
          <w:p>
            <w:pPr>
              <w:spacing w:after="0"/>
              <w:rPr>
                <w:sz w:val="20"/>
                <w:szCs w:val="20"/>
                <w:color w:val="auto"/>
              </w:rPr>
            </w:pPr>
          </w:p>
        </w:tc>
      </w:tr>
      <w:tr>
        <w:trPr>
          <w:trHeight w:val="220"/>
        </w:trPr>
        <w:tc>
          <w:tcPr>
            <w:tcW w:w="32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9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9"/>
                <w:szCs w:val="19"/>
                <w:color w:val="auto"/>
              </w:rPr>
            </w:pPr>
          </w:p>
        </w:tc>
      </w:tr>
      <w:tr>
        <w:trPr>
          <w:trHeight w:val="236"/>
        </w:trPr>
        <w:tc>
          <w:tcPr>
            <w:tcW w:w="3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6,967</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6,967</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07"/>
        </w:trPr>
        <w:tc>
          <w:tcPr>
            <w:tcW w:w="3260" w:type="dxa"/>
            <w:vAlign w:val="bottom"/>
          </w:tcPr>
          <w:p>
            <w:pPr>
              <w:ind w:left="20"/>
              <w:spacing w:after="0"/>
              <w:rPr>
                <w:sz w:val="20"/>
                <w:szCs w:val="20"/>
                <w:color w:val="auto"/>
              </w:rPr>
            </w:pPr>
            <w:r>
              <w:rPr>
                <w:rFonts w:ascii="Arial" w:cs="Arial" w:eastAsia="Arial" w:hAnsi="Arial"/>
                <w:sz w:val="16"/>
                <w:szCs w:val="16"/>
                <w:color w:val="auto"/>
              </w:rPr>
              <w:t>Balance at April 29, 2023</w:t>
            </w:r>
          </w:p>
        </w:tc>
        <w:tc>
          <w:tcPr>
            <w:tcW w:w="680" w:type="dxa"/>
            <w:vAlign w:val="bottom"/>
          </w:tcPr>
          <w:p>
            <w:pPr>
              <w:jc w:val="right"/>
              <w:spacing w:after="0"/>
              <w:rPr>
                <w:sz w:val="20"/>
                <w:szCs w:val="20"/>
                <w:color w:val="auto"/>
              </w:rPr>
            </w:pPr>
            <w:r>
              <w:rPr>
                <w:rFonts w:ascii="Arial" w:cs="Arial" w:eastAsia="Arial" w:hAnsi="Arial"/>
                <w:sz w:val="16"/>
                <w:szCs w:val="16"/>
                <w:color w:val="auto"/>
              </w:rPr>
              <w:t>78,496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322,941</w:t>
            </w:r>
          </w:p>
        </w:tc>
        <w:tc>
          <w:tcPr>
            <w:tcW w:w="2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(15,625 )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(105,386 )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(67,789 )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 xml:space="preserve">(4,879 </w:t>
            </w:r>
            <w:r>
              <w:rPr>
                <w:rFonts w:ascii="Arial" w:cs="Arial" w:eastAsia="Arial" w:hAnsi="Arial"/>
                <w:sz w:val="16"/>
                <w:szCs w:val="16"/>
                <w:color w:val="auto"/>
                <w:highlight w:val="white"/>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145,672</w:t>
            </w:r>
          </w:p>
        </w:tc>
        <w:tc>
          <w:tcPr>
            <w:tcW w:w="1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-140970</wp:posOffset>
            </wp:positionV>
            <wp:extent cx="76835"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-140970</wp:posOffset>
            </wp:positionV>
            <wp:extent cx="8572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-140970</wp:posOffset>
            </wp:positionV>
            <wp:extent cx="85725"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-140970</wp:posOffset>
            </wp:positionV>
            <wp:extent cx="7747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-140970</wp:posOffset>
            </wp:positionV>
            <wp:extent cx="85725"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-140970</wp:posOffset>
            </wp:positionV>
            <wp:extent cx="85725"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-140970</wp:posOffset>
            </wp:positionV>
            <wp:extent cx="8572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5430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color w:val="auto"/>
                <w:w w:val="87"/>
              </w:rPr>
              <w:t>Accumulated</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3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360"/>
              <w:spacing w:after="0"/>
              <w:rPr>
                <w:sz w:val="20"/>
                <w:szCs w:val="20"/>
                <w:color w:val="auto"/>
              </w:rPr>
            </w:pPr>
            <w:r>
              <w:rPr>
                <w:rFonts w:ascii="Arial" w:cs="Arial" w:eastAsia="Arial" w:hAnsi="Arial"/>
                <w:sz w:val="13"/>
                <w:szCs w:val="13"/>
                <w:color w:val="auto"/>
                <w:w w:val="94"/>
              </w:rPr>
              <w:t>Additional</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3"/>
                <w:szCs w:val="13"/>
                <w:color w:val="auto"/>
                <w:w w:val="92"/>
              </w:rPr>
              <w:t>Other</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3"/>
                <w:szCs w:val="13"/>
                <w:color w:val="auto"/>
              </w:rPr>
              <w:t>Common Stock</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360"/>
              <w:spacing w:after="0"/>
              <w:rPr>
                <w:sz w:val="20"/>
                <w:szCs w:val="20"/>
                <w:color w:val="auto"/>
              </w:rPr>
            </w:pPr>
            <w:r>
              <w:rPr>
                <w:rFonts w:ascii="Arial" w:cs="Arial" w:eastAsia="Arial" w:hAnsi="Arial"/>
                <w:sz w:val="13"/>
                <w:szCs w:val="13"/>
                <w:color w:val="auto"/>
                <w:w w:val="93"/>
              </w:rPr>
              <w:t>Paid-in</w:t>
            </w:r>
          </w:p>
        </w:tc>
        <w:tc>
          <w:tcPr>
            <w:tcW w:w="2000" w:type="dxa"/>
            <w:vAlign w:val="bottom"/>
            <w:gridSpan w:val="6"/>
          </w:tcPr>
          <w:p>
            <w:pPr>
              <w:jc w:val="right"/>
              <w:ind w:right="740"/>
              <w:spacing w:after="0"/>
              <w:rPr>
                <w:sz w:val="20"/>
                <w:szCs w:val="20"/>
                <w:color w:val="auto"/>
              </w:rPr>
            </w:pPr>
            <w:r>
              <w:rPr>
                <w:rFonts w:ascii="Arial" w:cs="Arial" w:eastAsia="Arial" w:hAnsi="Arial"/>
                <w:sz w:val="13"/>
                <w:szCs w:val="13"/>
                <w:color w:val="auto"/>
              </w:rPr>
              <w:t>Treasury Stock</w:t>
            </w:r>
          </w:p>
        </w:tc>
        <w:tc>
          <w:tcPr>
            <w:tcW w:w="1060" w:type="dxa"/>
            <w:vAlign w:val="bottom"/>
            <w:gridSpan w:val="3"/>
          </w:tcPr>
          <w:p>
            <w:pPr>
              <w:jc w:val="right"/>
              <w:ind w:right="320"/>
              <w:spacing w:after="0"/>
              <w:rPr>
                <w:sz w:val="20"/>
                <w:szCs w:val="20"/>
                <w:color w:val="auto"/>
              </w:rPr>
            </w:pPr>
            <w:r>
              <w:rPr>
                <w:rFonts w:ascii="Arial" w:cs="Arial" w:eastAsia="Arial" w:hAnsi="Arial"/>
                <w:sz w:val="13"/>
                <w:szCs w:val="13"/>
                <w:color w:val="auto"/>
                <w:w w:val="95"/>
              </w:rPr>
              <w:t>Accumulated</w:t>
            </w:r>
          </w:p>
        </w:tc>
        <w:tc>
          <w:tcPr>
            <w:tcW w:w="1160" w:type="dxa"/>
            <w:vAlign w:val="bottom"/>
            <w:gridSpan w:val="3"/>
          </w:tcPr>
          <w:p>
            <w:pPr>
              <w:jc w:val="center"/>
              <w:ind w:right="260"/>
              <w:spacing w:after="0"/>
              <w:rPr>
                <w:sz w:val="20"/>
                <w:szCs w:val="20"/>
                <w:color w:val="auto"/>
              </w:rPr>
            </w:pPr>
            <w:r>
              <w:rPr>
                <w:rFonts w:ascii="Arial" w:cs="Arial" w:eastAsia="Arial" w:hAnsi="Arial"/>
                <w:sz w:val="13"/>
                <w:szCs w:val="13"/>
                <w:color w:val="auto"/>
                <w:w w:val="85"/>
              </w:rPr>
              <w:t>Comprehensive</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3"/>
        </w:trPr>
        <w:tc>
          <w:tcPr>
            <w:tcW w:w="3260" w:type="dxa"/>
            <w:vAlign w:val="bottom"/>
          </w:tcPr>
          <w:p>
            <w:pPr>
              <w:spacing w:after="0"/>
              <w:rPr>
                <w:sz w:val="14"/>
                <w:szCs w:val="14"/>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color w:val="auto"/>
              </w:rPr>
              <w:t>Shares</w:t>
            </w:r>
          </w:p>
        </w:tc>
        <w:tc>
          <w:tcPr>
            <w:tcW w:w="2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Amounts</w:t>
            </w:r>
          </w:p>
        </w:tc>
        <w:tc>
          <w:tcPr>
            <w:tcW w:w="26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color w:val="auto"/>
                <w:w w:val="93"/>
              </w:rPr>
              <w:t>Capital</w:t>
            </w:r>
          </w:p>
        </w:tc>
        <w:tc>
          <w:tcPr>
            <w:tcW w:w="260" w:type="dxa"/>
            <w:vAlign w:val="bottom"/>
            <w:gridSpan w:val="2"/>
          </w:tcPr>
          <w:p>
            <w:pPr>
              <w:spacing w:after="0"/>
              <w:rPr>
                <w:sz w:val="14"/>
                <w:szCs w:val="14"/>
                <w:color w:val="auto"/>
              </w:rPr>
            </w:pPr>
          </w:p>
        </w:tc>
        <w:tc>
          <w:tcPr>
            <w:tcW w:w="70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color w:val="auto"/>
              </w:rPr>
              <w:t>Shares</w:t>
            </w:r>
          </w:p>
        </w:tc>
        <w:tc>
          <w:tcPr>
            <w:tcW w:w="24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w w:val="93"/>
              </w:rPr>
              <w:t>Amounts</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color w:val="auto"/>
              </w:rPr>
              <w:t>Deficit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color w:val="auto"/>
                <w:w w:val="87"/>
              </w:rPr>
              <w:t>Loss</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color w:val="auto"/>
              </w:rPr>
              <w:t>Total</w:t>
            </w:r>
          </w:p>
        </w:tc>
        <w:tc>
          <w:tcPr>
            <w:tcW w:w="140" w:type="dxa"/>
            <w:vAlign w:val="bottom"/>
          </w:tcPr>
          <w:p>
            <w:pPr>
              <w:spacing w:after="0"/>
              <w:rPr>
                <w:sz w:val="14"/>
                <w:szCs w:val="14"/>
                <w:color w:val="auto"/>
              </w:rPr>
            </w:pPr>
          </w:p>
        </w:tc>
      </w:tr>
      <w:tr>
        <w:trPr>
          <w:trHeight w:val="224"/>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January 29, 2022</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77,025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319,511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(12,755 )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(92,658 )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5"/>
              </w:rPr>
              <w:t>(163,879 )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(5,525 )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58,219</w:t>
            </w:r>
          </w:p>
        </w:tc>
        <w:tc>
          <w:tcPr>
            <w:tcW w:w="140" w:type="dxa"/>
            <w:vAlign w:val="bottom"/>
            <w:shd w:val="clear" w:color="auto" w:fill="CFF0FC"/>
          </w:tcPr>
          <w:p>
            <w:pPr>
              <w:spacing w:after="0"/>
              <w:rPr>
                <w:sz w:val="19"/>
                <w:szCs w:val="19"/>
                <w:color w:val="auto"/>
              </w:rPr>
            </w:pPr>
          </w:p>
        </w:tc>
      </w:tr>
      <w:tr>
        <w:trPr>
          <w:trHeight w:val="220"/>
        </w:trPr>
        <w:tc>
          <w:tcPr>
            <w:tcW w:w="3260" w:type="dxa"/>
            <w:vAlign w:val="bottom"/>
          </w:tcPr>
          <w:p>
            <w:pPr>
              <w:ind w:left="20"/>
              <w:spacing w:after="0"/>
              <w:rPr>
                <w:sz w:val="20"/>
                <w:szCs w:val="20"/>
                <w:color w:val="auto"/>
              </w:rPr>
            </w:pPr>
            <w:r>
              <w:rPr>
                <w:rFonts w:ascii="Arial" w:cs="Arial" w:eastAsia="Arial" w:hAnsi="Arial"/>
                <w:sz w:val="16"/>
                <w:szCs w:val="16"/>
                <w:color w:val="auto"/>
              </w:rPr>
              <w:t>Board of directors' compensation</w:t>
            </w: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9"/>
                <w:szCs w:val="19"/>
                <w:color w:val="auto"/>
              </w:rPr>
            </w:pPr>
          </w:p>
        </w:tc>
      </w:tr>
      <w:tr>
        <w:trPr>
          <w:trHeight w:val="239"/>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compensation expense</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58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140" w:type="dxa"/>
            <w:vAlign w:val="bottom"/>
            <w:shd w:val="clear" w:color="auto" w:fill="CFF0FC"/>
          </w:tcPr>
          <w:p>
            <w:pPr>
              <w:spacing w:after="0"/>
              <w:rPr>
                <w:sz w:val="20"/>
                <w:szCs w:val="20"/>
                <w:color w:val="auto"/>
              </w:rPr>
            </w:pPr>
          </w:p>
        </w:tc>
      </w:tr>
      <w:tr>
        <w:trPr>
          <w:trHeight w:val="206"/>
        </w:trPr>
        <w:tc>
          <w:tcPr>
            <w:tcW w:w="3260" w:type="dxa"/>
            <w:vAlign w:val="bottom"/>
          </w:tcPr>
          <w:p>
            <w:pPr>
              <w:ind w:left="20"/>
              <w:spacing w:after="0"/>
              <w:rPr>
                <w:sz w:val="20"/>
                <w:szCs w:val="20"/>
                <w:color w:val="auto"/>
              </w:rPr>
            </w:pPr>
            <w:r>
              <w:rPr>
                <w:rFonts w:ascii="Arial" w:cs="Arial" w:eastAsia="Arial" w:hAnsi="Arial"/>
                <w:sz w:val="16"/>
                <w:szCs w:val="16"/>
                <w:color w:val="auto"/>
                <w:w w:val="95"/>
              </w:rPr>
              <w:t>RSUs granted for achievement of performance-</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based</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compensation, reclassified from liability to</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6"/>
                <w:szCs w:val="16"/>
                <w:color w:val="auto"/>
              </w:rPr>
              <w:t>equity</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1,138</w:t>
            </w:r>
          </w:p>
        </w:tc>
        <w:tc>
          <w:tcPr>
            <w:tcW w:w="140" w:type="dxa"/>
            <w:vAlign w:val="bottom"/>
          </w:tcPr>
          <w:p>
            <w:pPr>
              <w:spacing w:after="0"/>
              <w:rPr>
                <w:sz w:val="18"/>
                <w:szCs w:val="18"/>
                <w:color w:val="auto"/>
              </w:rPr>
            </w:pPr>
          </w:p>
        </w:tc>
      </w:tr>
      <w:tr>
        <w:trPr>
          <w:trHeight w:val="239"/>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5"/>
              </w:rPr>
              <w:t>Issuance of common stock, upon RSUs release</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(3 )</w:t>
            </w:r>
          </w:p>
        </w:tc>
        <w:tc>
          <w:tcPr>
            <w:tcW w:w="12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6"/>
        </w:trPr>
        <w:tc>
          <w:tcPr>
            <w:tcW w:w="3260" w:type="dxa"/>
            <w:vAlign w:val="bottom"/>
          </w:tcPr>
          <w:p>
            <w:pPr>
              <w:ind w:left="20"/>
              <w:spacing w:after="0"/>
              <w:rPr>
                <w:sz w:val="20"/>
                <w:szCs w:val="20"/>
                <w:color w:val="auto"/>
              </w:rPr>
            </w:pPr>
            <w:r>
              <w:rPr>
                <w:rFonts w:ascii="Arial" w:cs="Arial" w:eastAsia="Arial" w:hAnsi="Arial"/>
                <w:sz w:val="16"/>
                <w:szCs w:val="16"/>
                <w:color w:val="auto"/>
              </w:rPr>
              <w:t>Shares withheld for taxes related to net share</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(85 )</w:t>
            </w:r>
          </w:p>
        </w:tc>
        <w:tc>
          <w:tcPr>
            <w:tcW w:w="3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(414 )</w:t>
            </w:r>
          </w:p>
        </w:tc>
        <w:tc>
          <w:tcPr>
            <w:tcW w:w="120" w:type="dxa"/>
            <w:vAlign w:val="bottom"/>
          </w:tcPr>
          <w:p>
            <w:pPr>
              <w:spacing w:after="0"/>
              <w:rPr>
                <w:sz w:val="18"/>
                <w:szCs w:val="18"/>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(415 )</w:t>
            </w:r>
          </w:p>
        </w:tc>
      </w:tr>
      <w:tr>
        <w:trPr>
          <w:trHeight w:val="239"/>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20"/>
                <w:szCs w:val="20"/>
                <w:color w:val="auto"/>
              </w:rPr>
            </w:pPr>
          </w:p>
        </w:tc>
      </w:tr>
      <w:tr>
        <w:trPr>
          <w:trHeight w:val="220"/>
        </w:trPr>
        <w:tc>
          <w:tcPr>
            <w:tcW w:w="326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(946 )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(4,847 )</w:t>
            </w: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(4,847 )</w:t>
            </w:r>
          </w:p>
        </w:tc>
      </w:tr>
      <w:tr>
        <w:trPr>
          <w:trHeight w:val="239"/>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 (loss):</w:t>
            </w:r>
          </w:p>
        </w:tc>
        <w:tc>
          <w:tcPr>
            <w:tcW w:w="6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3260" w:type="dxa"/>
            <w:vAlign w:val="bottom"/>
          </w:tcPr>
          <w:p>
            <w:pPr>
              <w:ind w:left="200"/>
              <w:spacing w:after="0"/>
              <w:rPr>
                <w:sz w:val="20"/>
                <w:szCs w:val="20"/>
                <w:color w:val="auto"/>
              </w:rPr>
            </w:pPr>
            <w:r>
              <w:rPr>
                <w:rFonts w:ascii="Arial" w:cs="Arial" w:eastAsia="Arial" w:hAnsi="Arial"/>
                <w:sz w:val="16"/>
                <w:szCs w:val="16"/>
                <w:color w:val="auto"/>
              </w:rPr>
              <w:t>Pension plan, net of taxes</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58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w:t>
            </w:r>
          </w:p>
        </w:tc>
        <w:tc>
          <w:tcPr>
            <w:tcW w:w="140" w:type="dxa"/>
            <w:vAlign w:val="bottom"/>
          </w:tcPr>
          <w:p>
            <w:pPr>
              <w:spacing w:after="0"/>
              <w:rPr>
                <w:sz w:val="19"/>
                <w:szCs w:val="19"/>
                <w:color w:val="auto"/>
              </w:rPr>
            </w:pPr>
          </w:p>
        </w:tc>
      </w:tr>
      <w:tr>
        <w:trPr>
          <w:trHeight w:val="239"/>
        </w:trPr>
        <w:tc>
          <w:tcPr>
            <w:tcW w:w="3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net of taxes</w:t>
            </w: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20"/>
                <w:szCs w:val="20"/>
                <w:color w:val="auto"/>
              </w:rPr>
            </w:pPr>
          </w:p>
        </w:tc>
        <w:tc>
          <w:tcPr>
            <w:tcW w:w="58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90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(4 )</w:t>
            </w:r>
          </w:p>
        </w:tc>
        <w:tc>
          <w:tcPr>
            <w:tcW w:w="1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(4 )</w:t>
            </w:r>
          </w:p>
        </w:tc>
      </w:tr>
      <w:tr>
        <w:trPr>
          <w:trHeight w:val="227"/>
        </w:trPr>
        <w:tc>
          <w:tcPr>
            <w:tcW w:w="32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13,388</w:t>
            </w:r>
          </w:p>
        </w:tc>
        <w:tc>
          <w:tcPr>
            <w:tcW w:w="140" w:type="dxa"/>
            <w:vAlign w:val="bottom"/>
          </w:tcPr>
          <w:p>
            <w:pPr>
              <w:spacing w:after="0"/>
              <w:rPr>
                <w:sz w:val="19"/>
                <w:szCs w:val="19"/>
                <w:color w:val="auto"/>
              </w:rPr>
            </w:pPr>
          </w:p>
        </w:tc>
      </w:tr>
      <w:tr>
        <w:trPr>
          <w:trHeight w:val="226"/>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April 30, 2022</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77,323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320,745</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(13,702 )</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(97,505 )</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w w:val="95"/>
              </w:rPr>
              <w:t>(150,491 )</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(5,462 )</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68,060</w:t>
            </w:r>
          </w:p>
        </w:tc>
        <w:tc>
          <w:tcPr>
            <w:tcW w:w="14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4"/>
                <w:szCs w:val="14"/>
                <w:color w:val="auto"/>
              </w:rPr>
              <w:t>April 29, 2023</w:t>
            </w:r>
          </w:p>
        </w:tc>
        <w:tc>
          <w:tcPr>
            <w:tcW w:w="20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color w:val="auto"/>
              </w:rPr>
              <w:t>April 30, 2022</w:t>
            </w:r>
          </w:p>
        </w:tc>
      </w:tr>
      <w:tr>
        <w:trPr>
          <w:trHeight w:val="181"/>
        </w:trPr>
        <w:tc>
          <w:tcPr>
            <w:tcW w:w="7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color w:val="auto"/>
              </w:rPr>
              <w:t>(Fiscal 2023)</w:t>
            </w:r>
          </w:p>
        </w:tc>
        <w:tc>
          <w:tcPr>
            <w:tcW w:w="200" w:type="dxa"/>
            <w:vAlign w:val="bottom"/>
          </w:tcPr>
          <w:p>
            <w:pPr>
              <w:spacing w:after="0"/>
              <w:rPr>
                <w:sz w:val="15"/>
                <w:szCs w:val="15"/>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color w:val="auto"/>
              </w:rPr>
              <w:t>(Fiscal 2022)</w:t>
            </w:r>
          </w:p>
        </w:tc>
      </w:tr>
      <w:tr>
        <w:trPr>
          <w:trHeight w:val="237"/>
        </w:trPr>
        <w:tc>
          <w:tcPr>
            <w:tcW w:w="7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90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6,967</w:t>
            </w:r>
          </w:p>
        </w:tc>
        <w:tc>
          <w:tcPr>
            <w:tcW w:w="3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13,388</w:t>
            </w:r>
          </w:p>
        </w:tc>
        <w:tc>
          <w:tcPr>
            <w:tcW w:w="140" w:type="dxa"/>
            <w:vAlign w:val="bottom"/>
          </w:tcPr>
          <w:p>
            <w:pPr>
              <w:spacing w:after="0"/>
              <w:rPr>
                <w:sz w:val="19"/>
                <w:szCs w:val="19"/>
                <w:color w:val="auto"/>
              </w:rPr>
            </w:pPr>
          </w:p>
        </w:tc>
      </w:tr>
      <w:tr>
        <w:trPr>
          <w:trHeight w:val="239"/>
        </w:trPr>
        <w:tc>
          <w:tcPr>
            <w:tcW w:w="7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used for by operating activities:</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rPr>
              <w:t>Amortization of deferred debt issuance costs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9"/>
                <w:szCs w:val="19"/>
                <w:color w:val="auto"/>
              </w:rPr>
            </w:pPr>
          </w:p>
        </w:tc>
      </w:tr>
      <w:tr>
        <w:trPr>
          <w:trHeight w:val="239"/>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Impairment (gain) of assets</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(351 )</w:t>
            </w: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rPr>
              <w:t>Gain from the sale of equipment</w:t>
            </w:r>
          </w:p>
        </w:tc>
        <w:tc>
          <w:tcPr>
            <w:tcW w:w="2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(96 )</w:t>
            </w: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39"/>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3,477</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3,987</w:t>
            </w:r>
          </w:p>
        </w:tc>
        <w:tc>
          <w:tcPr>
            <w:tcW w:w="140" w:type="dxa"/>
            <w:vAlign w:val="bottom"/>
            <w:shd w:val="clear" w:color="auto" w:fill="CFF0FC"/>
          </w:tcPr>
          <w:p>
            <w:pPr>
              <w:spacing w:after="0"/>
              <w:rPr>
                <w:sz w:val="20"/>
                <w:szCs w:val="20"/>
                <w:color w:val="auto"/>
              </w:rPr>
            </w:pP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rPr>
              <w:t>Deferred taxes, net of valuation allowance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2,383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compensation expense</w:t>
            </w: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w:t>
            </w:r>
          </w:p>
        </w:tc>
        <w:tc>
          <w:tcPr>
            <w:tcW w:w="140" w:type="dxa"/>
            <w:vAlign w:val="bottom"/>
            <w:shd w:val="clear" w:color="auto" w:fill="CFF0FC"/>
          </w:tcPr>
          <w:p>
            <w:pPr>
              <w:spacing w:after="0"/>
              <w:rPr>
                <w:sz w:val="21"/>
                <w:szCs w:val="21"/>
                <w:color w:val="auto"/>
              </w:rPr>
            </w:pP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rPr>
              <w:t>Board of directors' stock compensation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w:t>
            </w:r>
          </w:p>
        </w:tc>
        <w:tc>
          <w:tcPr>
            <w:tcW w:w="140" w:type="dxa"/>
            <w:vAlign w:val="bottom"/>
          </w:tcPr>
          <w:p>
            <w:pPr>
              <w:spacing w:after="0"/>
              <w:rPr>
                <w:sz w:val="19"/>
                <w:szCs w:val="19"/>
                <w:color w:val="auto"/>
              </w:rPr>
            </w:pPr>
          </w:p>
        </w:tc>
      </w:tr>
      <w:tr>
        <w:trPr>
          <w:trHeight w:val="239"/>
        </w:trPr>
        <w:tc>
          <w:tcPr>
            <w:tcW w:w="7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900" w:type="dxa"/>
            <w:vAlign w:val="bottom"/>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938</w:t>
            </w:r>
          </w:p>
        </w:tc>
        <w:tc>
          <w:tcPr>
            <w:tcW w:w="140" w:type="dxa"/>
            <w:vAlign w:val="bottom"/>
            <w:shd w:val="clear" w:color="auto" w:fill="CFF0FC"/>
          </w:tcPr>
          <w:p>
            <w:pPr>
              <w:spacing w:after="0"/>
              <w:rPr>
                <w:sz w:val="20"/>
                <w:szCs w:val="20"/>
                <w:color w:val="auto"/>
              </w:rPr>
            </w:pP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(7,254 )</w:t>
            </w: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(15,104 )</w:t>
            </w:r>
          </w:p>
        </w:tc>
      </w:tr>
      <w:tr>
        <w:trPr>
          <w:trHeight w:val="239"/>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(495 )</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(1,462 )</w:t>
            </w: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(5 )</w:t>
            </w: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(20 )</w:t>
            </w:r>
          </w:p>
        </w:tc>
      </w:tr>
      <w:tr>
        <w:trPr>
          <w:trHeight w:val="239"/>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(1,669 )</w:t>
            </w:r>
          </w:p>
        </w:tc>
        <w:tc>
          <w:tcPr>
            <w:tcW w:w="2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4,248</w:t>
            </w:r>
          </w:p>
        </w:tc>
        <w:tc>
          <w:tcPr>
            <w:tcW w:w="140" w:type="dxa"/>
            <w:vAlign w:val="bottom"/>
            <w:shd w:val="clear" w:color="auto" w:fill="CFF0FC"/>
          </w:tcPr>
          <w:p>
            <w:pPr>
              <w:spacing w:after="0"/>
              <w:rPr>
                <w:sz w:val="20"/>
                <w:szCs w:val="20"/>
                <w:color w:val="auto"/>
              </w:rPr>
            </w:pP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rPr>
              <w:t>Operating leases, net</w:t>
            </w:r>
          </w:p>
        </w:tc>
        <w:tc>
          <w:tcPr>
            <w:tcW w:w="2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(1,950 )</w:t>
            </w: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(1,874 )</w:t>
            </w:r>
          </w:p>
        </w:tc>
      </w:tr>
      <w:tr>
        <w:trPr>
          <w:trHeight w:val="236"/>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(6,657 )</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(5,803 )</w:t>
            </w:r>
          </w:p>
        </w:tc>
      </w:tr>
      <w:tr>
        <w:trPr>
          <w:trHeight w:val="20"/>
        </w:trPr>
        <w:tc>
          <w:tcPr>
            <w:tcW w:w="79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3"/>
        </w:trPr>
        <w:tc>
          <w:tcPr>
            <w:tcW w:w="7900" w:type="dxa"/>
            <w:vAlign w:val="bottom"/>
          </w:tcPr>
          <w:p>
            <w:pPr>
              <w:ind w:left="200"/>
              <w:spacing w:after="0"/>
              <w:rPr>
                <w:sz w:val="20"/>
                <w:szCs w:val="20"/>
                <w:color w:val="auto"/>
              </w:rPr>
            </w:pPr>
            <w:r>
              <w:rPr>
                <w:rFonts w:ascii="Arial" w:cs="Arial" w:eastAsia="Arial" w:hAnsi="Arial"/>
                <w:sz w:val="16"/>
                <w:szCs w:val="16"/>
                <w:color w:val="auto"/>
              </w:rPr>
              <w:t>Net cash used for operating activities</w:t>
            </w:r>
          </w:p>
        </w:tc>
        <w:tc>
          <w:tcPr>
            <w:tcW w:w="2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(4,234 )</w:t>
            </w: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(1,543 )</w:t>
            </w:r>
          </w:p>
        </w:tc>
      </w:tr>
      <w:tr>
        <w:trPr>
          <w:trHeight w:val="226"/>
        </w:trPr>
        <w:tc>
          <w:tcPr>
            <w:tcW w:w="790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9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Additions to property and equipment, net</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(1,709 )</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(1,184 )</w:t>
            </w: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rPr>
              <w:t>Proceeds from sale of equipment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36"/>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Purchase of short-term investments</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(16,064 )</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79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3"/>
        </w:trPr>
        <w:tc>
          <w:tcPr>
            <w:tcW w:w="7900" w:type="dxa"/>
            <w:vAlign w:val="bottom"/>
          </w:tcPr>
          <w:p>
            <w:pPr>
              <w:ind w:left="20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(17,677 )</w:t>
            </w: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(1,184 )</w:t>
            </w:r>
          </w:p>
        </w:tc>
      </w:tr>
      <w:tr>
        <w:trPr>
          <w:trHeight w:val="226"/>
        </w:trPr>
        <w:tc>
          <w:tcPr>
            <w:tcW w:w="790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9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9"/>
        </w:trPr>
        <w:tc>
          <w:tcPr>
            <w:tcW w:w="7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Repurchase of common stock</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(4,847 )</w:t>
            </w:r>
          </w:p>
        </w:tc>
      </w:tr>
      <w:tr>
        <w:trPr>
          <w:trHeight w:val="220"/>
        </w:trPr>
        <w:tc>
          <w:tcPr>
            <w:tcW w:w="7900" w:type="dxa"/>
            <w:vAlign w:val="bottom"/>
          </w:tcPr>
          <w:p>
            <w:pPr>
              <w:ind w:left="380"/>
              <w:spacing w:after="0"/>
              <w:rPr>
                <w:sz w:val="20"/>
                <w:szCs w:val="20"/>
                <w:color w:val="auto"/>
              </w:rPr>
            </w:pPr>
            <w:r>
              <w:rPr>
                <w:rFonts w:ascii="Arial" w:cs="Arial" w:eastAsia="Arial" w:hAnsi="Arial"/>
                <w:sz w:val="16"/>
                <w:szCs w:val="16"/>
                <w:color w:val="auto"/>
              </w:rPr>
              <w:t>Tax withholdings paid related to net share settlements</w:t>
            </w:r>
          </w:p>
        </w:tc>
        <w:tc>
          <w:tcPr>
            <w:tcW w:w="2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(446 )</w:t>
            </w: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(415 )</w:t>
            </w:r>
          </w:p>
        </w:tc>
      </w:tr>
      <w:tr>
        <w:trPr>
          <w:trHeight w:val="236"/>
        </w:trPr>
        <w:tc>
          <w:tcPr>
            <w:tcW w:w="79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Proceeds from the exercise of stock options</w:t>
            </w: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3"/>
        </w:trPr>
        <w:tc>
          <w:tcPr>
            <w:tcW w:w="7900" w:type="dxa"/>
            <w:vAlign w:val="bottom"/>
          </w:tcPr>
          <w:p>
            <w:pPr>
              <w:ind w:left="200"/>
              <w:spacing w:after="0"/>
              <w:rPr>
                <w:sz w:val="20"/>
                <w:szCs w:val="20"/>
                <w:color w:val="auto"/>
              </w:rPr>
            </w:pPr>
            <w:r>
              <w:rPr>
                <w:rFonts w:ascii="Arial" w:cs="Arial" w:eastAsia="Arial" w:hAnsi="Arial"/>
                <w:sz w:val="16"/>
                <w:szCs w:val="16"/>
                <w:color w:val="auto"/>
              </w:rPr>
              <w:t>Net cash used for financing activities</w:t>
            </w:r>
          </w:p>
        </w:tc>
        <w:tc>
          <w:tcPr>
            <w:tcW w:w="2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(230 )</w:t>
            </w:r>
          </w:p>
        </w:tc>
        <w:tc>
          <w:tcPr>
            <w:tcW w:w="2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(5,239 )</w:t>
            </w:r>
          </w:p>
        </w:tc>
      </w:tr>
      <w:tr>
        <w:trPr>
          <w:trHeight w:val="20"/>
        </w:trPr>
        <w:tc>
          <w:tcPr>
            <w:tcW w:w="7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6"/>
        </w:trPr>
        <w:tc>
          <w:tcPr>
            <w:tcW w:w="7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(22,141 )</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(7,966 )</w:t>
            </w:r>
          </w:p>
        </w:tc>
      </w:tr>
      <w:tr>
        <w:trPr>
          <w:trHeight w:val="220"/>
        </w:trPr>
        <w:tc>
          <w:tcPr>
            <w:tcW w:w="79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6"/>
        </w:trPr>
        <w:tc>
          <w:tcPr>
            <w:tcW w:w="7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Beginning of period</w:t>
            </w: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52,074</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15,506</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6"/>
        </w:trPr>
        <w:tc>
          <w:tcPr>
            <w:tcW w:w="7900" w:type="dxa"/>
            <w:vAlign w:val="bottom"/>
          </w:tcPr>
          <w:p>
            <w:pPr>
              <w:ind w:left="200"/>
              <w:spacing w:after="0"/>
              <w:rPr>
                <w:sz w:val="20"/>
                <w:szCs w:val="20"/>
                <w:color w:val="auto"/>
              </w:rPr>
            </w:pPr>
            <w:r>
              <w:rPr>
                <w:rFonts w:ascii="Arial" w:cs="Arial" w:eastAsia="Arial" w:hAnsi="Arial"/>
                <w:sz w:val="16"/>
                <w:szCs w:val="16"/>
                <w:color w:val="auto"/>
              </w:rPr>
              <w:t>End of period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29,933</w:t>
            </w:r>
          </w:p>
        </w:tc>
        <w:tc>
          <w:tcPr>
            <w:tcW w:w="3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7,540</w:t>
            </w:r>
          </w:p>
        </w:tc>
        <w:tc>
          <w:tcPr>
            <w:tcW w:w="14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-2562860</wp:posOffset>
            </wp:positionV>
            <wp:extent cx="8572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-2562860</wp:posOffset>
            </wp:positionV>
            <wp:extent cx="85725"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-1671320</wp:posOffset>
            </wp:positionV>
            <wp:extent cx="8572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-1671320</wp:posOffset>
            </wp:positionV>
            <wp:extent cx="85725"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-779780</wp:posOffset>
            </wp:positionV>
            <wp:extent cx="8572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-779780</wp:posOffset>
            </wp:positionV>
            <wp:extent cx="8572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-179705</wp:posOffset>
            </wp:positionV>
            <wp:extent cx="85725" cy="180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18034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-179705</wp:posOffset>
            </wp:positionV>
            <wp:extent cx="85725" cy="18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180340"/>
                    </a:xfrm>
                    <a:prstGeom prst="rect">
                      <a:avLst/>
                    </a:prstGeom>
                    <a:noFill/>
                  </pic:spPr>
                </pic:pic>
              </a:graphicData>
            </a:graphic>
          </wp:anchor>
        </w:drawing>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ind w:left="4280"/>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i w:val="1"/>
          <w:iCs w:val="1"/>
          <w:color w:val="auto"/>
        </w:rPr>
        <w:t>(Unaudited)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28, 2023 included in the Company’s Annual Report on Form 10-K, which was filed with the Securities and Exchange Commission on March 16, 2023.</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2023 is a 53-week period ending on February 3, 2024 and fiscal 2022 was a 52-week period which ended on January 28, 2023.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two principal operating segments: its stores and its direct business. The Company considers its stores and direct operating segments to be similar in terms of economic characteristics, production processes and operations, and has therefore aggregated them into one reportable segment, retail segment, consistent with its omni-channel business approach.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Short-term investments consists of those investments that have a maturity date, when acquired, that is greater than three months and less than twelve months. </w:t>
      </w:r>
      <w:r>
        <w:rPr>
          <w:rFonts w:ascii="Arial" w:cs="Arial" w:eastAsia="Arial" w:hAnsi="Arial"/>
          <w:sz w:val="18"/>
          <w:szCs w:val="18"/>
          <w:color w:val="212121"/>
        </w:rPr>
        <w:t>These investments are classified as held-to-maturity and are carried at amortized cost, which approximates fair value due to the short period</w:t>
      </w:r>
      <w:r>
        <w:rPr>
          <w:rFonts w:ascii="Arial" w:cs="Arial" w:eastAsia="Arial" w:hAnsi="Arial"/>
          <w:sz w:val="18"/>
          <w:szCs w:val="18"/>
          <w:color w:val="auto"/>
        </w:rPr>
        <w:t xml:space="preserve"> </w:t>
      </w:r>
      <w:r>
        <w:rPr>
          <w:rFonts w:ascii="Arial" w:cs="Arial" w:eastAsia="Arial" w:hAnsi="Arial"/>
          <w:sz w:val="18"/>
          <w:szCs w:val="18"/>
          <w:color w:val="212121"/>
        </w:rPr>
        <w:t>between purchase and maturity.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limits. The Company considers the credit risk associated with these financial instruments to be minimal as cash and cash equivalents are held by financial institutions with high credit ratings and it has not historically sustained any credit losses associated with its cash and cash equivalents balances. In addition, the Company's cash and cash equivalents include money market accounts with Citizens Bank, N.A. and investments in U.S. government-backed securities held with Fidelity Investments.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ASC Topic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requires disclosure of the fair value of certain financial instruments. ASC Topic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Disclosures</w:t>
      </w:r>
      <w:r>
        <w:rPr>
          <w:rFonts w:ascii="Arial" w:cs="Arial" w:eastAsia="Arial" w:hAnsi="Arial"/>
          <w:sz w:val="16"/>
          <w:szCs w:val="16"/>
          <w:color w:val="auto"/>
        </w:rPr>
        <w:t>,” defines fair value, establishes a framework for measuring fair value and enhances disclosures about fair value measurements.</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26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carrying amounts of cash and cash equivalents, accounts receivable, accounts payable and accrued expenses approximate fair value because of the short maturity of these instruments. See Note 10 -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for information regarding the fair value of certain financial assets.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 - (“AOCI”)</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(loss) and reclassifications from AOCI for the three months ended April 29, 2023 and April 30, 2022, respectively, were as follows: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7"/>
              </w:rPr>
              <w:t>April 29, 2023</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right="50"/>
              <w:spacing w:after="0"/>
              <w:rPr>
                <w:sz w:val="20"/>
                <w:szCs w:val="20"/>
                <w:color w:val="auto"/>
              </w:rPr>
            </w:pPr>
            <w:r>
              <w:rPr>
                <w:rFonts w:ascii="Arial" w:cs="Arial" w:eastAsia="Arial" w:hAnsi="Arial"/>
                <w:sz w:val="14"/>
                <w:szCs w:val="14"/>
                <w:color w:val="auto"/>
                <w:w w:val="97"/>
              </w:rPr>
              <w:t>April 30, 2022</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64"/>
        </w:trPr>
        <w:tc>
          <w:tcPr>
            <w:tcW w:w="4940" w:type="dxa"/>
            <w:vAlign w:val="bottom"/>
          </w:tcPr>
          <w:p>
            <w:pPr>
              <w:ind w:left="20"/>
              <w:spacing w:after="0"/>
              <w:rPr>
                <w:sz w:val="20"/>
                <w:szCs w:val="20"/>
                <w:color w:val="auto"/>
              </w:rPr>
            </w:pPr>
            <w:r>
              <w:rPr>
                <w:rFonts w:ascii="Arial" w:cs="Arial" w:eastAsia="Arial" w:hAnsi="Arial"/>
                <w:sz w:val="14"/>
                <w:szCs w:val="14"/>
                <w:i w:val="1"/>
                <w:iCs w:val="1"/>
                <w:color w:val="auto"/>
              </w:rPr>
              <w:t>For the three months ended: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35"/>
              <w:spacing w:after="0"/>
              <w:rPr>
                <w:sz w:val="20"/>
                <w:szCs w:val="20"/>
                <w:color w:val="auto"/>
              </w:rPr>
            </w:pPr>
            <w:r>
              <w:rPr>
                <w:rFonts w:ascii="Arial" w:cs="Arial" w:eastAsia="Arial" w:hAnsi="Arial"/>
                <w:sz w:val="14"/>
                <w:szCs w:val="14"/>
                <w:i w:val="1"/>
                <w:iCs w:val="1"/>
                <w:color w:val="auto"/>
              </w:rPr>
              <w:t>(in</w:t>
            </w:r>
          </w:p>
        </w:tc>
        <w:tc>
          <w:tcPr>
            <w:tcW w:w="1220" w:type="dxa"/>
            <w:vAlign w:val="bottom"/>
            <w:gridSpan w:val="4"/>
          </w:tcPr>
          <w:p>
            <w:pPr>
              <w:spacing w:after="0"/>
              <w:rPr>
                <w:sz w:val="20"/>
                <w:szCs w:val="20"/>
                <w:color w:val="auto"/>
              </w:rPr>
            </w:pPr>
            <w:r>
              <w:rPr>
                <w:rFonts w:ascii="Arial" w:cs="Arial" w:eastAsia="Arial" w:hAnsi="Arial"/>
                <w:sz w:val="14"/>
                <w:szCs w:val="14"/>
                <w:i w:val="1"/>
                <w:iCs w:val="1"/>
                <w:color w:val="auto"/>
              </w:rPr>
              <w:t>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8"/>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61"/>
              <w:spacing w:after="0" w:line="149"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2"/>
              </w:rPr>
              <w:t>Foreign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50"/>
              <w:spacing w:after="0" w:line="149"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3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1"/>
        </w:trPr>
        <w:tc>
          <w:tcPr>
            <w:tcW w:w="4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341"/>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Currency</w:t>
            </w:r>
          </w:p>
        </w:tc>
        <w:tc>
          <w:tcPr>
            <w:tcW w:w="160" w:type="dxa"/>
            <w:vAlign w:val="bottom"/>
          </w:tcPr>
          <w:p>
            <w:pPr>
              <w:spacing w:after="0"/>
              <w:rPr>
                <w:sz w:val="15"/>
                <w:szCs w:val="15"/>
                <w:color w:val="auto"/>
              </w:rPr>
            </w:pPr>
          </w:p>
        </w:tc>
        <w:tc>
          <w:tcPr>
            <w:tcW w:w="900" w:type="dxa"/>
            <w:vAlign w:val="bottom"/>
            <w:gridSpan w:val="2"/>
          </w:tcPr>
          <w:p>
            <w:pPr>
              <w:jc w:val="right"/>
              <w:ind w:right="439"/>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5"/>
                <w:szCs w:val="15"/>
                <w:color w:val="auto"/>
              </w:rPr>
            </w:pPr>
          </w:p>
        </w:tc>
        <w:tc>
          <w:tcPr>
            <w:tcW w:w="820" w:type="dxa"/>
            <w:vAlign w:val="bottom"/>
            <w:gridSpan w:val="2"/>
          </w:tcPr>
          <w:p>
            <w:pPr>
              <w:jc w:val="right"/>
              <w:ind w:right="310"/>
              <w:spacing w:after="0"/>
              <w:rPr>
                <w:sz w:val="20"/>
                <w:szCs w:val="20"/>
                <w:color w:val="auto"/>
              </w:rPr>
            </w:pPr>
            <w:r>
              <w:rPr>
                <w:rFonts w:ascii="Arial" w:cs="Arial" w:eastAsia="Arial" w:hAnsi="Arial"/>
                <w:sz w:val="14"/>
                <w:szCs w:val="14"/>
                <w:color w:val="auto"/>
              </w:rPr>
              <w:t>Plans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9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5"/>
                <w:szCs w:val="15"/>
                <w:color w:val="auto"/>
              </w:rPr>
            </w:pPr>
          </w:p>
        </w:tc>
        <w:tc>
          <w:tcPr>
            <w:tcW w:w="760" w:type="dxa"/>
            <w:vAlign w:val="bottom"/>
            <w:gridSpan w:val="2"/>
          </w:tcPr>
          <w:p>
            <w:pPr>
              <w:jc w:val="right"/>
              <w:ind w:right="310"/>
              <w:spacing w:after="0"/>
              <w:rPr>
                <w:sz w:val="20"/>
                <w:szCs w:val="20"/>
                <w:color w:val="auto"/>
              </w:rPr>
            </w:pPr>
            <w:r>
              <w:rPr>
                <w:rFonts w:ascii="Arial" w:cs="Arial" w:eastAsia="Arial" w:hAnsi="Arial"/>
                <w:sz w:val="14"/>
                <w:szCs w:val="14"/>
                <w:color w:val="auto"/>
              </w:rPr>
              <w:t>Total</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Balance at beginning of the quarter</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49"/>
        </w:trPr>
        <w:tc>
          <w:tcPr>
            <w:tcW w:w="4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4940" w:type="dxa"/>
            <w:vAlign w:val="bottom"/>
          </w:tcPr>
          <w:p>
            <w:pPr>
              <w:ind w:left="2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940" w:type="dxa"/>
            <w:vAlign w:val="bottom"/>
          </w:tcPr>
          <w:p>
            <w:pPr>
              <w:ind w:left="160"/>
              <w:spacing w:after="0"/>
              <w:rPr>
                <w:sz w:val="20"/>
                <w:szCs w:val="20"/>
                <w:color w:val="auto"/>
              </w:rPr>
            </w:pPr>
            <w:r>
              <w:rPr>
                <w:rFonts w:ascii="Arial" w:cs="Arial" w:eastAsia="Arial" w:hAnsi="Arial"/>
                <w:sz w:val="18"/>
                <w:szCs w:val="18"/>
                <w:color w:val="auto"/>
              </w:rPr>
              <w:t>reclassifications, net of taxes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p>
        </w:tc>
      </w:tr>
      <w:tr>
        <w:trPr>
          <w:trHeight w:val="250"/>
        </w:trPr>
        <w:tc>
          <w:tcPr>
            <w:tcW w:w="4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180"/>
        </w:trPr>
        <w:tc>
          <w:tcPr>
            <w:tcW w:w="4940" w:type="dxa"/>
            <w:vAlign w:val="bottom"/>
          </w:tcPr>
          <w:p>
            <w:pPr>
              <w:ind w:left="20"/>
              <w:spacing w:after="0" w:line="180"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66"/>
        </w:trPr>
        <w:tc>
          <w:tcPr>
            <w:tcW w:w="4940" w:type="dxa"/>
            <w:vAlign w:val="bottom"/>
          </w:tcPr>
          <w:p>
            <w:pPr>
              <w:ind w:left="160"/>
              <w:spacing w:after="0" w:line="266" w:lineRule="exact"/>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24"/>
                <w:szCs w:val="24"/>
                <w:color w:val="auto"/>
                <w:vertAlign w:val="superscript"/>
              </w:rPr>
              <w:t>(1)</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37"/>
        </w:trPr>
        <w:tc>
          <w:tcPr>
            <w:tcW w:w="49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Other comprehensive income (loss) for the period</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(4 )</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p>
        </w:tc>
      </w:tr>
      <w:tr>
        <w:trPr>
          <w:trHeight w:val="249"/>
        </w:trPr>
        <w:tc>
          <w:tcPr>
            <w:tcW w:w="49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Balance at end of quarter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1"/>
              <w:spacing w:after="0"/>
              <w:rPr>
                <w:sz w:val="20"/>
                <w:szCs w:val="20"/>
                <w:color w:val="auto"/>
              </w:rPr>
            </w:pPr>
            <w:r>
              <w:rPr>
                <w:rFonts w:ascii="Arial" w:cs="Arial" w:eastAsia="Arial" w:hAnsi="Arial"/>
                <w:sz w:val="18"/>
                <w:szCs w:val="18"/>
                <w:color w:val="auto"/>
              </w:rPr>
              <w:t xml:space="preserve">(4,879 </w:t>
            </w:r>
            <w:r>
              <w:rPr>
                <w:rFonts w:ascii="Arial" w:cs="Arial" w:eastAsia="Arial" w:hAnsi="Arial"/>
                <w:sz w:val="18"/>
                <w:szCs w:val="18"/>
                <w:color w:val="auto"/>
                <w:highlight w:val="white"/>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19"/>
              <w:spacing w:after="0"/>
              <w:rPr>
                <w:sz w:val="20"/>
                <w:szCs w:val="20"/>
                <w:color w:val="auto"/>
              </w:rPr>
            </w:pPr>
            <w:r>
              <w:rPr>
                <w:rFonts w:ascii="Arial" w:cs="Arial" w:eastAsia="Arial" w:hAnsi="Arial"/>
                <w:sz w:val="18"/>
                <w:szCs w:val="18"/>
                <w:color w:val="auto"/>
              </w:rPr>
              <w:t>(4,879 )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(5,399 )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(63 )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(5,462 )</w:t>
            </w:r>
          </w:p>
        </w:tc>
      </w:tr>
      <w:tr>
        <w:trPr>
          <w:trHeight w:val="20"/>
        </w:trPr>
        <w:tc>
          <w:tcPr>
            <w:tcW w:w="4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-187960</wp:posOffset>
            </wp:positionV>
            <wp:extent cx="7683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-187960</wp:posOffset>
            </wp:positionV>
            <wp:extent cx="8572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8572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-187960</wp:posOffset>
            </wp:positionV>
            <wp:extent cx="85725"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9" w:lineRule="exact"/>
        <w:rPr>
          <w:sz w:val="20"/>
          <w:szCs w:val="20"/>
          <w:color w:val="auto"/>
        </w:rPr>
      </w:pPr>
    </w:p>
    <w:p>
      <w:pPr>
        <w:jc w:val="both"/>
        <w:ind w:left="760" w:hanging="378"/>
        <w:spacing w:after="0" w:line="25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the amortization of the unrecognized loss on pension plans, which was charged to “Selling, General and Administrative” Expense on the Consolidated Statements of Operations for all periods presented. The Company recognized expense of $58,000, or $43,000 net of taxes, for the three months ended April 29, 2023. For the three months ended April 30, 2022, the Company recognized income of $12,000, as a result of a change in amortization from average remaining future service to average remaining lifetime. There was no related tax effect for the three months ended April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that will ultimately vest requires judgment. Actual results and future changes in estimates may differ from the Company’s current estimates.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based on the assumptions in the table below as it relates to stock options granted during the first three months of fiscal 2023 and fiscal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April 29, 2023</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April 30, 2022</w:t>
            </w:r>
          </w:p>
        </w:tc>
        <w:tc>
          <w:tcPr>
            <w:tcW w:w="140" w:type="dxa"/>
            <w:vAlign w:val="bottom"/>
          </w:tcPr>
          <w:p>
            <w:pPr>
              <w:spacing w:after="0"/>
              <w:rPr>
                <w:sz w:val="15"/>
                <w:szCs w:val="15"/>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 - 92.1%</w:t>
            </w:r>
          </w:p>
        </w:tc>
        <w:tc>
          <w:tcPr>
            <w:tcW w:w="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109.0% - 123.0%</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3.71%-4.42%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 - 2.60%</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yrs.</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2.5 - 3.5 yrs.</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fair value of options granted</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asset. The amount of impairment, if any, is measured based on projected discounted future cash flows using a discount rate reflecting the Company’s average cost of funds.</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were no impairments or non-cash gains recognized in the first quarter of fiscal 2023. For the first quarter of fiscal 2022, the Company recognized a non-cash gain of $0.5 million. This non-cash gain related to the Company’s decision to close certain retail stores, which resulted in a revaluation of the existing lease liabilities. The portion of the gains that related to previously recorded impairment charges against the operating lease right-of-use asset were included as an offset to previously recorded asset impairment charges. Accordingly, for the first quarter of fiscal 2022, $0.4 million was included as an offset to asset impairment charges. The remaining gain was included as a reduction of store occupancy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(“ROU”)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April 29, 2023, the Company had no short-term leases.</w:t>
      </w:r>
    </w:p>
    <w:p>
      <w:pPr>
        <w:spacing w:after="0" w:line="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included in the right-of-use assets and lease liabilities. Tenant allowances are included as an offset to the right-of-use asset and amortized as reductions to rent expense over the associated lease term.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 4,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additional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Adopted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September 2022, the FASB issued Accounting Standards Update ("ASU") </w:t>
      </w:r>
      <w:r>
        <w:rPr>
          <w:rFonts w:ascii="Arial" w:cs="Arial" w:eastAsia="Arial" w:hAnsi="Arial"/>
          <w:sz w:val="17"/>
          <w:szCs w:val="17"/>
          <w:color w:val="252525"/>
        </w:rPr>
        <w:t>2022</w:t>
      </w:r>
      <w:r>
        <w:rPr>
          <w:rFonts w:ascii="Arial" w:cs="Arial" w:eastAsia="Arial" w:hAnsi="Arial"/>
          <w:sz w:val="17"/>
          <w:szCs w:val="17"/>
          <w:color w:val="auto"/>
        </w:rPr>
        <w:t>-</w:t>
      </w:r>
      <w:r>
        <w:rPr>
          <w:rFonts w:ascii="Arial" w:cs="Arial" w:eastAsia="Arial" w:hAnsi="Arial"/>
          <w:sz w:val="17"/>
          <w:szCs w:val="17"/>
          <w:color w:val="252525"/>
        </w:rPr>
        <w:t>04,</w:t>
      </w:r>
      <w:r>
        <w:rPr>
          <w:rFonts w:ascii="Arial" w:cs="Arial" w:eastAsia="Arial" w:hAnsi="Arial"/>
          <w:sz w:val="17"/>
          <w:szCs w:val="17"/>
          <w:color w:val="auto"/>
        </w:rPr>
        <w:t xml:space="preserve"> </w:t>
      </w:r>
      <w:r>
        <w:rPr>
          <w:rFonts w:ascii="Arial" w:cs="Arial" w:eastAsia="Arial" w:hAnsi="Arial"/>
          <w:sz w:val="17"/>
          <w:szCs w:val="17"/>
          <w:i w:val="1"/>
          <w:iCs w:val="1"/>
          <w:color w:val="252525"/>
        </w:rPr>
        <w:t>Liabilities – Supplier Finance Programs,</w:t>
      </w:r>
      <w:r>
        <w:rPr>
          <w:rFonts w:ascii="Arial" w:cs="Arial" w:eastAsia="Arial" w:hAnsi="Arial"/>
          <w:sz w:val="17"/>
          <w:szCs w:val="17"/>
          <w:color w:val="auto"/>
        </w:rPr>
        <w:t xml:space="preserve"> which is intended to enhance the transparency surrounding the use of supplier finance programs in connection with the purchase of goods and services. The guidance requires companies that use supplier finance programs to make annual disclosures about the program’s key terms, the balance sheet presentation of related amounts, the confirmed amount outstanding at the end of the period and associated rollforward information. The new standard does not affect the recognition, measurement, or financial statement presentation of supplier finance program obligations. ASU 2022-04 was adopted in the first quarter of fiscal 2023, with the exception of the rollforward information, which is not effective until fiscal 2024. The adoption of ASU 2022-04 did not have a material effect on the Company's Consolidated Financial Statements as the Company does not participate in supplier finance programs.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Not Yet Adopted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other new accounting pronouncements, issued or effective during the first three months of fiscal 2023, which had or are expected to have a significant impact on the Company’s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121"/>
        </w:rPr>
        <w:t xml:space="preserve">The Company operates as a retailer of big and tall men’s clothing, which includes stores and direct. </w:t>
      </w:r>
      <w:r>
        <w:rPr>
          <w:rFonts w:ascii="Arial" w:cs="Arial" w:eastAsia="Arial" w:hAnsi="Arial"/>
          <w:sz w:val="18"/>
          <w:szCs w:val="18"/>
          <w:color w:val="000000"/>
        </w:rPr>
        <w:t>Revenue is recognized by the operating segment that</w:t>
      </w:r>
      <w:r>
        <w:rPr>
          <w:rFonts w:ascii="Arial" w:cs="Arial" w:eastAsia="Arial" w:hAnsi="Arial"/>
          <w:sz w:val="18"/>
          <w:szCs w:val="18"/>
          <w:color w:val="212121"/>
        </w:rPr>
        <w:t xml:space="preserve"> </w:t>
      </w:r>
      <w:r>
        <w:rPr>
          <w:rFonts w:ascii="Arial" w:cs="Arial" w:eastAsia="Arial" w:hAnsi="Arial"/>
          <w:sz w:val="18"/>
          <w:szCs w:val="18"/>
          <w:color w:val="000000"/>
        </w:rPr>
        <w:t xml:space="preserve">initiates a customer’s order. Store sales are defined as sales that originate and are fulfilled directly at the store level. Direct sales are defined as sales that originate online, including those initiated online at the store level, on its website or on third-party marketplaces. </w:t>
      </w:r>
      <w:r>
        <w:rPr>
          <w:rFonts w:ascii="Arial" w:cs="Arial" w:eastAsia="Arial" w:hAnsi="Arial"/>
          <w:sz w:val="18"/>
          <w:szCs w:val="18"/>
          <w:color w:val="212121"/>
        </w:rPr>
        <w:t>Generally, all revenues are recognized</w:t>
      </w:r>
      <w:r>
        <w:rPr>
          <w:rFonts w:ascii="Arial" w:cs="Arial" w:eastAsia="Arial" w:hAnsi="Arial"/>
          <w:sz w:val="18"/>
          <w:szCs w:val="18"/>
          <w:color w:val="000000"/>
        </w:rPr>
        <w:t xml:space="preserve"> </w:t>
      </w:r>
      <w:r>
        <w:rPr>
          <w:rFonts w:ascii="Arial" w:cs="Arial" w:eastAsia="Arial" w:hAnsi="Arial"/>
          <w:sz w:val="18"/>
          <w:szCs w:val="18"/>
          <w:color w:val="212121"/>
        </w:rPr>
        <w:t xml:space="preserve">when control of the promised goods is transferred to customers, in an amount that reflects the consideration in exchange for those goods. </w:t>
      </w:r>
      <w:r>
        <w:rPr>
          <w:rFonts w:ascii="Arial" w:cs="Arial" w:eastAsia="Arial" w:hAnsi="Arial"/>
          <w:sz w:val="18"/>
          <w:szCs w:val="18"/>
          <w:color w:val="000000"/>
        </w:rPr>
        <w:t>Sales tax</w:t>
      </w:r>
      <w:r>
        <w:rPr>
          <w:rFonts w:ascii="Arial" w:cs="Arial" w:eastAsia="Arial" w:hAnsi="Arial"/>
          <w:sz w:val="18"/>
          <w:szCs w:val="18"/>
          <w:color w:val="212121"/>
        </w:rPr>
        <w:t xml:space="preserve"> </w:t>
      </w:r>
      <w:r>
        <w:rPr>
          <w:rFonts w:ascii="Arial" w:cs="Arial" w:eastAsia="Arial" w:hAnsi="Arial"/>
          <w:sz w:val="18"/>
          <w:szCs w:val="18"/>
          <w:color w:val="000000"/>
        </w:rPr>
        <w:t>collected from customers and remitted to taxing authorities is excluded from revenue and is included as part of accrued expenses on the Consolidated Balance Sheets.</w:t>
      </w:r>
    </w:p>
    <w:p>
      <w:pPr>
        <w:spacing w:after="0" w:line="84" w:lineRule="exact"/>
        <w:rPr>
          <w:sz w:val="20"/>
          <w:szCs w:val="20"/>
          <w:color w:val="auto"/>
        </w:rPr>
      </w:pPr>
    </w:p>
    <w:p>
      <w:pPr>
        <w:ind w:left="760" w:hanging="378"/>
        <w:spacing w:after="0" w:line="277" w:lineRule="auto"/>
        <w:tabs>
          <w:tab w:leader="none" w:pos="760" w:val="left"/>
        </w:tabs>
        <w:numPr>
          <w:ilvl w:val="0"/>
          <w:numId w:val="4"/>
        </w:numPr>
        <w:rPr>
          <w:rFonts w:ascii="Arial" w:cs="Arial" w:eastAsia="Arial" w:hAnsi="Arial"/>
          <w:sz w:val="18"/>
          <w:szCs w:val="18"/>
          <w:color w:val="212121"/>
        </w:rPr>
      </w:pPr>
      <w:r>
        <w:rPr>
          <w:rFonts w:ascii="Arial" w:cs="Arial" w:eastAsia="Arial" w:hAnsi="Arial"/>
          <w:sz w:val="18"/>
          <w:szCs w:val="18"/>
          <w:color w:val="auto"/>
        </w:rPr>
        <w:t>Revenue from the Company’s store operations is recorded upon purchase of merchandise by customers, net of an allowance for sales returns, which is estimated based upon historical experience.</w:t>
      </w:r>
    </w:p>
    <w:p>
      <w:pPr>
        <w:spacing w:after="0" w:line="62" w:lineRule="exact"/>
        <w:rPr>
          <w:rFonts w:ascii="Arial" w:cs="Arial" w:eastAsia="Arial" w:hAnsi="Arial"/>
          <w:sz w:val="18"/>
          <w:szCs w:val="18"/>
          <w:color w:val="212121"/>
        </w:rPr>
      </w:pPr>
    </w:p>
    <w:p>
      <w:pPr>
        <w:ind w:left="760" w:hanging="378"/>
        <w:spacing w:after="0" w:line="277" w:lineRule="auto"/>
        <w:tabs>
          <w:tab w:leader="none" w:pos="760" w:val="left"/>
        </w:tabs>
        <w:numPr>
          <w:ilvl w:val="0"/>
          <w:numId w:val="4"/>
        </w:numPr>
        <w:rPr>
          <w:rFonts w:ascii="Arial" w:cs="Arial" w:eastAsia="Arial" w:hAnsi="Arial"/>
          <w:sz w:val="18"/>
          <w:szCs w:val="18"/>
          <w:color w:val="212121"/>
        </w:rPr>
      </w:pPr>
      <w:r>
        <w:rPr>
          <w:rFonts w:ascii="Arial" w:cs="Arial" w:eastAsia="Arial" w:hAnsi="Arial"/>
          <w:sz w:val="18"/>
          <w:szCs w:val="18"/>
          <w:color w:val="auto"/>
        </w:rPr>
        <w:t>Revenue from the Company’s direct operations is recognized at the time a customer order is delivered, net of an allowance for sales returns, which is estimated based upon historical experience.</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Unredeemed Gift Cards, Gift Certificates, and Credit Vouchers. </w:t>
      </w:r>
      <w:r>
        <w:rPr>
          <w:rFonts w:ascii="Arial" w:cs="Arial" w:eastAsia="Arial" w:hAnsi="Arial"/>
          <w:sz w:val="16"/>
          <w:szCs w:val="16"/>
          <w:color w:val="auto"/>
        </w:rPr>
        <w:t>Upon issuance of a gift card, gift certificate, or credit voucher, a liability is established for</w:t>
      </w:r>
      <w:r>
        <w:rPr>
          <w:rFonts w:ascii="Arial" w:cs="Arial" w:eastAsia="Arial" w:hAnsi="Arial"/>
          <w:sz w:val="16"/>
          <w:szCs w:val="16"/>
          <w:i w:val="1"/>
          <w:iCs w:val="1"/>
          <w:color w:val="auto"/>
        </w:rPr>
        <w:t xml:space="preserve"> </w:t>
      </w:r>
      <w:r>
        <w:rPr>
          <w:rFonts w:ascii="Arial" w:cs="Arial" w:eastAsia="Arial" w:hAnsi="Arial"/>
          <w:sz w:val="16"/>
          <w:szCs w:val="16"/>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$2.6 million and $3.4 million at April 29, 2023 and January 28, 2023, respectively.</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Unredeemed Loyalty Coupons. </w:t>
      </w:r>
      <w:r>
        <w:rPr>
          <w:rFonts w:ascii="Arial" w:cs="Arial" w:eastAsia="Arial" w:hAnsi="Arial"/>
          <w:sz w:val="18"/>
          <w:szCs w:val="18"/>
          <w:color w:val="auto"/>
        </w:rPr>
        <w:t>The Company offers a free loyalty program to its customers for which points accumulate based on the purchase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merchandise. 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these loyalty points provide the customer with a material right and a distinct performance obligation with revenue deferred and recognized when the points are expected to redeem or expire. The cycle of earning and redeeming loyalty points is generally under one year in duration. The loyalty accrual, net of breakage, was $1.6 million and $1.6 million at April 29, 2023 and January 28, 2023, respectively.</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Shipping and handling costs are accounted for as fulfillment costs and are included in cost of sales for all periods presented. Amounts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 noted above under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in Note 1, the Company’s business consists of one reportable segment, its retail segment. Substantially all of the Company’s revenue is generated from its stores and direct businesses. Results for the first quarter of fiscal 2022 included operating results from the wholesale segment, which was discontinued in the first quarter of fiscal 2022. Accordingly, the Company has determined that the following sales channels depict the nature, amount, timing, and uncertainty of how revenue and cash flows are affected by economic factors: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80" w:type="dxa"/>
            <w:vAlign w:val="bottom"/>
            <w:gridSpan w:val="4"/>
          </w:tcPr>
          <w:p>
            <w:pPr>
              <w:jc w:val="right"/>
              <w:ind w:right="50"/>
              <w:spacing w:after="0"/>
              <w:rPr>
                <w:sz w:val="20"/>
                <w:szCs w:val="20"/>
                <w:color w:val="auto"/>
              </w:rPr>
            </w:pPr>
            <w:r>
              <w:rPr>
                <w:rFonts w:ascii="Arial" w:cs="Arial" w:eastAsia="Arial" w:hAnsi="Arial"/>
                <w:sz w:val="18"/>
                <w:szCs w:val="18"/>
                <w:color w:val="auto"/>
              </w:rPr>
              <w:t>For the Three Months Ended</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5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April 29, 2023</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April 30, 2022</w:t>
            </w: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Store sales</w:t>
            </w:r>
          </w:p>
        </w:tc>
        <w:tc>
          <w:tcPr>
            <w:tcW w:w="3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87,297</w:t>
            </w:r>
          </w:p>
        </w:tc>
        <w:tc>
          <w:tcPr>
            <w:tcW w:w="1320" w:type="dxa"/>
            <w:vAlign w:val="bottom"/>
            <w:gridSpan w:val="2"/>
          </w:tcPr>
          <w:p>
            <w:pPr>
              <w:jc w:val="right"/>
              <w:ind w:right="630"/>
              <w:spacing w:after="0"/>
              <w:rPr>
                <w:sz w:val="20"/>
                <w:szCs w:val="20"/>
                <w:color w:val="auto"/>
              </w:rPr>
            </w:pPr>
            <w:r>
              <w:rPr>
                <w:rFonts w:ascii="Arial" w:cs="Arial" w:eastAsia="Arial" w:hAnsi="Arial"/>
                <w:sz w:val="18"/>
                <w:szCs w:val="18"/>
                <w:i w:val="1"/>
                <w:iCs w:val="1"/>
                <w:color w:val="auto"/>
              </w:rPr>
              <w:t>69.6%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88,279</w:t>
            </w:r>
          </w:p>
        </w:tc>
        <w:tc>
          <w:tcPr>
            <w:tcW w:w="1320" w:type="dxa"/>
            <w:vAlign w:val="bottom"/>
            <w:gridSpan w:val="2"/>
          </w:tcPr>
          <w:p>
            <w:pPr>
              <w:jc w:val="right"/>
              <w:ind w:right="630"/>
              <w:spacing w:after="0"/>
              <w:rPr>
                <w:sz w:val="20"/>
                <w:szCs w:val="20"/>
                <w:color w:val="auto"/>
              </w:rPr>
            </w:pPr>
            <w:r>
              <w:rPr>
                <w:rFonts w:ascii="Arial" w:cs="Arial" w:eastAsia="Arial" w:hAnsi="Arial"/>
                <w:sz w:val="18"/>
                <w:szCs w:val="18"/>
                <w:i w:val="1"/>
                <w:iCs w:val="1"/>
                <w:color w:val="auto"/>
              </w:rPr>
              <w:t>69.4%</w:t>
            </w:r>
          </w:p>
        </w:tc>
        <w:tc>
          <w:tcPr>
            <w:tcW w:w="300" w:type="dxa"/>
            <w:vAlign w:val="bottom"/>
          </w:tcPr>
          <w:p>
            <w:pPr>
              <w:spacing w:after="0"/>
              <w:rPr>
                <w:sz w:val="20"/>
                <w:szCs w:val="20"/>
                <w:color w:val="auto"/>
              </w:rPr>
            </w:pPr>
          </w:p>
        </w:tc>
      </w:tr>
      <w:tr>
        <w:trPr>
          <w:trHeight w:val="249"/>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Direct sales</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38,145</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i w:val="1"/>
                <w:iCs w:val="1"/>
                <w:color w:val="auto"/>
                <w:w w:val="90"/>
              </w:rPr>
              <w:t>30.4%</w:t>
            </w:r>
          </w:p>
        </w:tc>
        <w:tc>
          <w:tcPr>
            <w:tcW w:w="40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38,994</w:t>
            </w: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i w:val="1"/>
                <w:iCs w:val="1"/>
                <w:color w:val="auto"/>
                <w:w w:val="86"/>
              </w:rPr>
              <w:t>30.6%</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Retail segment</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125,442</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127,273</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9"/>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Wholesale segment</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125,442</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127,655</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-505460</wp:posOffset>
            </wp:positionV>
            <wp:extent cx="8572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-505460</wp:posOffset>
            </wp:positionV>
            <wp:extent cx="85725"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-505460</wp:posOffset>
            </wp:positionV>
            <wp:extent cx="188595"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-187960</wp:posOffset>
            </wp:positionV>
            <wp:extent cx="85725"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8572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Citizens Bank, N.A.</w:t>
      </w:r>
    </w:p>
    <w:p>
      <w:pPr>
        <w:spacing w:after="0" w:line="12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On October 28, 2021, the Company entered into a credit facility with Citizens Bank, N.A. On April 20, 2023, the Company entered into the First Amendment to Credit Agreement which provided for the replacement of the London Interbank Offering Rate (“LIBOR”) interest rate options with the secured overnight financing rate ("SOFR") based options (as amended, the "Credit Agreement").</w:t>
      </w:r>
    </w:p>
    <w:p>
      <w:pPr>
        <w:spacing w:after="0" w:line="7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Credit Facility is a $125.0 million secured, asset-based credit facility with a maturity date of October 28, 2026. The maximum committed borrowing of $125.0 million includes a sublimit of $20.0 million for commercial and standby letters of credit and a sublimit of up to $15.0 million for swing line loans. The Company’s ability to borrow under the Credit Facility is determined using an availability formula based on eligible assets.</w:t>
      </w:r>
    </w:p>
    <w:p>
      <w:pPr>
        <w:spacing w:after="0" w:line="57"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As of April 20, 2023, borrowings under the Credit Agreement bear interest at either a Base Rate loan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First Amendment)), plus</w:t>
      </w:r>
    </w:p>
    <w:p>
      <w:pPr>
        <w:spacing w:after="0" w:line="2" w:lineRule="exact"/>
        <w:rPr>
          <w:sz w:val="20"/>
          <w:szCs w:val="20"/>
          <w:color w:val="auto"/>
        </w:rPr>
      </w:pPr>
    </w:p>
    <w:p>
      <w:pPr>
        <w:ind w:right="120" w:firstLine="8"/>
        <w:spacing w:after="0" w:line="253"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The Company is subject to an unused line fee of 0.25%.</w:t>
      </w:r>
    </w:p>
    <w:p>
      <w:pPr>
        <w:spacing w:after="0" w:line="8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April 29, 2023, the Company had no borrowings outstanding under the Credit Facility and unused availability was $93.8 million. The Company had no borrowings during the first three months of fiscal 2023, resulting in an average unused excess availability of approximately $82.5 million. Outstanding standby letters of credit were $3.8 million and outstanding documentary letters were $1.3 million at April 29, 2023. At April 29, 2023, the Company’s prime-based interest rate was 8.25%.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headquarters is for 20 years, with the opportunity to extend for six additional consecutive periods of five years, beginning in fiscal 2026. 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8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In April 2020, the FASB issued guidance allowing entities to make a policy election to account for lease concessions related to the COVID-19 pandemic as though enforceable rights and obligations for those concessions existed. The election applies to any lessor-provided lease concession related to the impact of the COVID-19 pandemic, provided the concession does not result in a substantial increase in the rights of the lessor or in the obligations of the lessee. The Company opted not to elect this practical expedient and instead accounted for these rent concessions as lease modifications in accordance with ASC 842. As of April 29, 2023, the Company’s operating leases liabilities represent the present value of the remaining future minimum lease payments updated based on concessions and lease modifications.</w:t>
      </w:r>
    </w:p>
    <w:p>
      <w:pPr>
        <w:spacing w:after="0" w:line="70"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The following table is a summary of the Company’s components of net lease cost for the three months ended April 29, 2023 and April 30, 2022:</w:t>
      </w:r>
    </w:p>
    <w:p>
      <w:pPr>
        <w:spacing w:after="0" w:line="38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700" w:type="dxa"/>
            <w:vAlign w:val="bottom"/>
            <w:gridSpan w:val="2"/>
          </w:tcPr>
          <w:p>
            <w:pPr>
              <w:ind w:left="640"/>
              <w:spacing w:after="0"/>
              <w:rPr>
                <w:sz w:val="20"/>
                <w:szCs w:val="20"/>
                <w:color w:val="auto"/>
              </w:rPr>
            </w:pPr>
            <w:r>
              <w:rPr>
                <w:rFonts w:ascii="Arial" w:cs="Arial" w:eastAsia="Arial" w:hAnsi="Arial"/>
                <w:sz w:val="18"/>
                <w:szCs w:val="18"/>
                <w:color w:val="auto"/>
                <w:w w:val="93"/>
              </w:rPr>
              <w:t>April 29, 2023</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60" w:type="dxa"/>
            <w:vAlign w:val="bottom"/>
            <w:gridSpan w:val="3"/>
          </w:tcPr>
          <w:p>
            <w:pPr>
              <w:spacing w:after="0"/>
              <w:rPr>
                <w:sz w:val="20"/>
                <w:szCs w:val="20"/>
                <w:color w:val="auto"/>
              </w:rPr>
            </w:pPr>
            <w:r>
              <w:rPr>
                <w:rFonts w:ascii="Arial" w:cs="Arial" w:eastAsia="Arial" w:hAnsi="Arial"/>
                <w:sz w:val="18"/>
                <w:szCs w:val="18"/>
                <w:color w:val="auto"/>
              </w:rPr>
              <w:t>April 30, 2022</w:t>
            </w:r>
          </w:p>
        </w:tc>
      </w:tr>
      <w:tr>
        <w:trPr>
          <w:trHeight w:val="34"/>
        </w:trPr>
        <w:tc>
          <w:tcPr>
            <w:tcW w:w="5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 thousands)</w:t>
            </w:r>
          </w:p>
        </w:tc>
        <w:tc>
          <w:tcPr>
            <w:tcW w:w="6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10,666</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11,014</w:t>
            </w:r>
          </w:p>
        </w:tc>
        <w:tc>
          <w:tcPr>
            <w:tcW w:w="380" w:type="dxa"/>
            <w:vAlign w:val="bottom"/>
          </w:tcPr>
          <w:p>
            <w:pPr>
              <w:spacing w:after="0"/>
              <w:rPr>
                <w:sz w:val="20"/>
                <w:szCs w:val="20"/>
                <w:color w:val="auto"/>
              </w:rPr>
            </w:pPr>
          </w:p>
        </w:tc>
      </w:tr>
      <w:tr>
        <w:trPr>
          <w:trHeight w:val="249"/>
        </w:trPr>
        <w:tc>
          <w:tcPr>
            <w:tcW w:w="5780" w:type="dxa"/>
            <w:vAlign w:val="bottom"/>
            <w:tcBorders>
              <w:bottom w:val="single" w:sz="8" w:color="CFF0FC"/>
            </w:tcBorders>
            <w:shd w:val="clear" w:color="auto" w:fill="CFF0FC"/>
          </w:tcPr>
          <w:p>
            <w:pPr>
              <w:ind w:left="20"/>
              <w:spacing w:after="0" w:line="249" w:lineRule="exact"/>
              <w:rPr>
                <w:sz w:val="20"/>
                <w:szCs w:val="20"/>
                <w:color w:val="auto"/>
              </w:rPr>
            </w:pPr>
            <w:r>
              <w:rPr>
                <w:rFonts w:ascii="Arial" w:cs="Arial" w:eastAsia="Arial" w:hAnsi="Arial"/>
                <w:sz w:val="18"/>
                <w:szCs w:val="18"/>
                <w:color w:val="auto"/>
              </w:rPr>
              <w:t>Variable lease costs</w:t>
            </w:r>
            <w:r>
              <w:rPr>
                <w:rFonts w:ascii="Arial" w:cs="Arial" w:eastAsia="Arial" w:hAnsi="Arial"/>
                <w:sz w:val="24"/>
                <w:szCs w:val="24"/>
                <w:color w:val="auto"/>
                <w:vertAlign w:val="superscript"/>
              </w:rPr>
              <w:t>(1)</w:t>
            </w:r>
          </w:p>
        </w:tc>
        <w:tc>
          <w:tcPr>
            <w:tcW w:w="6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3,166</w:t>
            </w:r>
          </w:p>
        </w:tc>
        <w:tc>
          <w:tcPr>
            <w:tcW w:w="14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380" w:type="dxa"/>
            <w:vAlign w:val="bottom"/>
            <w:tcBorders>
              <w:bottom w:val="single" w:sz="8" w:color="CFF0FC"/>
            </w:tcBorders>
            <w:shd w:val="clear" w:color="auto" w:fill="CFF0FC"/>
          </w:tcPr>
          <w:p>
            <w:pPr>
              <w:spacing w:after="0"/>
              <w:rPr>
                <w:sz w:val="21"/>
                <w:szCs w:val="2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Total lease costs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13,832</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14,168</w:t>
            </w:r>
          </w:p>
        </w:tc>
        <w:tc>
          <w:tcPr>
            <w:tcW w:w="38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-187960</wp:posOffset>
            </wp:positionV>
            <wp:extent cx="8572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-187960</wp:posOffset>
            </wp:positionV>
            <wp:extent cx="85725"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Variable lease costs include the cost of property taxes, insurance and common area maintenance fees related to its leases.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and balance sheet information related to leases for the first three months ended April 29, 2023 and April 30, 2022 was as follows: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4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460" w:type="dxa"/>
            <w:vAlign w:val="bottom"/>
            <w:gridSpan w:val="6"/>
            <w:shd w:val="clear" w:color="auto" w:fill="CFF0FC"/>
          </w:tcPr>
          <w:p>
            <w:pPr>
              <w:jc w:val="right"/>
              <w:ind w:right="940"/>
              <w:spacing w:after="0"/>
              <w:rPr>
                <w:sz w:val="20"/>
                <w:szCs w:val="20"/>
                <w:color w:val="auto"/>
              </w:rPr>
            </w:pPr>
            <w:r>
              <w:rPr>
                <w:rFonts w:ascii="Arial" w:cs="Arial" w:eastAsia="Arial" w:hAnsi="Arial"/>
                <w:sz w:val="18"/>
                <w:szCs w:val="18"/>
                <w:color w:val="auto"/>
              </w:rPr>
              <w:t>For the three months ended</w:t>
            </w:r>
          </w:p>
        </w:tc>
      </w:tr>
      <w:tr>
        <w:trPr>
          <w:trHeight w:val="189"/>
        </w:trPr>
        <w:tc>
          <w:tcPr>
            <w:tcW w:w="7280" w:type="dxa"/>
            <w:vAlign w:val="bottom"/>
          </w:tcPr>
          <w:p>
            <w:pPr>
              <w:ind w:left="20"/>
              <w:spacing w:after="0" w:line="189"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420" w:type="dxa"/>
            <w:vAlign w:val="bottom"/>
          </w:tcPr>
          <w:p>
            <w:pPr>
              <w:spacing w:after="0"/>
              <w:rPr>
                <w:sz w:val="16"/>
                <w:szCs w:val="16"/>
                <w:color w:val="auto"/>
              </w:rPr>
            </w:pPr>
          </w:p>
        </w:tc>
        <w:tc>
          <w:tcPr>
            <w:tcW w:w="1560" w:type="dxa"/>
            <w:vAlign w:val="bottom"/>
            <w:gridSpan w:val="3"/>
          </w:tcPr>
          <w:p>
            <w:pPr>
              <w:jc w:val="center"/>
              <w:ind w:right="340"/>
              <w:spacing w:after="0" w:line="189" w:lineRule="exact"/>
              <w:rPr>
                <w:sz w:val="20"/>
                <w:szCs w:val="20"/>
                <w:color w:val="auto"/>
              </w:rPr>
            </w:pPr>
            <w:r>
              <w:rPr>
                <w:rFonts w:ascii="Arial" w:cs="Arial" w:eastAsia="Arial" w:hAnsi="Arial"/>
                <w:sz w:val="18"/>
                <w:szCs w:val="18"/>
                <w:color w:val="auto"/>
                <w:w w:val="95"/>
              </w:rPr>
              <w:t>April 29, 2023</w:t>
            </w:r>
          </w:p>
        </w:tc>
        <w:tc>
          <w:tcPr>
            <w:tcW w:w="380" w:type="dxa"/>
            <w:vAlign w:val="bottom"/>
          </w:tcPr>
          <w:p>
            <w:pPr>
              <w:spacing w:after="0"/>
              <w:rPr>
                <w:sz w:val="16"/>
                <w:szCs w:val="16"/>
                <w:color w:val="auto"/>
              </w:rPr>
            </w:pPr>
          </w:p>
        </w:tc>
        <w:tc>
          <w:tcPr>
            <w:tcW w:w="1600" w:type="dxa"/>
            <w:vAlign w:val="bottom"/>
            <w:gridSpan w:val="3"/>
          </w:tcPr>
          <w:p>
            <w:pPr>
              <w:jc w:val="center"/>
              <w:ind w:right="340"/>
              <w:spacing w:after="0" w:line="189" w:lineRule="exact"/>
              <w:rPr>
                <w:sz w:val="20"/>
                <w:szCs w:val="20"/>
                <w:color w:val="auto"/>
              </w:rPr>
            </w:pPr>
            <w:r>
              <w:rPr>
                <w:rFonts w:ascii="Arial" w:cs="Arial" w:eastAsia="Arial" w:hAnsi="Arial"/>
                <w:sz w:val="18"/>
                <w:szCs w:val="18"/>
                <w:color w:val="auto"/>
                <w:w w:val="95"/>
              </w:rPr>
              <w:t>April 30, 2022</w:t>
            </w:r>
          </w:p>
        </w:tc>
      </w:tr>
      <w:tr>
        <w:trPr>
          <w:trHeight w:val="34"/>
        </w:trPr>
        <w:tc>
          <w:tcPr>
            <w:tcW w:w="7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7280" w:type="dxa"/>
            <w:vAlign w:val="bottom"/>
            <w:shd w:val="clear" w:color="auto" w:fill="CFF0FC"/>
          </w:tcPr>
          <w:p>
            <w:pPr>
              <w:ind w:left="120"/>
              <w:spacing w:after="0" w:line="243" w:lineRule="exact"/>
              <w:rPr>
                <w:sz w:val="20"/>
                <w:szCs w:val="20"/>
                <w:color w:val="auto"/>
              </w:rPr>
            </w:pPr>
            <w:r>
              <w:rPr>
                <w:rFonts w:ascii="Arial" w:cs="Arial" w:eastAsia="Arial" w:hAnsi="Arial"/>
                <w:sz w:val="18"/>
                <w:szCs w:val="18"/>
                <w:color w:val="auto"/>
              </w:rPr>
              <w:t xml:space="preserve">Operating cash flows for operating leases </w:t>
            </w:r>
            <w:r>
              <w:rPr>
                <w:rFonts w:ascii="Arial" w:cs="Arial" w:eastAsia="Arial" w:hAnsi="Arial"/>
                <w:sz w:val="24"/>
                <w:szCs w:val="24"/>
                <w:color w:val="auto"/>
                <w:vertAlign w:val="superscript"/>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12,753</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16,098</w:t>
            </w: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Non-cash operating activities: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37"/>
        </w:trPr>
        <w:tc>
          <w:tcPr>
            <w:tcW w:w="7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9,250</w:t>
            </w:r>
          </w:p>
        </w:tc>
        <w:tc>
          <w:tcPr>
            <w:tcW w:w="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8,608</w:t>
            </w:r>
          </w:p>
        </w:tc>
      </w:tr>
      <w:tr>
        <w:trPr>
          <w:trHeight w:val="256"/>
        </w:trPr>
        <w:tc>
          <w:tcPr>
            <w:tcW w:w="7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r>
      <w:tr>
        <w:trPr>
          <w:trHeight w:val="237"/>
        </w:trPr>
        <w:tc>
          <w:tcPr>
            <w:tcW w:w="728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4.3 yrs.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4.4 yrs.</w:t>
            </w:r>
          </w:p>
        </w:tc>
      </w:tr>
      <w:tr>
        <w:trPr>
          <w:trHeight w:val="24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discount rate</w:t>
            </w:r>
          </w:p>
        </w:tc>
        <w:tc>
          <w:tcPr>
            <w:tcW w:w="4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6.39%</w:t>
            </w:r>
          </w:p>
        </w:tc>
        <w:tc>
          <w:tcPr>
            <w:tcW w:w="4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0"/>
              </w:rPr>
              <w:t>6.69%</w:t>
            </w:r>
          </w:p>
        </w:tc>
        <w:tc>
          <w:tcPr>
            <w:tcW w:w="44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jc w:val="both"/>
        <w:ind w:left="760" w:hanging="378"/>
        <w:spacing w:after="0" w:line="263"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cash paid for the first three months of fiscal 2023 and fiscal 2022 included prepaid rent of $4.2 million and $4.1 million, respectively. The decrease in cash paid was due to the timing of prepaid rents, which resulted in approximately four months of rent payments in the first quarter of fiscal 2022 as opposed to three months of rent payments in the first quarter of fiscal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April 29,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(in thousands)</w:t>
            </w:r>
          </w:p>
        </w:tc>
        <w:tc>
          <w:tcPr>
            <w:tcW w:w="3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2023 (remaining)</w:t>
            </w:r>
          </w:p>
        </w:tc>
        <w:tc>
          <w:tcPr>
            <w:tcW w:w="3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33,252</w:t>
            </w:r>
          </w:p>
        </w:tc>
        <w:tc>
          <w:tcPr>
            <w:tcW w:w="140" w:type="dxa"/>
            <w:vAlign w:val="bottom"/>
          </w:tcPr>
          <w:p>
            <w:pPr>
              <w:spacing w:after="0"/>
              <w:rPr>
                <w:sz w:val="20"/>
                <w:szCs w:val="20"/>
                <w:color w:val="auto"/>
              </w:rPr>
            </w:pPr>
          </w:p>
        </w:tc>
      </w:tr>
      <w:tr>
        <w:trPr>
          <w:trHeight w:val="249"/>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3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43,815</w:t>
            </w:r>
          </w:p>
        </w:tc>
        <w:tc>
          <w:tcPr>
            <w:tcW w:w="140" w:type="dxa"/>
            <w:vAlign w:val="bottom"/>
            <w:shd w:val="clear" w:color="auto" w:fill="CFF0FC"/>
          </w:tcPr>
          <w:p>
            <w:pPr>
              <w:spacing w:after="0"/>
              <w:rPr>
                <w:sz w:val="21"/>
                <w:szCs w:val="21"/>
                <w:color w:val="auto"/>
              </w:rPr>
            </w:pP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2025</w:t>
            </w:r>
          </w:p>
        </w:tc>
        <w:tc>
          <w:tcPr>
            <w:tcW w:w="3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34,947</w:t>
            </w:r>
          </w:p>
        </w:tc>
        <w:tc>
          <w:tcPr>
            <w:tcW w:w="140" w:type="dxa"/>
            <w:vAlign w:val="bottom"/>
          </w:tcPr>
          <w:p>
            <w:pPr>
              <w:spacing w:after="0"/>
              <w:rPr>
                <w:sz w:val="20"/>
                <w:szCs w:val="20"/>
                <w:color w:val="auto"/>
              </w:rPr>
            </w:pPr>
          </w:p>
        </w:tc>
      </w:tr>
      <w:tr>
        <w:trPr>
          <w:trHeight w:val="249"/>
        </w:trPr>
        <w:tc>
          <w:tcPr>
            <w:tcW w:w="6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3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22,449</w:t>
            </w:r>
          </w:p>
        </w:tc>
        <w:tc>
          <w:tcPr>
            <w:tcW w:w="140" w:type="dxa"/>
            <w:vAlign w:val="bottom"/>
            <w:shd w:val="clear" w:color="auto" w:fill="CFF0FC"/>
          </w:tcPr>
          <w:p>
            <w:pPr>
              <w:spacing w:after="0"/>
              <w:rPr>
                <w:sz w:val="21"/>
                <w:szCs w:val="21"/>
                <w:color w:val="auto"/>
              </w:rPr>
            </w:pP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2027</w:t>
            </w:r>
          </w:p>
        </w:tc>
        <w:tc>
          <w:tcPr>
            <w:tcW w:w="3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14,867</w:t>
            </w:r>
          </w:p>
        </w:tc>
        <w:tc>
          <w:tcPr>
            <w:tcW w:w="140" w:type="dxa"/>
            <w:vAlign w:val="bottom"/>
          </w:tcPr>
          <w:p>
            <w:pPr>
              <w:spacing w:after="0"/>
              <w:rPr>
                <w:sz w:val="20"/>
                <w:szCs w:val="20"/>
                <w:color w:val="auto"/>
              </w:rPr>
            </w:pPr>
          </w:p>
        </w:tc>
      </w:tr>
      <w:tr>
        <w:trPr>
          <w:trHeight w:val="243"/>
        </w:trPr>
        <w:tc>
          <w:tcPr>
            <w:tcW w:w="65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3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minimum lease payments</w:t>
            </w:r>
          </w:p>
        </w:tc>
        <w:tc>
          <w:tcPr>
            <w:tcW w:w="3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164,092</w:t>
            </w:r>
          </w:p>
        </w:tc>
        <w:tc>
          <w:tcPr>
            <w:tcW w:w="140" w:type="dxa"/>
            <w:vAlign w:val="bottom"/>
          </w:tcPr>
          <w:p>
            <w:pPr>
              <w:spacing w:after="0"/>
              <w:rPr>
                <w:sz w:val="20"/>
                <w:szCs w:val="20"/>
                <w:color w:val="auto"/>
              </w:rPr>
            </w:pPr>
          </w:p>
        </w:tc>
      </w:tr>
      <w:tr>
        <w:trPr>
          <w:trHeight w:val="243"/>
        </w:trPr>
        <w:tc>
          <w:tcPr>
            <w:tcW w:w="65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3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3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143,916</w:t>
            </w:r>
          </w:p>
        </w:tc>
        <w:tc>
          <w:tcPr>
            <w:tcW w:w="140" w:type="dxa"/>
            <w:vAlign w:val="bottom"/>
          </w:tcPr>
          <w:p>
            <w:pPr>
              <w:spacing w:after="0"/>
              <w:rPr>
                <w:sz w:val="20"/>
                <w:szCs w:val="20"/>
                <w:color w:val="auto"/>
              </w:rPr>
            </w:pPr>
          </w:p>
        </w:tc>
      </w:tr>
      <w:tr>
        <w:trPr>
          <w:trHeight w:val="243"/>
        </w:trPr>
        <w:tc>
          <w:tcPr>
            <w:tcW w:w="65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Less: current obligations under leases</w:t>
            </w:r>
          </w:p>
        </w:tc>
        <w:tc>
          <w:tcPr>
            <w:tcW w:w="3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37,071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Long-term lease obligations</w:t>
            </w:r>
          </w:p>
        </w:tc>
        <w:tc>
          <w:tcPr>
            <w:tcW w:w="3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106,845</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-788670</wp:posOffset>
            </wp:positionV>
            <wp:extent cx="85725" cy="16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-471170</wp:posOffset>
            </wp:positionV>
            <wp:extent cx="85725"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-154305</wp:posOffset>
            </wp:positionV>
            <wp:extent cx="8572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22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At April 29, 2023, the Company entered into a ten-year store lease that has not yet commenced with aggregated estimated future lease payments of approximately $2.1 million, which are not included in the above table. The lease is expected to commence in the fall of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Incentive Plans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is a summary of the Company’s Long-Term Incentive Plan (“LTIP”). All equity awards granted under long-term incentive plans are issued from the Company’s stockholder-approved 2016 Incentive Compensation Plan. See Note 6, </w:t>
      </w:r>
      <w:r>
        <w:rPr>
          <w:rFonts w:ascii="Arial" w:cs="Arial" w:eastAsia="Arial" w:hAnsi="Arial"/>
          <w:sz w:val="18"/>
          <w:szCs w:val="18"/>
          <w:i w:val="1"/>
          <w:iCs w:val="1"/>
          <w:color w:val="auto"/>
        </w:rPr>
        <w:t>Stock-Based Compensation</w:t>
      </w:r>
      <w:r>
        <w:rPr>
          <w:rFonts w:ascii="Arial" w:cs="Arial" w:eastAsia="Arial" w:hAnsi="Arial"/>
          <w:sz w:val="18"/>
          <w:szCs w:val="18"/>
          <w:color w:val="auto"/>
        </w:rPr>
        <w:t>.</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LTIPs are granted annually and each LTIP covers a three-year performance period.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Awards for any achievement of performance targets are not granted until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performance targets are achieved and then are subject to additional vesting through August 31 following the end of the applicable performance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2020-2022 LTIP</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performance targets for the Company’s 2020-2022 LTIP were approved by the Compensation Committee of the Board of Directors (the "Compensation Committee”) on June 11, 2020 and covered a three-year period performance period, which ended on January 28, 2023. The time-vested portion of the 2020-2022 LTIP vests in four annual installments, with the remaining installment vesting on April 1, 2024.</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first quarter of fiscal 2023, on March 6, 2023, the Compensation Committee approved a grant of awards equal to $2.8 million for the achievement of the performance target for the 2020-2022 LTIP. The awards were granted on March 23, 2023, following completion of the audited financial statements, in a combination of 50% cash and 50% restricted stock units ("RSUs"). All awards are subject to further vesting through August 31, 2023. In connection with the grant of 267,219 RSUs, the Company reclassified $1.1 million of its liability accrual from “Accrued expenses and other current liabilities” to “Additional paid-in capital” in the first quarter of fiscal 2023. See the Consolidated Statement of Changes in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Active LTIPs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April 29, 2023, the Company had two active LTIPs: the 2021-2023 LTIP and the 2022-2024 LTIP. The time-based awards under the 2021-2023 LTIP were granted in a combination of 25% stock options and 75% cash and the 2022-2024 LTIP time-based awards were granted in a combination of 50% RSUs and 50% cash.</w:t>
      </w:r>
    </w:p>
    <w:p>
      <w:pPr>
        <w:spacing w:after="0" w:line="76"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Performance targets for the 2021-2023 LTIP and 2022-2024 LTIP were established and approved by the Compensation Committee on March 8, 2021 and April 9, 2022, respectively. The performance period for each LTIP is three years. Awards for any achievement of performance targets will not be granted until the performance targets are achieved and then will be subject to additional vesting through August 31, 2024 and August 31, 2025, respectively. The time-based awards under the 2021-2023 LTIP and 2022-2024 LTIP vest in four equal installments through April 1, 2025 and April 1, 2026, respectively.</w:t>
      </w:r>
    </w:p>
    <w:p>
      <w:pPr>
        <w:spacing w:after="0" w:line="1"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Assuming that the Company achieves the performance targets at target levels and all time-based awards vest, the compensation expense associated with the 2021-2023 LTIP and 2022-2024 LTIP is estimated to be approximately $4.1 million and $4.7 million, respectively. Approximately half of the compensation expense for each LTIP relates to the time-based awards, which are being expensed straight-line over 49 months and 48 months, respectively.</w:t>
      </w:r>
    </w:p>
    <w:p>
      <w:pPr>
        <w:spacing w:after="0" w:line="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At April 29, 2023, the Company had accrued $1.8 million under the 2021-2023 LTIP and $1.1 million under the 2022-2024 LTIP for the performance awards.</w:t>
      </w:r>
    </w:p>
    <w:p>
      <w:pPr>
        <w:spacing w:after="0" w:line="6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Subsequent to the end of the first quarter of fiscal 2023, on May 1, 2023, the Compensation Committee approved the 2023-2025 LTIP. The time-based awards, which represent 50% of the 2023-2025 LTIP, were granted in a combination of 50% cash and 50% RSUs on May 1, 2023 and will vest in four equal installments on May 1, 2024, April 1, 2025, April 1, 2026 and April 1, 2027. The performance-based awards, which represent the remaining 50% of the 2023-2025 LTIP, will not be granted until the performance targets are achieved and then will be subject to additional vesting through August 31, 2026. Assuming that the Company achieves the performance target at target level and all time-based awards vest, the compensation expense associated with the 2023-2025 LTIP is estimated to be approximately $4.9 million. Approximately half of that compensation expense relates to the time-based awards, which will be expensed straight-line over 47 months. At April 29, 2023, the Company had no accrual for the performance-based awards under the 2023-2025 LTIP.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has one active stock-based compensation plan: the 2016 Incentive Compensation Plan (as amended, the “2016 Plan”). The initial share reserve under the 2016 Plan was 5,725,538 shares of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The Company’s shareholders approved amendments to increase the share reserve by 2,800,000 shares on August 8, 2019, an additional 1,740,000 shares on August 12, 2020 and an additional 4,855,000 on August 5, 2021. At April 29, 2023, the Company had 3,916,695 shares available under the 2016 Plan.</w:t>
      </w:r>
    </w:p>
    <w:p>
      <w:pPr>
        <w:spacing w:after="0" w:line="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April 29, 2023, 108,602 stock options remained outstanding under the 2006 Plan.</w:t>
      </w:r>
    </w:p>
    <w:p>
      <w:pPr>
        <w:spacing w:after="0" w:line="79"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right="240"/>
        <w:spacing w:after="0" w:line="277" w:lineRule="auto"/>
        <w:rPr>
          <w:sz w:val="20"/>
          <w:szCs w:val="20"/>
          <w:color w:val="auto"/>
        </w:rPr>
      </w:pPr>
      <w:r>
        <w:rPr>
          <w:rFonts w:ascii="Arial" w:cs="Arial" w:eastAsia="Arial" w:hAnsi="Arial"/>
          <w:sz w:val="18"/>
          <w:szCs w:val="18"/>
          <w:color w:val="auto"/>
        </w:rPr>
        <w:t>date of the grant. Except with respect to 5% of the shares available for awards under the 2016 Plan, no award will become exercisable unless such award has been outstanding for a minimum period of one year from its date of grant.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share activity and stock option activity for the first three months of fiscal 2023:</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color w:val="auto"/>
                <w:w w:val="90"/>
              </w:rPr>
              <w:t>Weighted-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0"/>
              </w:rPr>
              <w:t>average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80" w:type="dxa"/>
            <w:vAlign w:val="bottom"/>
          </w:tcPr>
          <w:p>
            <w:pPr>
              <w:spacing w:after="0"/>
              <w:rPr>
                <w:sz w:val="12"/>
                <w:szCs w:val="12"/>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color w:val="auto"/>
              </w:rPr>
              <w:t xml:space="preserve">RSUs </w:t>
            </w:r>
            <w:r>
              <w:rPr>
                <w:rFonts w:ascii="Arial" w:cs="Arial" w:eastAsia="Arial" w:hAnsi="Arial"/>
                <w:sz w:val="19"/>
                <w:szCs w:val="19"/>
                <w:color w:val="auto"/>
                <w:vertAlign w:val="superscript"/>
              </w:rPr>
              <w:t>(1)</w:t>
            </w:r>
          </w:p>
        </w:tc>
        <w:tc>
          <w:tcPr>
            <w:tcW w:w="820" w:type="dxa"/>
            <w:vAlign w:val="bottom"/>
          </w:tcPr>
          <w:p>
            <w:pPr>
              <w:jc w:val="right"/>
              <w:ind w:right="75"/>
              <w:spacing w:after="0" w:line="141" w:lineRule="exact"/>
              <w:rPr>
                <w:sz w:val="20"/>
                <w:szCs w:val="20"/>
                <w:color w:val="auto"/>
              </w:rPr>
            </w:pPr>
            <w:r>
              <w:rPr>
                <w:rFonts w:ascii="Arial" w:cs="Arial" w:eastAsia="Arial" w:hAnsi="Arial"/>
                <w:sz w:val="14"/>
                <w:szCs w:val="14"/>
                <w:color w:val="auto"/>
              </w:rPr>
              <w:t>Deferred</w:t>
            </w:r>
          </w:p>
        </w:tc>
        <w:tc>
          <w:tcPr>
            <w:tcW w:w="260" w:type="dxa"/>
            <w:vAlign w:val="bottom"/>
          </w:tcPr>
          <w:p>
            <w:pPr>
              <w:spacing w:after="0"/>
              <w:rPr>
                <w:sz w:val="12"/>
                <w:szCs w:val="12"/>
                <w:color w:val="auto"/>
              </w:rPr>
            </w:pPr>
          </w:p>
        </w:tc>
        <w:tc>
          <w:tcPr>
            <w:tcW w:w="1180" w:type="dxa"/>
            <w:vAlign w:val="bottom"/>
            <w:gridSpan w:val="2"/>
          </w:tcPr>
          <w:p>
            <w:pPr>
              <w:jc w:val="right"/>
              <w:ind w:right="360"/>
              <w:spacing w:after="0" w:line="141" w:lineRule="exact"/>
              <w:rPr>
                <w:sz w:val="20"/>
                <w:szCs w:val="20"/>
                <w:color w:val="auto"/>
              </w:rPr>
            </w:pPr>
            <w:r>
              <w:rPr>
                <w:rFonts w:ascii="Arial" w:cs="Arial" w:eastAsia="Arial" w:hAnsi="Arial"/>
                <w:sz w:val="14"/>
                <w:szCs w:val="14"/>
                <w:color w:val="auto"/>
                <w:w w:val="99"/>
              </w:rPr>
              <w:t>Performance</w:t>
            </w:r>
          </w:p>
        </w:tc>
        <w:tc>
          <w:tcPr>
            <w:tcW w:w="1180" w:type="dxa"/>
            <w:vAlign w:val="bottom"/>
            <w:gridSpan w:val="2"/>
          </w:tcPr>
          <w:p>
            <w:pPr>
              <w:jc w:val="right"/>
              <w:ind w:right="360"/>
              <w:spacing w:after="0" w:line="141" w:lineRule="exact"/>
              <w:rPr>
                <w:sz w:val="20"/>
                <w:szCs w:val="20"/>
                <w:color w:val="auto"/>
              </w:rPr>
            </w:pPr>
            <w:r>
              <w:rPr>
                <w:rFonts w:ascii="Arial" w:cs="Arial" w:eastAsia="Arial" w:hAnsi="Arial"/>
                <w:sz w:val="14"/>
                <w:szCs w:val="14"/>
                <w:color w:val="auto"/>
              </w:rPr>
              <w:t>Fully-Vested</w:t>
            </w:r>
          </w:p>
        </w:tc>
        <w:tc>
          <w:tcPr>
            <w:tcW w:w="1100" w:type="dxa"/>
            <w:vAlign w:val="bottom"/>
            <w:gridSpan w:val="2"/>
          </w:tcPr>
          <w:p>
            <w:pPr>
              <w:jc w:val="right"/>
              <w:ind w:right="300"/>
              <w:spacing w:after="0" w:line="141" w:lineRule="exact"/>
              <w:rPr>
                <w:sz w:val="20"/>
                <w:szCs w:val="20"/>
                <w:color w:val="auto"/>
              </w:rPr>
            </w:pPr>
            <w:r>
              <w:rPr>
                <w:rFonts w:ascii="Arial" w:cs="Arial" w:eastAsia="Arial" w:hAnsi="Arial"/>
                <w:sz w:val="14"/>
                <w:szCs w:val="14"/>
                <w:color w:val="auto"/>
                <w:w w:val="94"/>
              </w:rPr>
              <w:t>Total number</w:t>
            </w:r>
          </w:p>
        </w:tc>
        <w:tc>
          <w:tcPr>
            <w:tcW w:w="120" w:type="dxa"/>
            <w:vAlign w:val="bottom"/>
          </w:tcPr>
          <w:p>
            <w:pPr>
              <w:spacing w:after="0"/>
              <w:rPr>
                <w:sz w:val="12"/>
                <w:szCs w:val="12"/>
                <w:color w:val="auto"/>
              </w:rPr>
            </w:pPr>
          </w:p>
        </w:tc>
        <w:tc>
          <w:tcPr>
            <w:tcW w:w="780" w:type="dxa"/>
            <w:vAlign w:val="bottom"/>
          </w:tcPr>
          <w:p>
            <w:pPr>
              <w:jc w:val="center"/>
              <w:ind w:right="37"/>
              <w:spacing w:after="0" w:line="141" w:lineRule="exact"/>
              <w:rPr>
                <w:sz w:val="20"/>
                <w:szCs w:val="20"/>
                <w:color w:val="auto"/>
              </w:rPr>
            </w:pPr>
            <w:r>
              <w:rPr>
                <w:rFonts w:ascii="Arial" w:cs="Arial" w:eastAsia="Arial" w:hAnsi="Arial"/>
                <w:sz w:val="14"/>
                <w:szCs w:val="14"/>
                <w:color w:val="auto"/>
                <w:w w:val="90"/>
              </w:rPr>
              <w:t>grant-date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20" w:type="dxa"/>
            <w:vAlign w:val="bottom"/>
          </w:tcPr>
          <w:p>
            <w:pPr>
              <w:jc w:val="right"/>
              <w:ind w:right="75"/>
              <w:spacing w:after="0" w:line="189"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19"/>
                <w:szCs w:val="19"/>
                <w:color w:val="auto"/>
                <w:vertAlign w:val="superscript"/>
              </w:rPr>
              <w:t>(2)</w:t>
            </w:r>
          </w:p>
        </w:tc>
        <w:tc>
          <w:tcPr>
            <w:tcW w:w="260" w:type="dxa"/>
            <w:vAlign w:val="bottom"/>
          </w:tcPr>
          <w:p>
            <w:pPr>
              <w:spacing w:after="0"/>
              <w:rPr>
                <w:sz w:val="16"/>
                <w:szCs w:val="16"/>
                <w:color w:val="auto"/>
              </w:rPr>
            </w:pPr>
          </w:p>
        </w:tc>
        <w:tc>
          <w:tcPr>
            <w:tcW w:w="1180" w:type="dxa"/>
            <w:vAlign w:val="bottom"/>
            <w:gridSpan w:val="2"/>
          </w:tcPr>
          <w:p>
            <w:pPr>
              <w:jc w:val="right"/>
              <w:ind w:right="320"/>
              <w:spacing w:after="0" w:line="189" w:lineRule="exact"/>
              <w:rPr>
                <w:sz w:val="20"/>
                <w:szCs w:val="20"/>
                <w:color w:val="auto"/>
              </w:rPr>
            </w:pPr>
            <w:r>
              <w:rPr>
                <w:rFonts w:ascii="Arial" w:cs="Arial" w:eastAsia="Arial" w:hAnsi="Arial"/>
                <w:sz w:val="14"/>
                <w:szCs w:val="14"/>
                <w:color w:val="auto"/>
                <w:w w:val="90"/>
              </w:rPr>
              <w:t xml:space="preserve">Share Units </w:t>
            </w:r>
            <w:r>
              <w:rPr>
                <w:rFonts w:ascii="Arial" w:cs="Arial" w:eastAsia="Arial" w:hAnsi="Arial"/>
                <w:sz w:val="19"/>
                <w:szCs w:val="19"/>
                <w:color w:val="auto"/>
                <w:w w:val="90"/>
                <w:vertAlign w:val="superscript"/>
              </w:rPr>
              <w:t>(3)</w:t>
            </w:r>
          </w:p>
        </w:tc>
        <w:tc>
          <w:tcPr>
            <w:tcW w:w="1180" w:type="dxa"/>
            <w:vAlign w:val="bottom"/>
            <w:gridSpan w:val="2"/>
          </w:tcPr>
          <w:p>
            <w:pPr>
              <w:jc w:val="right"/>
              <w:ind w:right="440"/>
              <w:spacing w:after="0" w:line="189" w:lineRule="exact"/>
              <w:rPr>
                <w:sz w:val="20"/>
                <w:szCs w:val="20"/>
                <w:color w:val="auto"/>
              </w:rPr>
            </w:pPr>
            <w:r>
              <w:rPr>
                <w:rFonts w:ascii="Arial" w:cs="Arial" w:eastAsia="Arial" w:hAnsi="Arial"/>
                <w:sz w:val="14"/>
                <w:szCs w:val="14"/>
                <w:color w:val="auto"/>
              </w:rPr>
              <w:t xml:space="preserve">Shares </w:t>
            </w:r>
            <w:r>
              <w:rPr>
                <w:rFonts w:ascii="Arial" w:cs="Arial" w:eastAsia="Arial" w:hAnsi="Arial"/>
                <w:sz w:val="19"/>
                <w:szCs w:val="19"/>
                <w:color w:val="auto"/>
                <w:vertAlign w:val="superscript"/>
              </w:rPr>
              <w:t>(4)</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of shares</w:t>
            </w:r>
          </w:p>
        </w:tc>
        <w:tc>
          <w:tcPr>
            <w:tcW w:w="120" w:type="dxa"/>
            <w:vAlign w:val="bottom"/>
          </w:tcPr>
          <w:p>
            <w:pPr>
              <w:spacing w:after="0"/>
              <w:rPr>
                <w:sz w:val="16"/>
                <w:szCs w:val="16"/>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color w:val="auto"/>
                <w:w w:val="94"/>
              </w:rPr>
              <w:t>fair 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Shares</w:t>
            </w: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1,195,57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non-vested shares at beginning of year</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520,008</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435,568</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240,000</w:t>
            </w:r>
          </w:p>
        </w:tc>
        <w:tc>
          <w:tcPr>
            <w:tcW w:w="2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200"/>
              <w:spacing w:after="0"/>
              <w:rPr>
                <w:sz w:val="20"/>
                <w:szCs w:val="20"/>
                <w:color w:val="auto"/>
              </w:rPr>
            </w:pPr>
            <w:r>
              <w:rPr>
                <w:rFonts w:ascii="Arial" w:cs="Arial" w:eastAsia="Arial" w:hAnsi="Arial"/>
                <w:sz w:val="18"/>
                <w:szCs w:val="18"/>
                <w:color w:val="auto"/>
              </w:rPr>
              <w:t>Shares 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270,867</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2,844</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273,711</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 vested and/or issued</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(250,547 )</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(2,844 )</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(253,391 )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80" w:type="dxa"/>
            <w:vAlign w:val="bottom"/>
          </w:tcPr>
          <w:p>
            <w:pPr>
              <w:ind w:left="200"/>
              <w:spacing w:after="0"/>
              <w:rPr>
                <w:sz w:val="20"/>
                <w:szCs w:val="20"/>
                <w:color w:val="auto"/>
              </w:rPr>
            </w:pPr>
            <w:r>
              <w:rPr>
                <w:rFonts w:ascii="Arial" w:cs="Arial" w:eastAsia="Arial" w:hAnsi="Arial"/>
                <w:sz w:val="18"/>
                <w:szCs w:val="18"/>
                <w:color w:val="auto"/>
              </w:rPr>
              <w:t>Shares expired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(240,000 )</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(240,000 )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Shares forfeited</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(50,612 )</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(50,612 )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tcPr>
          <w:p>
            <w:pPr>
              <w:ind w:left="200"/>
              <w:spacing w:after="0"/>
              <w:rPr>
                <w:sz w:val="20"/>
                <w:szCs w:val="20"/>
                <w:color w:val="auto"/>
              </w:rPr>
            </w:pPr>
            <w:r>
              <w:rPr>
                <w:rFonts w:ascii="Arial" w:cs="Arial" w:eastAsia="Arial" w:hAnsi="Arial"/>
                <w:sz w:val="18"/>
                <w:szCs w:val="18"/>
                <w:color w:val="auto"/>
              </w:rPr>
              <w:t>Outstanding non-vested shares at end of quarter</w:t>
            </w:r>
          </w:p>
        </w:tc>
        <w:tc>
          <w:tcPr>
            <w:tcW w:w="920" w:type="dxa"/>
            <w:vAlign w:val="bottom"/>
          </w:tcPr>
          <w:p>
            <w:pPr>
              <w:jc w:val="right"/>
              <w:spacing w:after="0"/>
              <w:rPr>
                <w:sz w:val="20"/>
                <w:szCs w:val="20"/>
                <w:color w:val="auto"/>
              </w:rPr>
            </w:pPr>
            <w:r>
              <w:rPr>
                <w:rFonts w:ascii="Arial" w:cs="Arial" w:eastAsia="Arial" w:hAnsi="Arial"/>
                <w:sz w:val="18"/>
                <w:szCs w:val="18"/>
                <w:color w:val="auto"/>
              </w:rPr>
              <w:t>489,716</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435,568</w:t>
            </w:r>
          </w:p>
        </w:tc>
        <w:tc>
          <w:tcPr>
            <w:tcW w:w="26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925,284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-154305</wp:posOffset>
            </wp:positionV>
            <wp:extent cx="8572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-154305</wp:posOffset>
            </wp:positionV>
            <wp:extent cx="8572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-154305</wp:posOffset>
            </wp:positionV>
            <wp:extent cx="8572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-154305</wp:posOffset>
            </wp:positionV>
            <wp:extent cx="7747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-154305</wp:posOffset>
            </wp:positionV>
            <wp:extent cx="8572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-154305</wp:posOffset>
            </wp:positionV>
            <wp:extent cx="8572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221" w:lineRule="exact"/>
        <w:rPr>
          <w:sz w:val="20"/>
          <w:szCs w:val="20"/>
          <w:color w:val="auto"/>
        </w:rPr>
      </w:pPr>
    </w:p>
    <w:p>
      <w:pPr>
        <w:jc w:val="both"/>
        <w:ind w:left="760" w:hanging="378"/>
        <w:spacing w:after="0" w:line="26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During the first three months of fiscal 2023, the Company granted RSUs for the achievement of performance metrics under the 2020-2022 LTIP that are subject to additional vesting through August 31, 2023. See Note 5, </w:t>
      </w:r>
      <w:r>
        <w:rPr>
          <w:rFonts w:ascii="Arial" w:cs="Arial" w:eastAsia="Arial" w:hAnsi="Arial"/>
          <w:sz w:val="18"/>
          <w:szCs w:val="18"/>
          <w:i w:val="1"/>
          <w:iCs w:val="1"/>
          <w:color w:val="auto"/>
        </w:rPr>
        <w:t>Long-Term Incentive Plans</w:t>
      </w:r>
      <w:r>
        <w:rPr>
          <w:rFonts w:ascii="Arial" w:cs="Arial" w:eastAsia="Arial" w:hAnsi="Arial"/>
          <w:sz w:val="18"/>
          <w:szCs w:val="18"/>
          <w:color w:val="auto"/>
        </w:rPr>
        <w:t>. As a result of net share settlements, of the 250,547 RSUs that vested, only 169,517 shares of common stock were issued.</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outstanding deferred shares will be issued upon the director’s separation from service.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remaining performance stock units (“PSUs”) granted to Mr. Kanter in February 2019 which expired unvested on April 1, 2023.</w:t>
      </w:r>
    </w:p>
    <w:p>
      <w:pPr>
        <w:spacing w:after="0" w:line="140" w:lineRule="exact"/>
        <w:rPr>
          <w:rFonts w:ascii="Arial" w:cs="Arial" w:eastAsia="Arial" w:hAnsi="Arial"/>
          <w:sz w:val="16"/>
          <w:szCs w:val="16"/>
          <w:color w:val="auto"/>
        </w:rPr>
      </w:pPr>
    </w:p>
    <w:p>
      <w:pPr>
        <w:jc w:val="both"/>
        <w:ind w:left="760" w:hanging="378"/>
        <w:spacing w:after="0" w:line="26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Represents compensation, with a fair value of $20,249, to certain directors, who are required to receive shares, in lieu of cash, in order to satisfy their minimum equity ownership under the Non-Employee Director Plan. Voluntary shares received, in lieu of cash, are reported below under </w:t>
      </w:r>
      <w:r>
        <w:rPr>
          <w:rFonts w:ascii="Arial" w:cs="Arial" w:eastAsia="Arial" w:hAnsi="Arial"/>
          <w:sz w:val="18"/>
          <w:szCs w:val="18"/>
          <w:i w:val="1"/>
          <w:iCs w:val="1"/>
          <w:color w:val="auto"/>
        </w:rPr>
        <w:t>Non-Employee Director Compensation Plan</w:t>
      </w:r>
      <w:r>
        <w:rPr>
          <w:rFonts w:ascii="Arial" w:cs="Arial" w:eastAsia="Arial" w:hAnsi="Arial"/>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57"/>
              <w:spacing w:after="0"/>
              <w:rPr>
                <w:sz w:val="20"/>
                <w:szCs w:val="20"/>
                <w:color w:val="auto"/>
              </w:rPr>
            </w:pPr>
            <w:r>
              <w:rPr>
                <w:rFonts w:ascii="Arial" w:cs="Arial" w:eastAsia="Arial" w:hAnsi="Arial"/>
                <w:sz w:val="14"/>
                <w:szCs w:val="14"/>
                <w:color w:val="auto"/>
                <w:w w:val="93"/>
              </w:rPr>
              <w:t>Weighted-</w:t>
            </w:r>
          </w:p>
        </w:tc>
        <w:tc>
          <w:tcPr>
            <w:tcW w:w="2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Weighted-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8"/>
        </w:trPr>
        <w:tc>
          <w:tcPr>
            <w:tcW w:w="5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7"/>
              <w:spacing w:after="0" w:line="149" w:lineRule="exact"/>
              <w:rPr>
                <w:sz w:val="20"/>
                <w:szCs w:val="20"/>
                <w:color w:val="auto"/>
              </w:rPr>
            </w:pPr>
            <w:r>
              <w:rPr>
                <w:rFonts w:ascii="Arial" w:cs="Arial" w:eastAsia="Arial" w:hAnsi="Arial"/>
                <w:sz w:val="14"/>
                <w:szCs w:val="14"/>
                <w:color w:val="auto"/>
                <w:w w:val="90"/>
              </w:rPr>
              <w:t>average</w:t>
            </w:r>
          </w:p>
        </w:tc>
        <w:tc>
          <w:tcPr>
            <w:tcW w:w="2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0"/>
              </w:rPr>
              <w:t>average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720" w:type="dxa"/>
            <w:vAlign w:val="bottom"/>
          </w:tcPr>
          <w:p>
            <w:pPr>
              <w:spacing w:after="0"/>
              <w:rPr>
                <w:sz w:val="12"/>
                <w:szCs w:val="12"/>
                <w:color w:val="auto"/>
              </w:rPr>
            </w:pPr>
          </w:p>
        </w:tc>
        <w:tc>
          <w:tcPr>
            <w:tcW w:w="14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Number of</w:t>
            </w:r>
          </w:p>
        </w:tc>
        <w:tc>
          <w:tcPr>
            <w:tcW w:w="120" w:type="dxa"/>
            <w:vAlign w:val="bottom"/>
          </w:tcPr>
          <w:p>
            <w:pPr>
              <w:spacing w:after="0"/>
              <w:rPr>
                <w:sz w:val="12"/>
                <w:szCs w:val="12"/>
                <w:color w:val="auto"/>
              </w:rPr>
            </w:pPr>
          </w:p>
        </w:tc>
        <w:tc>
          <w:tcPr>
            <w:tcW w:w="94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2"/>
              </w:rPr>
              <w:t>exercise price</w:t>
            </w:r>
          </w:p>
        </w:tc>
        <w:tc>
          <w:tcPr>
            <w:tcW w:w="2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75"/>
              <w:spacing w:after="0" w:line="149" w:lineRule="exact"/>
              <w:rPr>
                <w:sz w:val="20"/>
                <w:szCs w:val="20"/>
                <w:color w:val="auto"/>
              </w:rPr>
            </w:pPr>
            <w:r>
              <w:rPr>
                <w:rFonts w:ascii="Arial" w:cs="Arial" w:eastAsia="Arial" w:hAnsi="Arial"/>
                <w:sz w:val="14"/>
                <w:szCs w:val="14"/>
                <w:color w:val="auto"/>
              </w:rPr>
              <w:t>Aggregate</w:t>
            </w:r>
          </w:p>
        </w:tc>
        <w:tc>
          <w:tcPr>
            <w:tcW w:w="140" w:type="dxa"/>
            <w:vAlign w:val="bottom"/>
          </w:tcPr>
          <w:p>
            <w:pPr>
              <w:spacing w:after="0"/>
              <w:rPr>
                <w:sz w:val="12"/>
                <w:szCs w:val="12"/>
                <w:color w:val="auto"/>
              </w:rPr>
            </w:pPr>
          </w:p>
        </w:tc>
      </w:tr>
      <w:tr>
        <w:trPr>
          <w:trHeight w:val="181"/>
        </w:trPr>
        <w:tc>
          <w:tcPr>
            <w:tcW w:w="5720" w:type="dxa"/>
            <w:vAlign w:val="bottom"/>
          </w:tcPr>
          <w:p>
            <w:pPr>
              <w:spacing w:after="0"/>
              <w:rPr>
                <w:sz w:val="15"/>
                <w:szCs w:val="15"/>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940" w:type="dxa"/>
            <w:vAlign w:val="bottom"/>
          </w:tcPr>
          <w:p>
            <w:pPr>
              <w:jc w:val="center"/>
              <w:ind w:right="37"/>
              <w:spacing w:after="0"/>
              <w:rPr>
                <w:sz w:val="20"/>
                <w:szCs w:val="20"/>
                <w:color w:val="auto"/>
              </w:rPr>
            </w:pPr>
            <w:r>
              <w:rPr>
                <w:rFonts w:ascii="Arial" w:cs="Arial" w:eastAsia="Arial" w:hAnsi="Arial"/>
                <w:sz w:val="14"/>
                <w:szCs w:val="14"/>
                <w:color w:val="auto"/>
                <w:w w:val="93"/>
              </w:rPr>
              <w:t>per option</w:t>
            </w:r>
          </w:p>
        </w:tc>
        <w:tc>
          <w:tcPr>
            <w:tcW w:w="2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contractual term</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75"/>
              <w:spacing w:after="0"/>
              <w:rPr>
                <w:sz w:val="20"/>
                <w:szCs w:val="20"/>
                <w:color w:val="auto"/>
              </w:rPr>
            </w:pPr>
            <w:r>
              <w:rPr>
                <w:rFonts w:ascii="Arial" w:cs="Arial" w:eastAsia="Arial" w:hAnsi="Arial"/>
                <w:sz w:val="14"/>
                <w:szCs w:val="14"/>
                <w:color w:val="auto"/>
                <w:w w:val="96"/>
              </w:rPr>
              <w:t>intrinsic value</w:t>
            </w:r>
          </w:p>
        </w:tc>
        <w:tc>
          <w:tcPr>
            <w:tcW w:w="140" w:type="dxa"/>
            <w:vAlign w:val="bottom"/>
          </w:tcPr>
          <w:p>
            <w:pPr>
              <w:spacing w:after="0"/>
              <w:rPr>
                <w:sz w:val="15"/>
                <w:szCs w:val="15"/>
                <w:color w:val="auto"/>
              </w:rPr>
            </w:pPr>
          </w:p>
        </w:tc>
      </w:tr>
      <w:tr>
        <w:trPr>
          <w:trHeight w:val="23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 Options</w:t>
            </w:r>
          </w:p>
        </w:tc>
        <w:tc>
          <w:tcPr>
            <w:tcW w:w="11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720" w:type="dxa"/>
            <w:vAlign w:val="bottom"/>
          </w:tcPr>
          <w:p>
            <w:pPr>
              <w:ind w:left="200"/>
              <w:spacing w:after="0"/>
              <w:rPr>
                <w:sz w:val="20"/>
                <w:szCs w:val="20"/>
                <w:color w:val="auto"/>
              </w:rPr>
            </w:pPr>
            <w:r>
              <w:rPr>
                <w:rFonts w:ascii="Arial" w:cs="Arial" w:eastAsia="Arial" w:hAnsi="Arial"/>
                <w:sz w:val="18"/>
                <w:szCs w:val="18"/>
                <w:color w:val="auto"/>
              </w:rPr>
              <w:t>Outstanding options at beginning of year</w:t>
            </w:r>
          </w:p>
        </w:tc>
        <w:tc>
          <w:tcPr>
            <w:tcW w:w="1160" w:type="dxa"/>
            <w:vAlign w:val="bottom"/>
          </w:tcPr>
          <w:p>
            <w:pPr>
              <w:jc w:val="right"/>
              <w:spacing w:after="0"/>
              <w:rPr>
                <w:sz w:val="20"/>
                <w:szCs w:val="20"/>
                <w:color w:val="auto"/>
              </w:rPr>
            </w:pPr>
            <w:r>
              <w:rPr>
                <w:rFonts w:ascii="Arial" w:cs="Arial" w:eastAsia="Arial" w:hAnsi="Arial"/>
                <w:sz w:val="18"/>
                <w:szCs w:val="18"/>
                <w:color w:val="auto"/>
              </w:rPr>
              <w:t>3,556,434</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0.83</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 years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23,238,665</w:t>
            </w:r>
          </w:p>
        </w:tc>
        <w:tc>
          <w:tcPr>
            <w:tcW w:w="140" w:type="dxa"/>
            <w:vAlign w:val="bottom"/>
          </w:tcPr>
          <w:p>
            <w:pPr>
              <w:spacing w:after="0"/>
              <w:rPr>
                <w:sz w:val="20"/>
                <w:szCs w:val="20"/>
                <w:color w:val="auto"/>
              </w:rPr>
            </w:pPr>
          </w:p>
        </w:tc>
      </w:tr>
      <w:tr>
        <w:trPr>
          <w:trHeight w:val="249"/>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granted</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572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(80,960 )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227,903</w:t>
            </w:r>
          </w:p>
        </w:tc>
        <w:tc>
          <w:tcPr>
            <w:tcW w:w="140" w:type="dxa"/>
            <w:vAlign w:val="bottom"/>
          </w:tcPr>
          <w:p>
            <w:pPr>
              <w:spacing w:after="0"/>
              <w:rPr>
                <w:sz w:val="20"/>
                <w:szCs w:val="20"/>
                <w:color w:val="auto"/>
              </w:rPr>
            </w:pPr>
          </w:p>
        </w:tc>
      </w:tr>
      <w:tr>
        <w:trPr>
          <w:trHeight w:val="249"/>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expired and canceled</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(12,892 )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49,037</w:t>
            </w:r>
          </w:p>
        </w:tc>
        <w:tc>
          <w:tcPr>
            <w:tcW w:w="140" w:type="dxa"/>
            <w:vAlign w:val="bottom"/>
            <w:shd w:val="clear" w:color="auto" w:fill="CFF0FC"/>
          </w:tcPr>
          <w:p>
            <w:pPr>
              <w:spacing w:after="0"/>
              <w:rPr>
                <w:sz w:val="21"/>
                <w:szCs w:val="21"/>
                <w:color w:val="auto"/>
              </w:rPr>
            </w:pPr>
          </w:p>
        </w:tc>
      </w:tr>
      <w:tr>
        <w:trPr>
          <w:trHeight w:val="230"/>
        </w:trPr>
        <w:tc>
          <w:tcPr>
            <w:tcW w:w="57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Outstanding options at end of quarter</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3,463,898</w:t>
            </w: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280" w:type="dxa"/>
            <w:vAlign w:val="bottom"/>
            <w:tcBorders>
              <w:top w:val="single" w:sz="8" w:color="CFF0FC"/>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 years</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12,616,891</w:t>
            </w:r>
          </w:p>
        </w:tc>
        <w:tc>
          <w:tcPr>
            <w:tcW w:w="140" w:type="dxa"/>
            <w:vAlign w:val="bottom"/>
            <w:tcBorders>
              <w:top w:val="single" w:sz="8" w:color="CFF0FC"/>
            </w:tcBorders>
          </w:tcPr>
          <w:p>
            <w:pPr>
              <w:spacing w:after="0"/>
              <w:rPr>
                <w:sz w:val="20"/>
                <w:szCs w:val="20"/>
                <w:color w:val="auto"/>
              </w:rPr>
            </w:pPr>
          </w:p>
        </w:tc>
      </w:tr>
      <w:tr>
        <w:trPr>
          <w:trHeight w:val="249"/>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exercisable at end of quarter</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2,204,631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 years</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7,925,550</w:t>
            </w:r>
          </w:p>
        </w:tc>
        <w:tc>
          <w:tcPr>
            <w:tcW w:w="14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-316865</wp:posOffset>
            </wp:positionV>
            <wp:extent cx="85725"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-316865</wp:posOffset>
            </wp:positionV>
            <wp:extent cx="8572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-316865</wp:posOffset>
            </wp:positionV>
            <wp:extent cx="85725"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-316865</wp:posOffset>
            </wp:positionV>
            <wp:extent cx="85725"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three months of fiscal 2023, the Company granted stock options to purchase an aggregate of 1,316 shares of common stock, 270,867 restricted stock units and 2,844 fully-vested shares. For the first three months of fiscal 2022, the Company granted stock options to purchase an aggregate of 2,040 shares of common stock, 494,444 restricted stock units and 9,352 fully-vested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Compensation Plan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granted 12,376 shares of common stock, with a fair value of approximately $88,117, to certain of its non-employee directors as compensation in lieu of cash in the first three months of fiscal 2023. These shares are in addition to any shares that may be granted under the 2016 Plan related to the requirement to receive equity if a director has not yet satisfied his or her minimum equity ownership requirement under the Non-Employee Director Compensation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Compensation Expense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total stock-based compensation expense of $0.4 million and $0.4 million for the first three months of fiscal 2023 and fiscal 2022, respectively. The total compensation cost related to time-vested stock options and RSU awards not yet recognized as of April 29, 2023 was approximately $1.7 million, net of estimated forfeitures, which will be expensed over a weighted average remaining life of 27 months.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Equity and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61"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3580" w:type="dxa"/>
            <w:vAlign w:val="bottom"/>
            <w:gridSpan w:val="3"/>
          </w:tcPr>
          <w:p>
            <w:pPr>
              <w:jc w:val="right"/>
              <w:ind w:right="919"/>
              <w:spacing w:after="0"/>
              <w:rPr>
                <w:sz w:val="20"/>
                <w:szCs w:val="20"/>
                <w:color w:val="auto"/>
              </w:rPr>
            </w:pPr>
            <w:r>
              <w:rPr>
                <w:rFonts w:ascii="Arial" w:cs="Arial" w:eastAsia="Arial" w:hAnsi="Arial"/>
                <w:sz w:val="14"/>
                <w:szCs w:val="14"/>
                <w:color w:val="auto"/>
              </w:rPr>
              <w:t>For the three months ended</w:t>
            </w:r>
          </w:p>
        </w:tc>
        <w:tc>
          <w:tcPr>
            <w:tcW w:w="320" w:type="dxa"/>
            <w:vAlign w:val="bottom"/>
          </w:tcPr>
          <w:p>
            <w:pPr>
              <w:spacing w:after="0"/>
              <w:rPr>
                <w:sz w:val="15"/>
                <w:szCs w:val="15"/>
                <w:color w:val="auto"/>
              </w:rPr>
            </w:pPr>
          </w:p>
        </w:tc>
      </w:tr>
      <w:tr>
        <w:trPr>
          <w:trHeight w:val="181"/>
        </w:trPr>
        <w:tc>
          <w:tcPr>
            <w:tcW w:w="6200" w:type="dxa"/>
            <w:vAlign w:val="bottom"/>
          </w:tcPr>
          <w:p>
            <w:pPr>
              <w:spacing w:after="0"/>
              <w:rPr>
                <w:sz w:val="15"/>
                <w:szCs w:val="15"/>
                <w:color w:val="auto"/>
              </w:rPr>
            </w:pPr>
          </w:p>
        </w:tc>
        <w:tc>
          <w:tcPr>
            <w:tcW w:w="16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April 29, 2023</w:t>
            </w:r>
          </w:p>
        </w:tc>
        <w:tc>
          <w:tcPr>
            <w:tcW w:w="280" w:type="dxa"/>
            <w:vAlign w:val="bottom"/>
          </w:tcPr>
          <w:p>
            <w:pPr>
              <w:spacing w:after="0"/>
              <w:rPr>
                <w:sz w:val="15"/>
                <w:szCs w:val="15"/>
                <w:color w:val="auto"/>
              </w:rPr>
            </w:pPr>
          </w:p>
        </w:tc>
        <w:tc>
          <w:tcPr>
            <w:tcW w:w="16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April 30, 2022</w:t>
            </w:r>
          </w:p>
        </w:tc>
        <w:tc>
          <w:tcPr>
            <w:tcW w:w="320" w:type="dxa"/>
            <w:vAlign w:val="bottom"/>
          </w:tcPr>
          <w:p>
            <w:pPr>
              <w:spacing w:after="0"/>
              <w:rPr>
                <w:sz w:val="15"/>
                <w:szCs w:val="15"/>
                <w:color w:val="auto"/>
              </w:rPr>
            </w:pPr>
          </w:p>
        </w:tc>
      </w:tr>
      <w:tr>
        <w:trPr>
          <w:trHeight w:val="169"/>
        </w:trPr>
        <w:tc>
          <w:tcPr>
            <w:tcW w:w="6200" w:type="dxa"/>
            <w:vAlign w:val="bottom"/>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4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r>
      <w:tr>
        <w:trPr>
          <w:trHeight w:val="237"/>
        </w:trPr>
        <w:tc>
          <w:tcPr>
            <w:tcW w:w="620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660" w:type="dxa"/>
            <w:vAlign w:val="bottom"/>
          </w:tcPr>
          <w:p>
            <w:pPr>
              <w:jc w:val="right"/>
              <w:spacing w:after="0"/>
              <w:rPr>
                <w:sz w:val="20"/>
                <w:szCs w:val="20"/>
                <w:color w:val="auto"/>
              </w:rPr>
            </w:pPr>
            <w:r>
              <w:rPr>
                <w:rFonts w:ascii="Arial" w:cs="Arial" w:eastAsia="Arial" w:hAnsi="Arial"/>
                <w:sz w:val="18"/>
                <w:szCs w:val="18"/>
                <w:color w:val="auto"/>
              </w:rPr>
              <w:t>62,690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64,080</w:t>
            </w:r>
          </w:p>
        </w:tc>
        <w:tc>
          <w:tcPr>
            <w:tcW w:w="320" w:type="dxa"/>
            <w:vAlign w:val="bottom"/>
          </w:tcPr>
          <w:p>
            <w:pPr>
              <w:spacing w:after="0"/>
              <w:rPr>
                <w:sz w:val="20"/>
                <w:szCs w:val="20"/>
                <w:color w:val="auto"/>
              </w:rPr>
            </w:pPr>
          </w:p>
        </w:tc>
      </w:tr>
      <w:tr>
        <w:trPr>
          <w:trHeight w:val="249"/>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Common stock equivalents – stock options, restricted stock units and deferred stock</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3,626</w:t>
            </w:r>
          </w:p>
        </w:tc>
        <w:tc>
          <w:tcPr>
            <w:tcW w:w="28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4,290</w:t>
            </w:r>
          </w:p>
        </w:tc>
        <w:tc>
          <w:tcPr>
            <w:tcW w:w="320" w:type="dxa"/>
            <w:vAlign w:val="bottom"/>
            <w:tcBorders>
              <w:bottom w:val="single" w:sz="8" w:color="CFF0FC"/>
            </w:tcBorders>
            <w:shd w:val="clear" w:color="auto" w:fill="CFF0FC"/>
          </w:tcPr>
          <w:p>
            <w:pPr>
              <w:spacing w:after="0"/>
              <w:rPr>
                <w:sz w:val="21"/>
                <w:szCs w:val="21"/>
                <w:color w:val="auto"/>
              </w:rPr>
            </w:pPr>
          </w:p>
        </w:tc>
      </w:tr>
      <w:tr>
        <w:trPr>
          <w:trHeight w:val="224"/>
        </w:trPr>
        <w:tc>
          <w:tcPr>
            <w:tcW w:w="620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660" w:type="dxa"/>
            <w:vAlign w:val="bottom"/>
          </w:tcPr>
          <w:p>
            <w:pPr>
              <w:jc w:val="right"/>
              <w:spacing w:after="0"/>
              <w:rPr>
                <w:sz w:val="20"/>
                <w:szCs w:val="20"/>
                <w:color w:val="auto"/>
              </w:rPr>
            </w:pPr>
            <w:r>
              <w:rPr>
                <w:rFonts w:ascii="Arial" w:cs="Arial" w:eastAsia="Arial" w:hAnsi="Arial"/>
                <w:sz w:val="18"/>
                <w:szCs w:val="18"/>
                <w:color w:val="auto"/>
              </w:rPr>
              <w:t>66,316</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68,370</w:t>
            </w:r>
          </w:p>
        </w:tc>
        <w:tc>
          <w:tcPr>
            <w:tcW w:w="3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-154305</wp:posOffset>
            </wp:positionV>
            <wp:extent cx="76835"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-154305</wp:posOffset>
            </wp:positionV>
            <wp:extent cx="8572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or restricted stock units had an anti-dilutive effect.</w:t>
      </w:r>
    </w:p>
    <w:p>
      <w:pPr>
        <w:spacing w:after="0" w:line="220" w:lineRule="exact"/>
        <w:rPr>
          <w:sz w:val="20"/>
          <w:szCs w:val="20"/>
          <w:color w:val="auto"/>
        </w:rPr>
      </w:pPr>
    </w:p>
    <w:tbl>
      <w:tblPr>
        <w:tblLayout w:type="fixed"/>
        <w:tblInd w:w="400" w:type="dxa"/>
        <w:tblCellMar>
          <w:top w:w="0" w:type="dxa"/>
          <w:left w:w="0" w:type="dxa"/>
          <w:bottom w:w="0" w:type="dxa"/>
          <w:right w:w="0" w:type="dxa"/>
        </w:tblCellMar>
      </w:tblPr>
      <w:tr>
        <w:trPr>
          <w:trHeight w:val="176"/>
        </w:trPr>
        <w:tc>
          <w:tcPr>
            <w:tcW w:w="6420" w:type="dxa"/>
            <w:vAlign w:val="bottom"/>
          </w:tcPr>
          <w:p>
            <w:pPr>
              <w:spacing w:after="0"/>
              <w:rPr>
                <w:sz w:val="15"/>
                <w:szCs w:val="15"/>
                <w:color w:val="auto"/>
              </w:rPr>
            </w:pPr>
          </w:p>
        </w:tc>
        <w:tc>
          <w:tcPr>
            <w:tcW w:w="3700" w:type="dxa"/>
            <w:vAlign w:val="bottom"/>
            <w:gridSpan w:val="3"/>
          </w:tcPr>
          <w:p>
            <w:pPr>
              <w:jc w:val="right"/>
              <w:ind w:right="988"/>
              <w:spacing w:after="0"/>
              <w:rPr>
                <w:sz w:val="20"/>
                <w:szCs w:val="20"/>
                <w:color w:val="auto"/>
              </w:rPr>
            </w:pPr>
            <w:r>
              <w:rPr>
                <w:rFonts w:ascii="Arial" w:cs="Arial" w:eastAsia="Arial" w:hAnsi="Arial"/>
                <w:sz w:val="14"/>
                <w:szCs w:val="14"/>
                <w:color w:val="auto"/>
              </w:rPr>
              <w:t>For the three months ended</w:t>
            </w:r>
          </w:p>
        </w:tc>
        <w:tc>
          <w:tcPr>
            <w:tcW w:w="320" w:type="dxa"/>
            <w:vAlign w:val="bottom"/>
          </w:tcPr>
          <w:p>
            <w:pPr>
              <w:spacing w:after="0"/>
              <w:rPr>
                <w:sz w:val="15"/>
                <w:szCs w:val="15"/>
                <w:color w:val="auto"/>
              </w:rPr>
            </w:pPr>
          </w:p>
        </w:tc>
      </w:tr>
      <w:tr>
        <w:trPr>
          <w:trHeight w:val="181"/>
        </w:trPr>
        <w:tc>
          <w:tcPr>
            <w:tcW w:w="6420" w:type="dxa"/>
            <w:vAlign w:val="bottom"/>
          </w:tcPr>
          <w:p>
            <w:pPr>
              <w:spacing w:after="0"/>
              <w:rPr>
                <w:sz w:val="15"/>
                <w:szCs w:val="15"/>
                <w:color w:val="auto"/>
              </w:rPr>
            </w:pPr>
          </w:p>
        </w:tc>
        <w:tc>
          <w:tcPr>
            <w:tcW w:w="17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April 29, 2023</w:t>
            </w:r>
          </w:p>
        </w:tc>
        <w:tc>
          <w:tcPr>
            <w:tcW w:w="260" w:type="dxa"/>
            <w:vAlign w:val="bottom"/>
          </w:tcPr>
          <w:p>
            <w:pPr>
              <w:spacing w:after="0"/>
              <w:rPr>
                <w:sz w:val="15"/>
                <w:szCs w:val="15"/>
                <w:color w:val="auto"/>
              </w:rPr>
            </w:pPr>
          </w:p>
        </w:tc>
        <w:tc>
          <w:tcPr>
            <w:tcW w:w="1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April 30, 2022</w:t>
            </w:r>
          </w:p>
        </w:tc>
        <w:tc>
          <w:tcPr>
            <w:tcW w:w="320" w:type="dxa"/>
            <w:vAlign w:val="bottom"/>
          </w:tcPr>
          <w:p>
            <w:pPr>
              <w:spacing w:after="0"/>
              <w:rPr>
                <w:sz w:val="15"/>
                <w:szCs w:val="15"/>
                <w:color w:val="auto"/>
              </w:rPr>
            </w:pPr>
          </w:p>
        </w:tc>
      </w:tr>
      <w:tr>
        <w:trPr>
          <w:trHeight w:val="183"/>
        </w:trPr>
        <w:tc>
          <w:tcPr>
            <w:tcW w:w="64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exercise prices)</w:t>
            </w: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43"/>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CFF0FC"/>
          </w:tcPr>
          <w:p>
            <w:pPr>
              <w:spacing w:after="0"/>
              <w:rPr>
                <w:sz w:val="21"/>
                <w:szCs w:val="21"/>
                <w:color w:val="auto"/>
              </w:rPr>
            </w:pPr>
          </w:p>
        </w:tc>
      </w:tr>
      <w:tr>
        <w:trPr>
          <w:trHeight w:val="237"/>
        </w:trPr>
        <w:tc>
          <w:tcPr>
            <w:tcW w:w="64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720" w:type="dxa"/>
            <w:vAlign w:val="bottom"/>
          </w:tcPr>
          <w:p>
            <w:pPr>
              <w:jc w:val="right"/>
              <w:spacing w:after="0"/>
              <w:rPr>
                <w:sz w:val="20"/>
                <w:szCs w:val="20"/>
                <w:color w:val="auto"/>
              </w:rPr>
            </w:pPr>
            <w:r>
              <w:rPr>
                <w:rFonts w:ascii="Arial" w:cs="Arial" w:eastAsia="Arial" w:hAnsi="Arial"/>
                <w:sz w:val="18"/>
                <w:szCs w:val="18"/>
                <w:color w:val="auto"/>
              </w:rPr>
              <w:t>9</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494</w:t>
            </w:r>
          </w:p>
        </w:tc>
        <w:tc>
          <w:tcPr>
            <w:tcW w:w="320" w:type="dxa"/>
            <w:vAlign w:val="bottom"/>
          </w:tcPr>
          <w:p>
            <w:pPr>
              <w:spacing w:after="0"/>
              <w:rPr>
                <w:sz w:val="20"/>
                <w:szCs w:val="20"/>
                <w:color w:val="auto"/>
              </w:rPr>
            </w:pPr>
          </w:p>
        </w:tc>
      </w:tr>
      <w:tr>
        <w:trPr>
          <w:trHeight w:val="249"/>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Range of exercise prices of such options</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$4.48-$7.43</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$4.87 - $5.50</w:t>
            </w:r>
          </w:p>
        </w:tc>
        <w:tc>
          <w:tcPr>
            <w:tcW w:w="32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April 29, 2023, expire from April 3, 2032 to March 20, 2033.</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Deferred stock of 435,568 shares at April 29, 2023 and at April 30, 2022 was excluded from the computation of basic earnings per share. Shares of deferred stock are not considered issued and outstanding until the vesting date of the deferral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 Program</w:t>
      </w:r>
    </w:p>
    <w:p>
      <w:pPr>
        <w:spacing w:after="0" w:line="121" w:lineRule="exact"/>
        <w:rPr>
          <w:sz w:val="20"/>
          <w:szCs w:val="20"/>
          <w:color w:val="auto"/>
        </w:rPr>
      </w:pPr>
    </w:p>
    <w:p>
      <w:pPr>
        <w:jc w:val="both"/>
        <w:ind w:right="100"/>
        <w:spacing w:after="0" w:line="279" w:lineRule="auto"/>
        <w:rPr>
          <w:sz w:val="20"/>
          <w:szCs w:val="20"/>
          <w:color w:val="auto"/>
        </w:rPr>
      </w:pPr>
      <w:r>
        <w:rPr>
          <w:rFonts w:ascii="Arial" w:cs="Arial" w:eastAsia="Arial" w:hAnsi="Arial"/>
          <w:sz w:val="17"/>
          <w:szCs w:val="17"/>
          <w:color w:val="auto"/>
        </w:rPr>
        <w:t>On March 14, 2023, the Company's Board of Directors approved a stock repurchase program, effective March 16, 2023. Under the program, the Company is authorized to repurchase up to $15.0 million of its common stock through open market and privately negotiated transactions. The timing and the amount of any repurchases of common stock will be determined based on the Company’s evaluation of market conditions and other factors. The stock repurchase program will expire on March 16, 2024, but may be suspended, terminated or modified at any time for any reason.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repurchases during the first quarter of fiscal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quarter of fiscal 2022, the Company’s effective tax rate was reduced from the statutory rate due to the utilization of the Company’s fully reserved net operating loss carryforwards. Then in the second quarter of fiscal 2022, the Company determined that it was more likely than not that it would be able to realize the benefits of substantially all of its deferred tax assets in the United States. Accordingly, in the second quarter of fiscal 2022, the Company released substantially all of its deferred tax valuation allowance. As a result of the valuation allowance being released, the Company has returned to a normal tax provision for fiscal 2023. For the first quarter of fiscal 2023, the Company’s effective tax rate was 26.6% compared to 0.8% for the first quarter of fiscal 2022.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made no tax payments for the first three months of fiscal 2023 and fiscal 2022,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w:t>
      </w:r>
      <w:r>
        <w:rPr>
          <w:rFonts w:ascii="Arial" w:cs="Arial" w:eastAsia="Arial" w:hAnsi="Arial"/>
          <w:sz w:val="18"/>
          <w:szCs w:val="18"/>
          <w:b w:val="1"/>
          <w:bCs w:val="1"/>
          <w:color w:val="auto"/>
        </w:rPr>
        <w:t xml:space="preserve"> Fair Value Measurement</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At April 29, 2023, the Company held U.S. treasury bills which were classified as held-to maturity and carried at amortized cost. The Company had no investments at April 30, 2022.</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7"/>
        </w:trPr>
        <w:tc>
          <w:tcPr>
            <w:tcW w:w="39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00" w:type="dxa"/>
            <w:vAlign w:val="bottom"/>
            <w:tcBorders>
              <w:bottom w:val="single" w:sz="8" w:color="auto"/>
            </w:tcBorders>
            <w:gridSpan w:val="4"/>
          </w:tcPr>
          <w:p>
            <w:pPr>
              <w:ind w:left="1680"/>
              <w:spacing w:after="0"/>
              <w:rPr>
                <w:sz w:val="20"/>
                <w:szCs w:val="20"/>
                <w:color w:val="auto"/>
              </w:rPr>
            </w:pPr>
            <w:r>
              <w:rPr>
                <w:rFonts w:ascii="Arial" w:cs="Arial" w:eastAsia="Arial" w:hAnsi="Arial"/>
                <w:sz w:val="18"/>
                <w:szCs w:val="18"/>
                <w:color w:val="auto"/>
              </w:rPr>
              <w:t>Fair Value at April 29, 2023</w:t>
            </w:r>
          </w:p>
        </w:tc>
        <w:tc>
          <w:tcPr>
            <w:tcW w:w="14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215"/>
        </w:trPr>
        <w:tc>
          <w:tcPr>
            <w:tcW w:w="3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Quoted Prices</w:t>
            </w: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6"/>
              </w:rPr>
              <w:t>in Active</w:t>
            </w:r>
          </w:p>
        </w:tc>
        <w:tc>
          <w:tcPr>
            <w:tcW w:w="300" w:type="dxa"/>
            <w:vAlign w:val="bottom"/>
          </w:tcPr>
          <w:p>
            <w:pPr>
              <w:spacing w:after="0"/>
              <w:rPr>
                <w:sz w:val="18"/>
                <w:szCs w:val="18"/>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Significant</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3"/>
              </w:rPr>
              <w:t>Markets for</w:t>
            </w:r>
          </w:p>
        </w:tc>
        <w:tc>
          <w:tcPr>
            <w:tcW w:w="300" w:type="dxa"/>
            <w:vAlign w:val="bottom"/>
          </w:tcPr>
          <w:p>
            <w:pPr>
              <w:spacing w:after="0"/>
              <w:rPr>
                <w:sz w:val="18"/>
                <w:szCs w:val="18"/>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Observable</w:t>
            </w:r>
          </w:p>
        </w:tc>
        <w:tc>
          <w:tcPr>
            <w:tcW w:w="1460" w:type="dxa"/>
            <w:vAlign w:val="bottom"/>
          </w:tcPr>
          <w:p>
            <w:pPr>
              <w:ind w:left="320"/>
              <w:spacing w:after="0"/>
              <w:rPr>
                <w:sz w:val="20"/>
                <w:szCs w:val="20"/>
                <w:color w:val="auto"/>
              </w:rPr>
            </w:pPr>
            <w:r>
              <w:rPr>
                <w:rFonts w:ascii="Arial" w:cs="Arial" w:eastAsia="Arial" w:hAnsi="Arial"/>
                <w:sz w:val="18"/>
                <w:szCs w:val="18"/>
                <w:color w:val="auto"/>
              </w:rPr>
              <w:t>Significant</w:t>
            </w:r>
          </w:p>
        </w:tc>
        <w:tc>
          <w:tcPr>
            <w:tcW w:w="36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Identical Assets</w:t>
            </w:r>
          </w:p>
        </w:tc>
        <w:tc>
          <w:tcPr>
            <w:tcW w:w="300" w:type="dxa"/>
            <w:vAlign w:val="bottom"/>
          </w:tcPr>
          <w:p>
            <w:pPr>
              <w:spacing w:after="0"/>
              <w:rPr>
                <w:sz w:val="18"/>
                <w:szCs w:val="18"/>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Inputs</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Unobservable</w:t>
            </w:r>
          </w:p>
        </w:tc>
        <w:tc>
          <w:tcPr>
            <w:tcW w:w="360" w:type="dxa"/>
            <w:vAlign w:val="bottom"/>
          </w:tcPr>
          <w:p>
            <w:pPr>
              <w:spacing w:after="0"/>
              <w:rPr>
                <w:sz w:val="18"/>
                <w:szCs w:val="18"/>
                <w:color w:val="auto"/>
              </w:rPr>
            </w:pPr>
          </w:p>
        </w:tc>
      </w:tr>
      <w:tr>
        <w:trPr>
          <w:trHeight w:val="244"/>
        </w:trPr>
        <w:tc>
          <w:tcPr>
            <w:tcW w:w="392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1600" w:type="dxa"/>
            <w:vAlign w:val="bottom"/>
            <w:gridSpan w:val="2"/>
          </w:tcPr>
          <w:p>
            <w:pPr>
              <w:ind w:left="120"/>
              <w:spacing w:after="0"/>
              <w:rPr>
                <w:sz w:val="20"/>
                <w:szCs w:val="20"/>
                <w:color w:val="auto"/>
              </w:rPr>
            </w:pPr>
            <w:r>
              <w:rPr>
                <w:rFonts w:ascii="Arial" w:cs="Arial" w:eastAsia="Arial" w:hAnsi="Arial"/>
                <w:sz w:val="18"/>
                <w:szCs w:val="18"/>
                <w:color w:val="auto"/>
              </w:rPr>
              <w:t>Carrying value</w:t>
            </w:r>
          </w:p>
        </w:tc>
        <w:tc>
          <w:tcPr>
            <w:tcW w:w="1780" w:type="dxa"/>
            <w:vAlign w:val="bottom"/>
          </w:tcPr>
          <w:p>
            <w:pPr>
              <w:jc w:val="center"/>
              <w:spacing w:after="0"/>
              <w:rPr>
                <w:sz w:val="20"/>
                <w:szCs w:val="20"/>
                <w:color w:val="auto"/>
              </w:rPr>
            </w:pPr>
            <w:r>
              <w:rPr>
                <w:rFonts w:ascii="Arial" w:cs="Arial" w:eastAsia="Arial" w:hAnsi="Arial"/>
                <w:sz w:val="18"/>
                <w:szCs w:val="18"/>
                <w:color w:val="auto"/>
                <w:w w:val="94"/>
              </w:rPr>
              <w:t>(Level 1)</w:t>
            </w:r>
          </w:p>
        </w:tc>
        <w:tc>
          <w:tcPr>
            <w:tcW w:w="300" w:type="dxa"/>
            <w:vAlign w:val="bottom"/>
          </w:tcPr>
          <w:p>
            <w:pPr>
              <w:spacing w:after="0"/>
              <w:rPr>
                <w:sz w:val="21"/>
                <w:szCs w:val="21"/>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(Level 2)</w:t>
            </w: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Inputs (Level 3)</w:t>
            </w:r>
          </w:p>
        </w:tc>
        <w:tc>
          <w:tcPr>
            <w:tcW w:w="360" w:type="dxa"/>
            <w:vAlign w:val="bottom"/>
          </w:tcPr>
          <w:p>
            <w:pPr>
              <w:spacing w:after="0"/>
              <w:rPr>
                <w:sz w:val="21"/>
                <w:szCs w:val="21"/>
                <w:color w:val="auto"/>
              </w:rPr>
            </w:pPr>
          </w:p>
        </w:tc>
      </w:tr>
      <w:tr>
        <w:trPr>
          <w:trHeight w:val="237"/>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equivalents:</w:t>
            </w:r>
          </w:p>
        </w:tc>
        <w:tc>
          <w:tcPr>
            <w:tcW w:w="13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r>
      <w:tr>
        <w:trPr>
          <w:trHeight w:val="237"/>
        </w:trPr>
        <w:tc>
          <w:tcPr>
            <w:tcW w:w="3920" w:type="dxa"/>
            <w:vAlign w:val="bottom"/>
          </w:tcPr>
          <w:p>
            <w:pPr>
              <w:ind w:left="200"/>
              <w:spacing w:after="0"/>
              <w:rPr>
                <w:sz w:val="20"/>
                <w:szCs w:val="20"/>
                <w:color w:val="auto"/>
              </w:rPr>
            </w:pPr>
            <w:r>
              <w:rPr>
                <w:rFonts w:ascii="Arial" w:cs="Arial" w:eastAsia="Arial" w:hAnsi="Arial"/>
                <w:sz w:val="18"/>
                <w:szCs w:val="18"/>
                <w:color w:val="auto"/>
              </w:rPr>
              <w:t>U.S. Treasury Bills</w:t>
            </w:r>
          </w:p>
        </w:tc>
        <w:tc>
          <w:tcPr>
            <w:tcW w:w="1320" w:type="dxa"/>
            <w:vAlign w:val="bottom"/>
          </w:tcPr>
          <w:p>
            <w:pPr>
              <w:jc w:val="right"/>
              <w:spacing w:after="0"/>
              <w:rPr>
                <w:sz w:val="20"/>
                <w:szCs w:val="20"/>
                <w:color w:val="auto"/>
              </w:rPr>
            </w:pPr>
            <w:r>
              <w:rPr>
                <w:rFonts w:ascii="Arial" w:cs="Arial" w:eastAsia="Arial" w:hAnsi="Arial"/>
                <w:sz w:val="18"/>
                <w:szCs w:val="18"/>
                <w:color w:val="auto"/>
              </w:rPr>
              <w:t>13,120</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13,146</w:t>
            </w:r>
          </w:p>
        </w:tc>
        <w:tc>
          <w:tcPr>
            <w:tcW w:w="300" w:type="dxa"/>
            <w:vAlign w:val="bottom"/>
          </w:tcPr>
          <w:p>
            <w:pPr>
              <w:spacing w:after="0"/>
              <w:rPr>
                <w:sz w:val="20"/>
                <w:szCs w:val="20"/>
                <w:color w:val="auto"/>
              </w:rPr>
            </w:pPr>
          </w:p>
        </w:tc>
        <w:tc>
          <w:tcPr>
            <w:tcW w:w="18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460" w:type="dxa"/>
            <w:vAlign w:val="bottom"/>
          </w:tcPr>
          <w:p>
            <w:pPr>
              <w:ind w:left="12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20"/>
                <w:szCs w:val="20"/>
                <w:color w:val="auto"/>
              </w:rPr>
            </w:pPr>
          </w:p>
        </w:tc>
      </w:tr>
      <w:tr>
        <w:trPr>
          <w:trHeight w:val="249"/>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r>
      <w:tr>
        <w:trPr>
          <w:trHeight w:val="230"/>
        </w:trPr>
        <w:tc>
          <w:tcPr>
            <w:tcW w:w="3920" w:type="dxa"/>
            <w:vAlign w:val="bottom"/>
          </w:tcPr>
          <w:p>
            <w:pPr>
              <w:ind w:left="200"/>
              <w:spacing w:after="0"/>
              <w:rPr>
                <w:sz w:val="20"/>
                <w:szCs w:val="20"/>
                <w:color w:val="auto"/>
              </w:rPr>
            </w:pPr>
            <w:r>
              <w:rPr>
                <w:rFonts w:ascii="Arial" w:cs="Arial" w:eastAsia="Arial" w:hAnsi="Arial"/>
                <w:sz w:val="18"/>
                <w:szCs w:val="18"/>
                <w:color w:val="auto"/>
              </w:rPr>
              <w:t>U.S. Treasury Bills</w:t>
            </w:r>
          </w:p>
        </w:tc>
        <w:tc>
          <w:tcPr>
            <w:tcW w:w="1320" w:type="dxa"/>
            <w:vAlign w:val="bottom"/>
          </w:tcPr>
          <w:p>
            <w:pPr>
              <w:jc w:val="right"/>
              <w:spacing w:after="0"/>
              <w:rPr>
                <w:sz w:val="20"/>
                <w:szCs w:val="20"/>
                <w:color w:val="auto"/>
              </w:rPr>
            </w:pPr>
            <w:r>
              <w:rPr>
                <w:rFonts w:ascii="Arial" w:cs="Arial" w:eastAsia="Arial" w:hAnsi="Arial"/>
                <w:sz w:val="18"/>
                <w:szCs w:val="18"/>
                <w:color w:val="auto"/>
              </w:rPr>
              <w:t>16,064</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16,061</w:t>
            </w:r>
          </w:p>
        </w:tc>
        <w:tc>
          <w:tcPr>
            <w:tcW w:w="300" w:type="dxa"/>
            <w:vAlign w:val="bottom"/>
          </w:tcPr>
          <w:p>
            <w:pPr>
              <w:spacing w:after="0"/>
              <w:rPr>
                <w:sz w:val="20"/>
                <w:szCs w:val="20"/>
                <w:color w:val="auto"/>
              </w:rPr>
            </w:pPr>
          </w:p>
        </w:tc>
        <w:tc>
          <w:tcPr>
            <w:tcW w:w="18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460" w:type="dxa"/>
            <w:vAlign w:val="bottom"/>
          </w:tcPr>
          <w:p>
            <w:pPr>
              <w:ind w:left="12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20"/>
                <w:szCs w:val="20"/>
                <w:color w:val="auto"/>
              </w:rPr>
            </w:pPr>
          </w:p>
        </w:tc>
      </w:tr>
      <w:tr>
        <w:trPr>
          <w:trHeight w:val="661"/>
        </w:trPr>
        <w:tc>
          <w:tcPr>
            <w:tcW w:w="3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ind w:right="1490"/>
              <w:spacing w:after="0"/>
              <w:rPr>
                <w:sz w:val="20"/>
                <w:szCs w:val="20"/>
                <w:color w:val="auto"/>
              </w:rPr>
            </w:pPr>
            <w:r>
              <w:rPr>
                <w:rFonts w:ascii="Arial" w:cs="Arial" w:eastAsia="Arial" w:hAnsi="Arial"/>
                <w:sz w:val="18"/>
                <w:szCs w:val="18"/>
                <w:color w:val="auto"/>
                <w:w w:val="89"/>
              </w:rPr>
              <w:t>17</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expectations with respect to the impact of our brand re-positioning efforts on sales, strategic initiatives to grow our business, expected marketing costs in 2023, gross margin rates in 2023, expected capital expenditures in 2023, expected timing of stock repurchases under our board-approved stock repurchase program, and our plans with respect to our store portfolio, including anticipated re-brandings and new stores.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28, 2023, included in our Annual Report on Form 10-K for the year ended January 28, 2023, as filed with the Securities and Exchange Commission on March 16, 2023 (our “Fiscal 2022 Annual Report”).</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Numerous factors could cause our actual results to differ materially from such forward-looking statements. This discussion sets forth certain risks and uncertainties that may have an impact on future results and direction of our Company, including, without limitation, risks related to inflationary pressures, the failure of the U.S. federal government to avoid a default and potential federal government shutdown, changes in consumer spending in response to the economy, increased labor costs, the continuing economic impact of the war in Ukraine, our ability to manage appropriate inventory levels, our ability to successfully execute on our corporate strategy, our ability to predict customer tastes and fashion trends, our ability to grow market share, and the other risks and uncertainties set forth in the “Risk Factors” section in Part I, Item 1A of our Fiscal 2022 Annual Report.</w:t>
      </w:r>
    </w:p>
    <w:p>
      <w:pPr>
        <w:spacing w:after="0" w:line="1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Destination XL Group, Inc., together with our consolidated subsidiaries (the “Company”), is the largest specialty retailer of big and tall men’s clothing with</w:t>
      </w:r>
    </w:p>
    <w:p>
      <w:pPr>
        <w:spacing w:after="0" w:line="46"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retail and direct operations in the United States. We operate under the trade names of Destination XL</w:t>
      </w:r>
      <w:r>
        <w:rPr>
          <w:rFonts w:ascii="Arial" w:cs="Arial" w:eastAsia="Arial" w:hAnsi="Arial"/>
          <w:sz w:val="21"/>
          <w:szCs w:val="21"/>
          <w:color w:val="auto"/>
          <w:vertAlign w:val="superscript"/>
        </w:rPr>
        <w:t>®</w:t>
      </w:r>
      <w:r>
        <w:rPr>
          <w:rFonts w:ascii="Arial" w:cs="Arial" w:eastAsia="Arial" w:hAnsi="Arial"/>
          <w:sz w:val="18"/>
          <w:szCs w:val="18"/>
          <w:color w:val="auto"/>
        </w:rPr>
        <w:t>, DXL</w:t>
      </w:r>
      <w:r>
        <w:rPr>
          <w:rFonts w:ascii="Arial" w:cs="Arial" w:eastAsia="Arial" w:hAnsi="Arial"/>
          <w:sz w:val="21"/>
          <w:szCs w:val="21"/>
          <w:color w:val="auto"/>
          <w:vertAlign w:val="superscript"/>
        </w:rPr>
        <w:t>®</w:t>
      </w:r>
      <w:r>
        <w:rPr>
          <w:rFonts w:ascii="Arial" w:cs="Arial" w:eastAsia="Arial" w:hAnsi="Arial"/>
          <w:sz w:val="18"/>
          <w:szCs w:val="18"/>
          <w:color w:val="auto"/>
        </w:rPr>
        <w:t>, DXL Outlets, Casual Male XL</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Casual Male XL Outlets. At April 29, 2023, we operated 218 Destination XL stores, 16 DXL outlet stores, 28 Casual Male XL retail stores, 19 Casual Male XL outlet stores and a digital business, including an e-commerce site at dxl.com and a mobile site, m.destinationXL.com, mobile app and third-party marketplaces.</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February 3, 2024, January 28, 2023 and January 29, 2022 as "fiscal 2023", “fiscal 2022,” and “fiscal 2021” respectively. Fiscal 2023 is a 53-week period and fiscal 2022 and fiscal 2021 were 52-week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currently have two principal operating segments: our stores and direct business. We consider our stores and direct business segments to be similar in terms of economic characteristics, production processes and operations, and have therefore aggregated them into one reportable segment, retail segment, consistent with our omni-channel business approach.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customer’s shopping experience continues to evolve across multiple channels, and we are continually adapting to meet the guest’s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and at curbside. We define store sales as sales that originate and are fulfilled directly at the store level.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ind w:right="220"/>
        <w:spacing w:after="0" w:line="277" w:lineRule="auto"/>
        <w:rPr>
          <w:sz w:val="20"/>
          <w:szCs w:val="20"/>
          <w:color w:val="auto"/>
        </w:rPr>
      </w:pPr>
      <w:r>
        <w:rPr>
          <w:rFonts w:ascii="Arial" w:cs="Arial" w:eastAsia="Arial" w:hAnsi="Arial"/>
          <w:sz w:val="18"/>
          <w:szCs w:val="18"/>
          <w:color w:val="auto"/>
        </w:rPr>
        <w:t>Digital commerce sales, which we also refer to as direct sales, are defined as sales that originate online, whether through our website, at the store level or through a third-party marketplace.</w:t>
      </w:r>
    </w:p>
    <w:p>
      <w:pPr>
        <w:spacing w:after="0" w:line="170"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Stores that have been open for at least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is temporarily closed for more than 7 days, it is removed from the calculation of comparable sales until it reopens and upon its anniversary is once again removed from the calculation until the reopen date. The method of calculating comparable sales varies across the retail industry and, as a result, our calculation of comparable sales is not necessarily comparable to similarly titled measures reported by other retailers.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300" w:type="dxa"/>
            <w:vAlign w:val="bottom"/>
            <w:gridSpan w:val="3"/>
          </w:tcPr>
          <w:p>
            <w:pPr>
              <w:jc w:val="right"/>
              <w:ind w:right="628"/>
              <w:spacing w:after="0"/>
              <w:rPr>
                <w:sz w:val="20"/>
                <w:szCs w:val="20"/>
                <w:color w:val="auto"/>
              </w:rPr>
            </w:pPr>
            <w:r>
              <w:rPr>
                <w:rFonts w:ascii="Arial" w:cs="Arial" w:eastAsia="Arial" w:hAnsi="Arial"/>
                <w:sz w:val="14"/>
                <w:szCs w:val="14"/>
                <w:color w:val="auto"/>
                <w:w w:val="91"/>
              </w:rPr>
              <w:t>For the three months ended</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April 29, 2023</w:t>
            </w:r>
          </w:p>
        </w:tc>
        <w:tc>
          <w:tcPr>
            <w:tcW w:w="4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April 30, 2022</w:t>
            </w: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49"/>
        </w:trPr>
        <w:tc>
          <w:tcPr>
            <w:tcW w:w="20" w:type="dxa"/>
            <w:vAlign w:val="bottom"/>
            <w:tcBorders>
              <w:bottom w:val="single" w:sz="8" w:color="CFF0FC"/>
            </w:tcBorders>
            <w:shd w:val="clear" w:color="auto" w:fill="CFF0FC"/>
          </w:tcPr>
          <w:p>
            <w:pPr>
              <w:spacing w:after="0"/>
              <w:rPr>
                <w:sz w:val="12"/>
                <w:szCs w:val="12"/>
                <w:color w:val="auto"/>
              </w:rPr>
            </w:pPr>
          </w:p>
        </w:tc>
        <w:tc>
          <w:tcPr>
            <w:tcW w:w="3420" w:type="dxa"/>
            <w:vAlign w:val="bottom"/>
            <w:tcBorders>
              <w:bottom w:val="single" w:sz="8" w:color="auto"/>
            </w:tcBorders>
            <w:gridSpan w:val="2"/>
            <w:shd w:val="clear" w:color="auto" w:fill="CFF0FC"/>
          </w:tcPr>
          <w:p>
            <w:pPr>
              <w:spacing w:after="0" w:line="142" w:lineRule="exact"/>
              <w:rPr>
                <w:sz w:val="20"/>
                <w:szCs w:val="20"/>
                <w:color w:val="auto"/>
              </w:rPr>
            </w:pPr>
            <w:r>
              <w:rPr>
                <w:rFonts w:ascii="Arial" w:cs="Arial" w:eastAsia="Arial" w:hAnsi="Arial"/>
                <w:sz w:val="14"/>
                <w:szCs w:val="14"/>
                <w:i w:val="1"/>
                <w:iCs w:val="1"/>
                <w:color w:val="auto"/>
                <w:w w:val="92"/>
              </w:rPr>
              <w:t>(in millions, except percentage of sales and per share data)</w:t>
            </w:r>
          </w:p>
        </w:tc>
        <w:tc>
          <w:tcPr>
            <w:tcW w:w="344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CFF0FC"/>
            </w:tcBorders>
            <w:shd w:val="clear" w:color="auto" w:fill="CFF0FC"/>
          </w:tcPr>
          <w:p>
            <w:pPr>
              <w:spacing w:after="0"/>
              <w:rPr>
                <w:sz w:val="12"/>
                <w:szCs w:val="12"/>
                <w:color w:val="auto"/>
              </w:rPr>
            </w:pPr>
          </w:p>
        </w:tc>
        <w:tc>
          <w:tcPr>
            <w:tcW w:w="140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r>
      <w:tr>
        <w:trPr>
          <w:trHeight w:val="175"/>
        </w:trPr>
        <w:tc>
          <w:tcPr>
            <w:tcW w:w="6880" w:type="dxa"/>
            <w:vAlign w:val="bottom"/>
            <w:gridSpan w:val="4"/>
          </w:tcPr>
          <w:p>
            <w:pPr>
              <w:ind w:left="20"/>
              <w:spacing w:after="0"/>
              <w:rPr>
                <w:sz w:val="20"/>
                <w:szCs w:val="20"/>
                <w:color w:val="auto"/>
              </w:rPr>
            </w:pPr>
            <w:r>
              <w:rPr>
                <w:rFonts w:ascii="Arial" w:cs="Arial" w:eastAsia="Arial" w:hAnsi="Arial"/>
                <w:sz w:val="14"/>
                <w:szCs w:val="14"/>
                <w:color w:val="auto"/>
              </w:rPr>
              <w:t>Sales</w:t>
            </w:r>
          </w:p>
        </w:tc>
        <w:tc>
          <w:tcPr>
            <w:tcW w:w="1360" w:type="dxa"/>
            <w:vAlign w:val="bottom"/>
          </w:tcPr>
          <w:p>
            <w:pPr>
              <w:jc w:val="right"/>
              <w:ind w:right="120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125.4</w:t>
            </w:r>
          </w:p>
        </w:tc>
        <w:tc>
          <w:tcPr>
            <w:tcW w:w="420" w:type="dxa"/>
            <w:vAlign w:val="bottom"/>
          </w:tcPr>
          <w:p>
            <w:pPr>
              <w:spacing w:after="0"/>
              <w:rPr>
                <w:sz w:val="15"/>
                <w:szCs w:val="15"/>
                <w:color w:val="auto"/>
              </w:rPr>
            </w:pPr>
          </w:p>
        </w:tc>
        <w:tc>
          <w:tcPr>
            <w:tcW w:w="1400" w:type="dxa"/>
            <w:vAlign w:val="bottom"/>
          </w:tcPr>
          <w:p>
            <w:pPr>
              <w:jc w:val="right"/>
              <w:ind w:right="124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127.7</w:t>
            </w:r>
          </w:p>
        </w:tc>
        <w:tc>
          <w:tcPr>
            <w:tcW w:w="260" w:type="dxa"/>
            <w:vAlign w:val="bottom"/>
          </w:tcPr>
          <w:p>
            <w:pPr>
              <w:spacing w:after="0"/>
              <w:rPr>
                <w:sz w:val="15"/>
                <w:szCs w:val="15"/>
                <w:color w:val="auto"/>
              </w:rPr>
            </w:pPr>
          </w:p>
        </w:tc>
      </w:tr>
      <w:tr>
        <w:trPr>
          <w:trHeight w:val="176"/>
        </w:trPr>
        <w:tc>
          <w:tcPr>
            <w:tcW w:w="688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1360" w:type="dxa"/>
            <w:vAlign w:val="bottom"/>
            <w:shd w:val="clear" w:color="auto" w:fill="CFF0FC"/>
          </w:tcPr>
          <w:p>
            <w:pPr>
              <w:jc w:val="right"/>
              <w:ind w:right="12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4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124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260" w:type="dxa"/>
            <w:vAlign w:val="bottom"/>
            <w:shd w:val="clear" w:color="auto" w:fill="CFF0FC"/>
          </w:tcPr>
          <w:p>
            <w:pPr>
              <w:spacing w:after="0"/>
              <w:rPr>
                <w:sz w:val="15"/>
                <w:szCs w:val="15"/>
                <w:color w:val="auto"/>
              </w:rPr>
            </w:pPr>
          </w:p>
        </w:tc>
      </w:tr>
      <w:tr>
        <w:trPr>
          <w:trHeight w:val="175"/>
        </w:trPr>
        <w:tc>
          <w:tcPr>
            <w:tcW w:w="6880" w:type="dxa"/>
            <w:vAlign w:val="bottom"/>
            <w:gridSpan w:val="4"/>
          </w:tcPr>
          <w:p>
            <w:pPr>
              <w:ind w:left="20"/>
              <w:spacing w:after="0"/>
              <w:rPr>
                <w:sz w:val="20"/>
                <w:szCs w:val="20"/>
                <w:color w:val="auto"/>
              </w:rPr>
            </w:pPr>
            <w:r>
              <w:rPr>
                <w:rFonts w:ascii="Arial" w:cs="Arial" w:eastAsia="Arial" w:hAnsi="Arial"/>
                <w:sz w:val="14"/>
                <w:szCs w:val="14"/>
                <w:color w:val="auto"/>
              </w:rPr>
              <w:t>Adjusted net income (Non-GAAP basis)</w:t>
            </w:r>
          </w:p>
        </w:tc>
        <w:tc>
          <w:tcPr>
            <w:tcW w:w="1360" w:type="dxa"/>
            <w:vAlign w:val="bottom"/>
          </w:tcPr>
          <w:p>
            <w:pPr>
              <w:jc w:val="right"/>
              <w:ind w:right="120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7.0</w:t>
            </w:r>
          </w:p>
        </w:tc>
        <w:tc>
          <w:tcPr>
            <w:tcW w:w="420" w:type="dxa"/>
            <w:vAlign w:val="bottom"/>
          </w:tcPr>
          <w:p>
            <w:pPr>
              <w:spacing w:after="0"/>
              <w:rPr>
                <w:sz w:val="15"/>
                <w:szCs w:val="15"/>
                <w:color w:val="auto"/>
              </w:rPr>
            </w:pPr>
          </w:p>
        </w:tc>
        <w:tc>
          <w:tcPr>
            <w:tcW w:w="1400" w:type="dxa"/>
            <w:vAlign w:val="bottom"/>
          </w:tcPr>
          <w:p>
            <w:pPr>
              <w:jc w:val="right"/>
              <w:ind w:right="124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9.7</w:t>
            </w:r>
          </w:p>
        </w:tc>
        <w:tc>
          <w:tcPr>
            <w:tcW w:w="260" w:type="dxa"/>
            <w:vAlign w:val="bottom"/>
          </w:tcPr>
          <w:p>
            <w:pPr>
              <w:spacing w:after="0"/>
              <w:rPr>
                <w:sz w:val="15"/>
                <w:szCs w:val="15"/>
                <w:color w:val="auto"/>
              </w:rPr>
            </w:pPr>
          </w:p>
        </w:tc>
      </w:tr>
      <w:tr>
        <w:trPr>
          <w:trHeight w:val="176"/>
        </w:trPr>
        <w:tc>
          <w:tcPr>
            <w:tcW w:w="688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Adjusted EBITDA (Non-GAAP basis)</w:t>
            </w:r>
          </w:p>
        </w:tc>
        <w:tc>
          <w:tcPr>
            <w:tcW w:w="1360" w:type="dxa"/>
            <w:vAlign w:val="bottom"/>
            <w:shd w:val="clear" w:color="auto" w:fill="CFF0FC"/>
          </w:tcPr>
          <w:p>
            <w:pPr>
              <w:jc w:val="right"/>
              <w:ind w:right="12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4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124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260" w:type="dxa"/>
            <w:vAlign w:val="bottom"/>
            <w:shd w:val="clear" w:color="auto" w:fill="CFF0FC"/>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gridSpan w:val="2"/>
          </w:tcPr>
          <w:p>
            <w:pPr>
              <w:spacing w:after="0"/>
              <w:rPr>
                <w:sz w:val="15"/>
                <w:szCs w:val="15"/>
                <w:color w:val="auto"/>
              </w:rPr>
            </w:pPr>
          </w:p>
        </w:tc>
      </w:tr>
      <w:tr>
        <w:trPr>
          <w:trHeight w:val="175"/>
        </w:trPr>
        <w:tc>
          <w:tcPr>
            <w:tcW w:w="6880" w:type="dxa"/>
            <w:vAlign w:val="bottom"/>
            <w:gridSpan w:val="4"/>
            <w:shd w:val="clear" w:color="auto" w:fill="CFF0FC"/>
          </w:tcPr>
          <w:p>
            <w:pPr>
              <w:ind w:left="20"/>
              <w:spacing w:after="0"/>
              <w:rPr>
                <w:sz w:val="20"/>
                <w:szCs w:val="20"/>
                <w:color w:val="auto"/>
              </w:rPr>
            </w:pPr>
            <w:r>
              <w:rPr>
                <w:rFonts w:ascii="Arial" w:cs="Arial" w:eastAsia="Arial" w:hAnsi="Arial"/>
                <w:sz w:val="14"/>
                <w:szCs w:val="14"/>
                <w:color w:val="auto"/>
              </w:rPr>
              <w:t>Gross margin. as a percentage of sales</w:t>
            </w:r>
          </w:p>
        </w:tc>
        <w:tc>
          <w:tcPr>
            <w:tcW w:w="13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48.6 %</w:t>
            </w:r>
          </w:p>
        </w:tc>
        <w:tc>
          <w:tcPr>
            <w:tcW w:w="14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50.0 %</w:t>
            </w:r>
          </w:p>
        </w:tc>
      </w:tr>
      <w:tr>
        <w:trPr>
          <w:trHeight w:val="176"/>
        </w:trPr>
        <w:tc>
          <w:tcPr>
            <w:tcW w:w="6880" w:type="dxa"/>
            <w:vAlign w:val="bottom"/>
            <w:gridSpan w:val="4"/>
          </w:tcPr>
          <w:p>
            <w:pPr>
              <w:ind w:left="20"/>
              <w:spacing w:after="0"/>
              <w:rPr>
                <w:sz w:val="20"/>
                <w:szCs w:val="20"/>
                <w:color w:val="auto"/>
              </w:rPr>
            </w:pPr>
            <w:r>
              <w:rPr>
                <w:rFonts w:ascii="Arial" w:cs="Arial" w:eastAsia="Arial" w:hAnsi="Arial"/>
                <w:sz w:val="14"/>
                <w:szCs w:val="14"/>
                <w:color w:val="auto"/>
              </w:rPr>
              <w:t>SG&amp;A expenses, as a percentage of sales</w:t>
            </w:r>
          </w:p>
        </w:tc>
        <w:tc>
          <w:tcPr>
            <w:tcW w:w="1360" w:type="dxa"/>
            <w:vAlign w:val="bottom"/>
          </w:tcPr>
          <w:p>
            <w:pPr>
              <w:spacing w:after="0"/>
              <w:rPr>
                <w:sz w:val="15"/>
                <w:szCs w:val="15"/>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38.5 %</w:t>
            </w:r>
          </w:p>
        </w:tc>
        <w:tc>
          <w:tcPr>
            <w:tcW w:w="14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36.5 %</w:t>
            </w:r>
          </w:p>
        </w:tc>
      </w:tr>
      <w:tr>
        <w:trPr>
          <w:trHeight w:val="175"/>
        </w:trPr>
        <w:tc>
          <w:tcPr>
            <w:tcW w:w="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20" w:type="dxa"/>
            <w:vAlign w:val="bottom"/>
            <w:shd w:val="clear" w:color="auto" w:fill="CFF0FC"/>
          </w:tcPr>
          <w:p>
            <w:pPr>
              <w:spacing w:after="0"/>
              <w:rPr>
                <w:sz w:val="15"/>
                <w:szCs w:val="15"/>
                <w:color w:val="auto"/>
              </w:rPr>
            </w:pPr>
          </w:p>
        </w:tc>
        <w:tc>
          <w:tcPr>
            <w:tcW w:w="34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6860" w:type="dxa"/>
            <w:vAlign w:val="bottom"/>
            <w:gridSpan w:val="3"/>
          </w:tcPr>
          <w:p>
            <w:pPr>
              <w:spacing w:after="0" w:line="149" w:lineRule="exact"/>
              <w:rPr>
                <w:sz w:val="20"/>
                <w:szCs w:val="20"/>
                <w:color w:val="auto"/>
              </w:rPr>
            </w:pPr>
            <w:r>
              <w:rPr>
                <w:rFonts w:ascii="Arial" w:cs="Arial" w:eastAsia="Arial" w:hAnsi="Arial"/>
                <w:sz w:val="14"/>
                <w:szCs w:val="14"/>
                <w:color w:val="auto"/>
              </w:rPr>
              <w:t>Per diluted share:</w:t>
            </w:r>
          </w:p>
        </w:tc>
        <w:tc>
          <w:tcPr>
            <w:tcW w:w="1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5"/>
        </w:trPr>
        <w:tc>
          <w:tcPr>
            <w:tcW w:w="2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Net income</w:t>
            </w:r>
          </w:p>
        </w:tc>
        <w:tc>
          <w:tcPr>
            <w:tcW w:w="5860" w:type="dxa"/>
            <w:vAlign w:val="bottom"/>
            <w:gridSpan w:val="2"/>
            <w:shd w:val="clear" w:color="auto" w:fill="CFF0FC"/>
          </w:tcPr>
          <w:p>
            <w:pPr>
              <w:spacing w:after="0"/>
              <w:rPr>
                <w:sz w:val="15"/>
                <w:szCs w:val="15"/>
                <w:color w:val="auto"/>
              </w:rPr>
            </w:pPr>
          </w:p>
        </w:tc>
        <w:tc>
          <w:tcPr>
            <w:tcW w:w="1360" w:type="dxa"/>
            <w:vAlign w:val="bottom"/>
            <w:shd w:val="clear" w:color="auto" w:fill="CFF0FC"/>
          </w:tcPr>
          <w:p>
            <w:pPr>
              <w:jc w:val="right"/>
              <w:ind w:right="120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0.11</w:t>
            </w:r>
          </w:p>
        </w:tc>
        <w:tc>
          <w:tcPr>
            <w:tcW w:w="420" w:type="dxa"/>
            <w:vAlign w:val="bottom"/>
            <w:shd w:val="clear" w:color="auto" w:fill="CFF0FC"/>
          </w:tcPr>
          <w:p>
            <w:pPr>
              <w:spacing w:after="0"/>
              <w:rPr>
                <w:sz w:val="15"/>
                <w:szCs w:val="15"/>
                <w:color w:val="auto"/>
              </w:rPr>
            </w:pPr>
          </w:p>
        </w:tc>
        <w:tc>
          <w:tcPr>
            <w:tcW w:w="1400" w:type="dxa"/>
            <w:vAlign w:val="bottom"/>
            <w:shd w:val="clear" w:color="auto" w:fill="CFF0FC"/>
          </w:tcPr>
          <w:p>
            <w:pPr>
              <w:jc w:val="right"/>
              <w:ind w:right="124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0.20</w:t>
            </w:r>
          </w:p>
        </w:tc>
        <w:tc>
          <w:tcPr>
            <w:tcW w:w="260" w:type="dxa"/>
            <w:vAlign w:val="bottom"/>
            <w:shd w:val="clear" w:color="auto" w:fill="CFF0FC"/>
          </w:tcPr>
          <w:p>
            <w:pPr>
              <w:spacing w:after="0"/>
              <w:rPr>
                <w:sz w:val="15"/>
                <w:szCs w:val="15"/>
                <w:color w:val="auto"/>
              </w:rPr>
            </w:pPr>
          </w:p>
        </w:tc>
      </w:tr>
      <w:tr>
        <w:trPr>
          <w:trHeight w:val="182"/>
        </w:trPr>
        <w:tc>
          <w:tcPr>
            <w:tcW w:w="6880" w:type="dxa"/>
            <w:vAlign w:val="bottom"/>
            <w:gridSpan w:val="4"/>
          </w:tcPr>
          <w:p>
            <w:pPr>
              <w:ind w:left="20"/>
              <w:spacing w:after="0"/>
              <w:rPr>
                <w:sz w:val="20"/>
                <w:szCs w:val="20"/>
                <w:color w:val="auto"/>
              </w:rPr>
            </w:pPr>
            <w:r>
              <w:rPr>
                <w:rFonts w:ascii="Arial" w:cs="Arial" w:eastAsia="Arial" w:hAnsi="Arial"/>
                <w:sz w:val="14"/>
                <w:szCs w:val="14"/>
                <w:color w:val="auto"/>
              </w:rPr>
              <w:t>Adjusted net income (Non-GAAP basis)</w:t>
            </w:r>
          </w:p>
        </w:tc>
        <w:tc>
          <w:tcPr>
            <w:tcW w:w="1360" w:type="dxa"/>
            <w:vAlign w:val="bottom"/>
          </w:tcPr>
          <w:p>
            <w:pPr>
              <w:jc w:val="right"/>
              <w:ind w:right="120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0.11</w:t>
            </w:r>
          </w:p>
        </w:tc>
        <w:tc>
          <w:tcPr>
            <w:tcW w:w="420" w:type="dxa"/>
            <w:vAlign w:val="bottom"/>
          </w:tcPr>
          <w:p>
            <w:pPr>
              <w:spacing w:after="0"/>
              <w:rPr>
                <w:sz w:val="15"/>
                <w:szCs w:val="15"/>
                <w:color w:val="auto"/>
              </w:rPr>
            </w:pPr>
          </w:p>
        </w:tc>
        <w:tc>
          <w:tcPr>
            <w:tcW w:w="1400" w:type="dxa"/>
            <w:vAlign w:val="bottom"/>
          </w:tcPr>
          <w:p>
            <w:pPr>
              <w:jc w:val="right"/>
              <w:ind w:right="124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0.14</w:t>
            </w:r>
          </w:p>
        </w:tc>
        <w:tc>
          <w:tcPr>
            <w:tcW w:w="260" w:type="dxa"/>
            <w:vAlign w:val="bottom"/>
          </w:tcPr>
          <w:p>
            <w:pPr>
              <w:spacing w:after="0"/>
              <w:rPr>
                <w:sz w:val="15"/>
                <w:szCs w:val="15"/>
                <w:color w:val="auto"/>
              </w:rPr>
            </w:pPr>
          </w:p>
        </w:tc>
      </w:tr>
    </w:tbl>
    <w:p>
      <w:pPr>
        <w:spacing w:after="0" w:line="200" w:lineRule="exact"/>
        <w:rPr>
          <w:sz w:val="20"/>
          <w:szCs w:val="20"/>
          <w:color w:val="auto"/>
        </w:rPr>
      </w:pP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pleased to report our ninth consecutive quarter of positive comparative sales growth. The first quarter was a more challenging growth quarter for the retail industry as a whole, which was affected by the macroeconomic headwinds that have impacted consumer spending. While we saw a softening in consumer demand this quarter, we do believe that the work that we have done over the past two years to transform and reposition the DXL brand enabled us to mitigate some of this consumer weakness. For the first quarter of fiscal 2023, we had a comparable sale increase of 0.6%, which was driven primarily by our stores which were up 1.5%, partially offset by our direct business which decreased 1.6%. Our merchandise margins decreased approximately 110 basis points from the first quarter of fiscal 2022 due to increased costs on certain private-label merchandise, much of which we absorbed rather than passing on to the customer through price increases. We also experienced increased shipping costs for our direct-to-consumer orders and increased costs related to our loyalty program, which we relaunched late in fiscal 2022. These costs were partially offset by reduced inbound freight costs. Our SG&amp;A costs were higher by approximately $1.7 million, due primarily to an increase in payroll costs for roles that were added last year to support our sales growth, merit increases in the prior year, as well as increased benefit costs.</w:t>
      </w:r>
    </w:p>
    <w:p>
      <w:pPr>
        <w:spacing w:after="0" w:line="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income for the first quarter of fiscal 2023 was $7.0 million, or $0.11 per diluted share, as compared to net income of $13.4 million, or $0.20 per diluted share, for the first quarter of fiscal 2022. Assuming a normalized tax rate and adjusting for asset impairments (gains), if any, on a non-GAAP basis, net income for the first quarter of fiscal 2023 was $7.0 million, or $0.11 per diluted share, as compared to adjusted net income of $9.7 million, or $0.14 per diluted share, for the first quarter of fiscal 2022.</w:t>
      </w:r>
    </w:p>
    <w:p>
      <w:pPr>
        <w:spacing w:after="0" w:line="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April 29, 2023, we had cash and investments of $46.0 million as compared to $7.5 million at April 30, 2022. At April 29, 2023, we had no debt outstanding and no borrowings during the quarter. Our unused excess availability at April 29, 2023 was $93.8 million. Our inventory was in a healthy position at quarter-end, down 11% to 2019 (pre-pandemic) levels with turnover up over 25%, and we expect to continue to maintain our low promotional cadence. With cash on hand, no outstanding debt and full availability under our credit facility, we are continuing to pursue our strategic initiatives this year to further grow our business.</w:t>
      </w:r>
    </w:p>
    <w:p>
      <w:pPr>
        <w:spacing w:after="0" w:line="8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As discussed below, the Company's Board of Directors approved a $15.0 million stock repurchase program in March 2023. There were no repurchases of stock during the first quarter of fiscal 2023. We expect to begin executing on the stock repurchase program in the second quarter of fiscal 2023, however the timing and the amount of any repurchases will be determined based on the Company’s evaluation of market conditions and other factors. The stock repurchase program will expire on March 16, 2024 and may be suspended, terminated or modified at any time for any reason.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sales by segment for the three months ended April 29, 2023 and April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80" w:type="dxa"/>
            <w:vAlign w:val="bottom"/>
            <w:gridSpan w:val="4"/>
          </w:tcPr>
          <w:p>
            <w:pPr>
              <w:jc w:val="right"/>
              <w:ind w:right="50"/>
              <w:spacing w:after="0"/>
              <w:rPr>
                <w:sz w:val="20"/>
                <w:szCs w:val="20"/>
                <w:color w:val="auto"/>
              </w:rPr>
            </w:pPr>
            <w:r>
              <w:rPr>
                <w:rFonts w:ascii="Arial" w:cs="Arial" w:eastAsia="Arial" w:hAnsi="Arial"/>
                <w:sz w:val="18"/>
                <w:szCs w:val="18"/>
                <w:color w:val="auto"/>
              </w:rPr>
              <w:t>For the Three Months Ended</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5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April 29, 2023</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April 30, 2022</w:t>
            </w: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Store sales</w:t>
            </w:r>
          </w:p>
        </w:tc>
        <w:tc>
          <w:tcPr>
            <w:tcW w:w="3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87,297</w:t>
            </w:r>
          </w:p>
        </w:tc>
        <w:tc>
          <w:tcPr>
            <w:tcW w:w="1320" w:type="dxa"/>
            <w:vAlign w:val="bottom"/>
            <w:gridSpan w:val="2"/>
          </w:tcPr>
          <w:p>
            <w:pPr>
              <w:jc w:val="right"/>
              <w:ind w:right="630"/>
              <w:spacing w:after="0"/>
              <w:rPr>
                <w:sz w:val="20"/>
                <w:szCs w:val="20"/>
                <w:color w:val="auto"/>
              </w:rPr>
            </w:pPr>
            <w:r>
              <w:rPr>
                <w:rFonts w:ascii="Arial" w:cs="Arial" w:eastAsia="Arial" w:hAnsi="Arial"/>
                <w:sz w:val="18"/>
                <w:szCs w:val="18"/>
                <w:i w:val="1"/>
                <w:iCs w:val="1"/>
                <w:color w:val="auto"/>
              </w:rPr>
              <w:t>69.6%</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88,279</w:t>
            </w:r>
          </w:p>
        </w:tc>
        <w:tc>
          <w:tcPr>
            <w:tcW w:w="1320" w:type="dxa"/>
            <w:vAlign w:val="bottom"/>
            <w:gridSpan w:val="2"/>
          </w:tcPr>
          <w:p>
            <w:pPr>
              <w:jc w:val="right"/>
              <w:ind w:right="630"/>
              <w:spacing w:after="0"/>
              <w:rPr>
                <w:sz w:val="20"/>
                <w:szCs w:val="20"/>
                <w:color w:val="auto"/>
              </w:rPr>
            </w:pPr>
            <w:r>
              <w:rPr>
                <w:rFonts w:ascii="Arial" w:cs="Arial" w:eastAsia="Arial" w:hAnsi="Arial"/>
                <w:sz w:val="18"/>
                <w:szCs w:val="18"/>
                <w:i w:val="1"/>
                <w:iCs w:val="1"/>
                <w:color w:val="auto"/>
              </w:rPr>
              <w:t>69.4%</w:t>
            </w:r>
          </w:p>
        </w:tc>
        <w:tc>
          <w:tcPr>
            <w:tcW w:w="300" w:type="dxa"/>
            <w:vAlign w:val="bottom"/>
          </w:tcPr>
          <w:p>
            <w:pPr>
              <w:spacing w:after="0"/>
              <w:rPr>
                <w:sz w:val="20"/>
                <w:szCs w:val="20"/>
                <w:color w:val="auto"/>
              </w:rPr>
            </w:pPr>
          </w:p>
        </w:tc>
      </w:tr>
      <w:tr>
        <w:trPr>
          <w:trHeight w:val="249"/>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Direct sales</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38,145</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i w:val="1"/>
                <w:iCs w:val="1"/>
                <w:color w:val="auto"/>
                <w:w w:val="90"/>
              </w:rPr>
              <w:t>30.4%</w:t>
            </w:r>
          </w:p>
        </w:tc>
        <w:tc>
          <w:tcPr>
            <w:tcW w:w="40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38,994</w:t>
            </w: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i w:val="1"/>
                <w:iCs w:val="1"/>
                <w:color w:val="auto"/>
                <w:w w:val="86"/>
              </w:rPr>
              <w:t>30.6%</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Retail segment</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125,442</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127,273</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9"/>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Wholesale segment</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r>
      <w:tr>
        <w:trPr>
          <w:trHeight w:val="236"/>
        </w:trPr>
        <w:tc>
          <w:tcPr>
            <w:tcW w:w="356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6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125,442</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127,655</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0"/>
        </w:trPr>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-505460</wp:posOffset>
            </wp:positionV>
            <wp:extent cx="8572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-505460</wp:posOffset>
            </wp:positionV>
            <wp:extent cx="8572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-505460</wp:posOffset>
            </wp:positionV>
            <wp:extent cx="188595"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8595" cy="16319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-187960</wp:posOffset>
            </wp:positionV>
            <wp:extent cx="8572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857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Total sales for the first quarter of fiscal 2023 were $125.4 million, as compared to $127.7 million in the first quarter of fiscal 2022. Comparable sales for the first quarter were up 0.6% with comparable sales from our stores up 1.5% and our direct business down 1.6%. This increase in comparable sales was offset by sales from closed stores and a decrease in non-comparable sales.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for the quarter started off strong with a comparable sales increase of 9.1% in February. However, we saw a comparable sales decline in March of (2.8)% and in April of (1.9)%. The slowdown in sales was primarily driven by decreases in traffic, both to our stores and web, but was partially offset by increased dollars per transaction and conversion. Throughout the quarter, our stores performed better than our direct business, but we continued to see sales growth from online marketplaces and our mobile app.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 Rate</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first quarter of fiscal 2023, our gross margin rate, inclusive of occupancy costs, was 48.6% as compared to a gross margin rate of 50.0% for the first quarter of fiscal 2022.</w:t>
      </w:r>
    </w:p>
    <w:p>
      <w:pPr>
        <w:spacing w:after="0" w:line="6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Our gross margin rate decreased by 140-basis points, with a decrease in merchandise margin of 110-basis points and an increase of 30-basis points in occupancy costs, primarily due to the deleveraging of sales. The decrease in merchandise margin of 110-basis points was due to increased costs on certain private-label merchandise, much of which we absorbed rather than passing on to the customer through price increases. We also experienced increased shipping costs related to direct-to-consumer shipments, and costs related to our loyalty program with more sales tendered with loyalty certificates as compared to the first quarter of fiscal 2022. These cost increases were partially offset by lower inbound freight costs. For the year, we expect gross margin rates to be approximately 100-basis points lower than fiscal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a percentage of sales, SG&amp;A (selling, general and administrative) expenses for the first quarter of fiscal 2023 were 38.5% as compared to 36.5% for the first quarter of fiscal 2022.</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a dollar basis, SG&amp;A expenses increased by $1.7 million as compared to the first quarter of fiscal 2022. The increase was primarily due to an increase in payroll-related costs from new positions added in the past year and last year's merit increases. We also saw increases in benefit costs over the first quarter of the prior year. The increase in payroll last year was added to support the Company's growth initiatives.</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Management views SG&amp;A expenses through two primary cost centers: Customer Facing Costs and Corporate Support Costs. Customer Facing Costs, which include store payroll, marketing and other store and direct operating costs, represented 21.1% of sales in the first quarter of fiscal 2023 as compared to 20.2% of sales in the first quarter of fiscal 2022. Corporate Support Costs, which include the distribution center and corporate overhead costs, represented 17.4% of sales in the first quarter of fiscal 2023 as compared to 16.3% of sales in the first quarter of fiscal 2022. Marketing costs for the first quarter were 5.5% of sales as compared to 5.3% of sales for the first quarter of fiscal 2022. For fiscal 2023, marketing costs are expected to be approximately 5.7% of sales.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(Gain) of Assets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There were no impairments or non-cash gains recognized in the first quarter of fiscal 2023. During the first quarter of fiscal 2022, we recorded a non-cash gain of $0.5 million related to the reduction of our operating lease liability in connection with our decision to close certain retail stores, which resulted in a revaluation of the lease liability. The portion of the gain that related to a previously recorded impairment charge against the operating lease right-of-use asset was included as an offset to previously recorded asset impairment charge. Accordingly, $0.4 million was included in the Impairment (Gain) of Assets line of the Consolidated Statement of Operations. The remaining gain was recorded as a reduction to occupancy costs.</w:t>
      </w: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for the first quarter of fiscal 2023 decreased to $3.5 million as compared to $4.0 million for the first quarter of fiscal 2022.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decrease was due to a lower depreciable cost base, especially from our store assets, due to our limited capital spending since fiscal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Net interest income for the first quarter of fiscal 2023 was $0.3 million, as compared to interest expense of $0.1 million for the first quarter of fiscal 2022.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first quarter of fiscal 2023, interest income was earned from investments in U.S. government-backed investments and money market accounts.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costs for both periods were minimal because we had no outstanding debt and no borrowings under our credit facility during either period.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a result of the valuation allowance against our deferred tax assets being substantially released during fiscal 2022, we have returned to a normal tax provision for fiscal 2023. Accordingly, for the first quarter of fiscal 2023, the effective tax rate was 26.6% as compared to 0.8% for the first quarter of fiscal 2022. The effective tax rate for the first quarter of fiscal 2022 was reduced from the statutory rate due to the utilization of fully reserved net operating loss carryforwards ("NOLs").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first quarter of fiscal 2023, we recorded net income of $7.0 million, or $0.11 per diluted share, as compared to net income of $13.4 million, or $0.20 per diluted share, for the first quarter of fiscal 2022.</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 non-GAAP basis, assuming a normalized tax rate of 26% and adjusting for asset impairments (gains), if any, adjusted net income for the first quarter of fiscal 2023 was $7.0 million, or $0.11 per diluted share, as compared to adjusted net income of $9.7 million, or $0.14 per diluted share for the first quarter of fiscal 2022. There was no asset impairment (gains) for the first quarter of fiscal 2023 and an asset impairment (gain) of $(0.4) million for the first quarter of fiscal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As of April 29, 2023, our inventory increased approximately $3.4 million to $100.3 million, as compared to $96.9 million at April 30, 2022. While our inventory increased over last year's first quarter, inventory levels were down 11% and turnover was up over 25% from the first quarter of fiscal 2019, or pre-pandemic levels. Managing our inventory remains a primary focus for us given the potential impact that inflation may have on consumer spending. Based on the sales trends we started to see in March 2023, we took proactive measures and adjusted our receipt plan. At April 29, 2023, our clearance inventory was 7.8% of our total inventory, as compared to 6.9% at April 30, 2022 and below our historical benchmark of approximately 10.0%.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second and fourth quarters. Our inventory is typically at peak levels by the end of the third quarter, which represents a significant use of cash, which is then relieved in the fourth quarter as we sell-down our inventory through the holiday shopping season.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primary sources of liquidity are our cash and cash equivalents, short-term investments, cash generated from operations and availability under our credit facility, which is discussed below. At April 29, 2023, we had no outstanding debt, including no borrowings under our credit facility during the first three months of fiscal 2023. Cash that is in excess of our forecasted needs may be invested in money market accounts and U.S. government-backed securities.</w:t>
      </w:r>
    </w:p>
    <w:p>
      <w:pPr>
        <w:spacing w:after="0" w:line="4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believe that our cash and cash equivalent balances, short-term investments, cash generated from operations, and borrowings available to us under our credit facility will be adequate to meet our liquidity needs and capital expenditure requirements for at least the next 12 months. However, we remain cautious regarding the effect that the current macroeconomic conditions, including inflation and rising interest costs, may have on consumer spending as well as the continuing geopolitical impact of Russia's invasion of Ukraine on our business and the global economy. We believe that cash flows from operating activities and cash on hand will also be sufficient to satisfy our capital requirements in the longer-term, however, to the extent future capital requirements exceed cash on hand plus cash flows from operating activities, we anticipate that working capital will be financed by our credit facility, as discussed below.</w:t>
      </w:r>
    </w:p>
    <w:p>
      <w:pPr>
        <w:spacing w:after="0" w:line="87"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For the first three months of fiscal 2023, cash flow from operations decreased to $(4.2) million as compared to $(1.5) million for the first three months of fiscal 2022. Free cash flow, a non-GAAP measure, decreased to $(5.9) million for the first three months of fiscal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ind w:right="160"/>
        <w:spacing w:after="0" w:line="263" w:lineRule="auto"/>
        <w:rPr>
          <w:sz w:val="20"/>
          <w:szCs w:val="20"/>
          <w:color w:val="auto"/>
        </w:rPr>
      </w:pPr>
      <w:r>
        <w:rPr>
          <w:rFonts w:ascii="Arial" w:cs="Arial" w:eastAsia="Arial" w:hAnsi="Arial"/>
          <w:sz w:val="18"/>
          <w:szCs w:val="18"/>
          <w:color w:val="auto"/>
        </w:rPr>
        <w:t>2023 as compared to $(2.7) million for the first three months of fiscal 2022. The first quarter is historically a period of net cash outflows as we build our seasonal inventories and pay out prior year performance incentive accruals. The year-over-year decrease in free cash flow was primarily due to our lower earnings.</w:t>
      </w:r>
    </w:p>
    <w:p>
      <w:pPr>
        <w:spacing w:after="0" w:line="7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Cash flow used for investing activities increased by $16.5 million for the first quarter of fiscal 2023 as compared to the first quarter of fiscal 2022, primarily due to the purchase of $16.1 million of short-term investments.</w:t>
      </w:r>
    </w:p>
    <w:p>
      <w:pPr>
        <w:spacing w:after="0" w:line="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Cash flow used for financing activities for the first three months of fiscal 2023 decreased by $5.0 million as compared to the first three months of fiscal 2022, primarily due to the repurchase of $5.0 million shares of the Company's common stock in the first quarter of fiscal 2022. There were no repurchases of common stock during the first quarter of fiscal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March 2023, the Company’s Board of Directors approved a stock repurchase program. Under the stock repurchase program, the Company may repurchase up to $15.0 million of its common stock through open market and privately negotiated transactions. The Company did not repurchase any shares in the first quarter of fiscal 2023. Any shares of repurchased common stock will be held as treasury stock. We expect to begin executing on the stock repurchase program in the second quarter of fiscal 2023, however the timing and the amount of any repurchases will be determined based on the Company’s evaluation of market conditions and other factors. The stock repurchase program will expire on March 16, 2024 and may be suspended, terminated or modified at any time for any reason.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October 28, 2021, we entered into a $125.0 million revolving credit agreement with Citizens Bank, N.A., with a maturity date of October 28, 2026. On April 20, 2023, the Company entered into the First Amendment to Credit Agreement which provided for the replacement of the London Interbank Offering Rate (“LIBOR”) interest rate options with the secured overnight financing rate ("SOFR") based options (as amended, the "Credit Agreement"). The Credit Agreement includes a sublimit of $20.0 million for commercial and standby letters of credit and a sublimit of up to $15.0 million for swingline loans. April 20, 2023, borrowings under the Credit Agreement bear interest at either a Base Rate loan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First Amendment)),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We are subject to an unused line fee of 0.25%.</w:t>
      </w:r>
    </w:p>
    <w:p>
      <w:pPr>
        <w:spacing w:after="0" w:line="18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had no outstanding borrowings under our Credit Agreement at April 29, 2023 and no borrowings during the first three months of fiscal 2023. At April 29, 2023, outstanding standby letters of credit were $3.8 million and outstanding documentary letters of credit were $1.3 million. The average unused excess availability during the first three months of fiscal 2023 was approximately $82.5 million and the unused excess availability at April 29, 2023 was $93.8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April 29, 2023 and April 30, 2022,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3"/>
          </w:tcPr>
          <w:p>
            <w:pPr>
              <w:ind w:left="860"/>
              <w:spacing w:after="0"/>
              <w:rPr>
                <w:sz w:val="20"/>
                <w:szCs w:val="20"/>
                <w:color w:val="auto"/>
              </w:rPr>
            </w:pPr>
            <w:r>
              <w:rPr>
                <w:rFonts w:ascii="Arial" w:cs="Arial" w:eastAsia="Arial" w:hAnsi="Arial"/>
                <w:sz w:val="14"/>
                <w:szCs w:val="14"/>
                <w:color w:val="auto"/>
                <w:w w:val="99"/>
              </w:rPr>
              <w:t>April 29, 2023</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gridSpan w:val="3"/>
          </w:tcPr>
          <w:p>
            <w:pPr>
              <w:ind w:left="880"/>
              <w:spacing w:after="0"/>
              <w:rPr>
                <w:sz w:val="20"/>
                <w:szCs w:val="20"/>
                <w:color w:val="auto"/>
              </w:rPr>
            </w:pPr>
            <w:r>
              <w:rPr>
                <w:rFonts w:ascii="Arial" w:cs="Arial" w:eastAsia="Arial" w:hAnsi="Arial"/>
                <w:sz w:val="14"/>
                <w:szCs w:val="14"/>
                <w:color w:val="auto"/>
                <w:w w:val="99"/>
              </w:rPr>
              <w:t>April 30, 2022</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8"/>
        </w:trPr>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94"/>
              </w:rPr>
              <w:t>Number of</w:t>
            </w:r>
          </w:p>
        </w:tc>
        <w:tc>
          <w:tcPr>
            <w:tcW w:w="840" w:type="dxa"/>
            <w:vAlign w:val="bottom"/>
          </w:tcPr>
          <w:p>
            <w:pPr>
              <w:jc w:val="right"/>
              <w:ind w:right="295"/>
              <w:spacing w:after="0" w:line="149" w:lineRule="exact"/>
              <w:rPr>
                <w:sz w:val="20"/>
                <w:szCs w:val="20"/>
                <w:color w:val="auto"/>
              </w:rPr>
            </w:pPr>
            <w:r>
              <w:rPr>
                <w:rFonts w:ascii="Arial" w:cs="Arial" w:eastAsia="Arial" w:hAnsi="Arial"/>
                <w:sz w:val="14"/>
                <w:szCs w:val="14"/>
                <w:color w:val="auto"/>
                <w:w w:val="97"/>
              </w:rPr>
              <w:t>Square</w:t>
            </w:r>
          </w:p>
        </w:tc>
        <w:tc>
          <w:tcPr>
            <w:tcW w:w="260" w:type="dxa"/>
            <w:vAlign w:val="bottom"/>
          </w:tcPr>
          <w:p>
            <w:pPr>
              <w:spacing w:after="0"/>
              <w:rPr>
                <w:sz w:val="12"/>
                <w:szCs w:val="12"/>
                <w:color w:val="auto"/>
              </w:rPr>
            </w:pPr>
          </w:p>
        </w:tc>
        <w:tc>
          <w:tcPr>
            <w:tcW w:w="176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94"/>
              </w:rPr>
              <w:t>Number of</w:t>
            </w:r>
          </w:p>
        </w:tc>
        <w:tc>
          <w:tcPr>
            <w:tcW w:w="860" w:type="dxa"/>
            <w:vAlign w:val="bottom"/>
          </w:tcPr>
          <w:p>
            <w:pPr>
              <w:jc w:val="right"/>
              <w:ind w:right="315"/>
              <w:spacing w:after="0" w:line="149" w:lineRule="exact"/>
              <w:rPr>
                <w:sz w:val="20"/>
                <w:szCs w:val="20"/>
                <w:color w:val="auto"/>
              </w:rPr>
            </w:pPr>
            <w:r>
              <w:rPr>
                <w:rFonts w:ascii="Arial" w:cs="Arial" w:eastAsia="Arial" w:hAnsi="Arial"/>
                <w:sz w:val="14"/>
                <w:szCs w:val="14"/>
                <w:color w:val="auto"/>
                <w:w w:val="97"/>
              </w:rPr>
              <w:t>Square</w:t>
            </w:r>
          </w:p>
        </w:tc>
        <w:tc>
          <w:tcPr>
            <w:tcW w:w="260" w:type="dxa"/>
            <w:vAlign w:val="bottom"/>
          </w:tcPr>
          <w:p>
            <w:pPr>
              <w:spacing w:after="0"/>
              <w:rPr>
                <w:sz w:val="12"/>
                <w:szCs w:val="12"/>
                <w:color w:val="auto"/>
              </w:rPr>
            </w:pPr>
          </w:p>
        </w:tc>
      </w:tr>
      <w:tr>
        <w:trPr>
          <w:trHeight w:val="181"/>
        </w:trPr>
        <w:tc>
          <w:tcPr>
            <w:tcW w:w="5380" w:type="dxa"/>
            <w:vAlign w:val="bottom"/>
          </w:tcPr>
          <w:p>
            <w:pPr>
              <w:ind w:left="20"/>
              <w:spacing w:after="0"/>
              <w:rPr>
                <w:sz w:val="20"/>
                <w:szCs w:val="20"/>
                <w:color w:val="auto"/>
              </w:rPr>
            </w:pPr>
            <w:r>
              <w:rPr>
                <w:rFonts w:ascii="Arial" w:cs="Arial" w:eastAsia="Arial" w:hAnsi="Arial"/>
                <w:sz w:val="14"/>
                <w:szCs w:val="14"/>
                <w:color w:val="auto"/>
              </w:rPr>
              <w:t>Store Concept</w:t>
            </w:r>
          </w:p>
        </w:tc>
        <w:tc>
          <w:tcPr>
            <w:tcW w:w="140" w:type="dxa"/>
            <w:vAlign w:val="bottom"/>
          </w:tcPr>
          <w:p>
            <w:pPr>
              <w:spacing w:after="0"/>
              <w:rPr>
                <w:sz w:val="15"/>
                <w:szCs w:val="15"/>
                <w:color w:val="auto"/>
              </w:rPr>
            </w:pPr>
          </w:p>
        </w:tc>
        <w:tc>
          <w:tcPr>
            <w:tcW w:w="1740" w:type="dxa"/>
            <w:vAlign w:val="bottom"/>
            <w:gridSpan w:val="3"/>
          </w:tcPr>
          <w:p>
            <w:pPr>
              <w:jc w:val="center"/>
              <w:ind w:right="580"/>
              <w:spacing w:after="0"/>
              <w:rPr>
                <w:sz w:val="20"/>
                <w:szCs w:val="20"/>
                <w:color w:val="auto"/>
              </w:rPr>
            </w:pPr>
            <w:r>
              <w:rPr>
                <w:rFonts w:ascii="Arial" w:cs="Arial" w:eastAsia="Arial" w:hAnsi="Arial"/>
                <w:sz w:val="14"/>
                <w:szCs w:val="14"/>
                <w:color w:val="auto"/>
                <w:w w:val="88"/>
              </w:rPr>
              <w:t>Stores</w:t>
            </w:r>
          </w:p>
        </w:tc>
        <w:tc>
          <w:tcPr>
            <w:tcW w:w="840" w:type="dxa"/>
            <w:vAlign w:val="bottom"/>
          </w:tcPr>
          <w:p>
            <w:pPr>
              <w:jc w:val="right"/>
              <w:ind w:right="255"/>
              <w:spacing w:after="0"/>
              <w:rPr>
                <w:sz w:val="20"/>
                <w:szCs w:val="20"/>
                <w:color w:val="auto"/>
              </w:rPr>
            </w:pPr>
            <w:r>
              <w:rPr>
                <w:rFonts w:ascii="Arial" w:cs="Arial" w:eastAsia="Arial" w:hAnsi="Arial"/>
                <w:sz w:val="14"/>
                <w:szCs w:val="14"/>
                <w:color w:val="auto"/>
                <w:w w:val="93"/>
              </w:rPr>
              <w:t>Footage</w:t>
            </w:r>
          </w:p>
        </w:tc>
        <w:tc>
          <w:tcPr>
            <w:tcW w:w="260" w:type="dxa"/>
            <w:vAlign w:val="bottom"/>
          </w:tcPr>
          <w:p>
            <w:pPr>
              <w:spacing w:after="0"/>
              <w:rPr>
                <w:sz w:val="15"/>
                <w:szCs w:val="15"/>
                <w:color w:val="auto"/>
              </w:rPr>
            </w:pPr>
          </w:p>
        </w:tc>
        <w:tc>
          <w:tcPr>
            <w:tcW w:w="1760" w:type="dxa"/>
            <w:vAlign w:val="bottom"/>
            <w:gridSpan w:val="3"/>
          </w:tcPr>
          <w:p>
            <w:pPr>
              <w:jc w:val="center"/>
              <w:ind w:right="600"/>
              <w:spacing w:after="0"/>
              <w:rPr>
                <w:sz w:val="20"/>
                <w:szCs w:val="20"/>
                <w:color w:val="auto"/>
              </w:rPr>
            </w:pPr>
            <w:r>
              <w:rPr>
                <w:rFonts w:ascii="Arial" w:cs="Arial" w:eastAsia="Arial" w:hAnsi="Arial"/>
                <w:sz w:val="14"/>
                <w:szCs w:val="14"/>
                <w:color w:val="auto"/>
                <w:w w:val="88"/>
              </w:rPr>
              <w:t>Stores</w:t>
            </w:r>
          </w:p>
        </w:tc>
        <w:tc>
          <w:tcPr>
            <w:tcW w:w="860" w:type="dxa"/>
            <w:vAlign w:val="bottom"/>
          </w:tcPr>
          <w:p>
            <w:pPr>
              <w:jc w:val="right"/>
              <w:ind w:right="275"/>
              <w:spacing w:after="0"/>
              <w:rPr>
                <w:sz w:val="20"/>
                <w:szCs w:val="20"/>
                <w:color w:val="auto"/>
              </w:rPr>
            </w:pPr>
            <w:r>
              <w:rPr>
                <w:rFonts w:ascii="Arial" w:cs="Arial" w:eastAsia="Arial" w:hAnsi="Arial"/>
                <w:sz w:val="14"/>
                <w:szCs w:val="14"/>
                <w:color w:val="auto"/>
                <w:w w:val="93"/>
              </w:rPr>
              <w:t>Footage</w:t>
            </w:r>
          </w:p>
        </w:tc>
        <w:tc>
          <w:tcPr>
            <w:tcW w:w="260" w:type="dxa"/>
            <w:vAlign w:val="bottom"/>
          </w:tcPr>
          <w:p>
            <w:pPr>
              <w:spacing w:after="0"/>
              <w:rPr>
                <w:sz w:val="15"/>
                <w:szCs w:val="15"/>
                <w:color w:val="auto"/>
              </w:rPr>
            </w:pPr>
          </w:p>
        </w:tc>
      </w:tr>
      <w:tr>
        <w:trPr>
          <w:trHeight w:val="211"/>
        </w:trPr>
        <w:tc>
          <w:tcPr>
            <w:tcW w:w="538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(square footage in thousands)</w:t>
            </w:r>
          </w:p>
        </w:tc>
        <w:tc>
          <w:tcPr>
            <w:tcW w:w="1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5"/>
        </w:trPr>
        <w:tc>
          <w:tcPr>
            <w:tcW w:w="53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43"/>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DXL Retail</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w:t>
            </w:r>
          </w:p>
        </w:tc>
        <w:tc>
          <w:tcPr>
            <w:tcW w:w="260" w:type="dxa"/>
            <w:vAlign w:val="bottom"/>
            <w:shd w:val="clear" w:color="auto" w:fill="CFF0FC"/>
          </w:tcPr>
          <w:p>
            <w:pPr>
              <w:spacing w:after="0"/>
              <w:rPr>
                <w:sz w:val="21"/>
                <w:szCs w:val="21"/>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DXL Outlets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0"/>
                <w:szCs w:val="20"/>
                <w:color w:val="auto"/>
              </w:rPr>
            </w:pPr>
          </w:p>
        </w:tc>
      </w:tr>
      <w:tr>
        <w:trPr>
          <w:trHeight w:val="24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Casual Male XL Retail</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FF0FC"/>
          </w:tcPr>
          <w:p>
            <w:pPr>
              <w:spacing w:after="0"/>
              <w:rPr>
                <w:sz w:val="21"/>
                <w:szCs w:val="21"/>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Casual Male Outlets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0"/>
                <w:szCs w:val="20"/>
                <w:color w:val="auto"/>
              </w:rPr>
            </w:pPr>
          </w:p>
        </w:tc>
      </w:tr>
      <w:tr>
        <w:trPr>
          <w:trHeight w:val="249"/>
        </w:trPr>
        <w:tc>
          <w:tcPr>
            <w:tcW w:w="5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Stores</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26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executed our first lease agreement this year for a new store in the Los Angeles market. We are very close on our second new store which will be in the New York market and we expect to sign at least one more lease for a third whitespace store that we expect to open by the end of 2023. We have also started to convert four Casual Male stores to the DXL store format and we have started to remodel one existing DXL store. By the end of fiscal 2023, we expect to open 3 new DXL stores and 10 Casual Male to DXL conversion stores. We expect to have begun construction on at least 5 DXL remodels by the end of the year. Over the next three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color w:val="auto"/>
        </w:rPr>
        <w:t>five years, we believe we could potentially open 50 new DXL stores across the country. We expect our capital expenditures to range from $19.0 million to $21.0 million in fiscal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There have been no material changes to the critical accounting policies and estimates disclosed in our Fiscal 2022 Annual Report. See Note 1 to the Consolidated Financial Statements included in this report for information on recent accounting pronouncements and changes in accounting principles.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Free cash flow, adjusted net income, adjusted net income per diluted share, adjusted EBITDA and adjusted EBITDA margin are non-GAAP measures. These non-GAAP measures are not presented in accordance with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Reconciliations of these non-GAAP measures are presented in the following tables </w:t>
      </w:r>
      <w:r>
        <w:rPr>
          <w:rFonts w:ascii="Arial" w:cs="Arial" w:eastAsia="Arial" w:hAnsi="Arial"/>
          <w:sz w:val="18"/>
          <w:szCs w:val="18"/>
          <w:i w:val="1"/>
          <w:iCs w:val="1"/>
          <w:color w:val="auto"/>
        </w:rPr>
        <w:t>(certain columns may not foot due to rounding)</w:t>
      </w:r>
      <w:r>
        <w:rPr>
          <w:rFonts w:ascii="Arial" w:cs="Arial" w:eastAsia="Arial" w:hAnsi="Arial"/>
          <w:sz w:val="18"/>
          <w:szCs w:val="18"/>
          <w:color w:val="auto"/>
        </w:rPr>
        <w:t>:</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i w:val="1"/>
          <w:iCs w:val="1"/>
          <w:u w:val="single" w:color="auto"/>
          <w:color w:val="auto"/>
        </w:rPr>
        <w:t>Free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We define free cash flow as cash flow from operating activities less capital expenditures. Free cash flow excludes the mandatory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repayment of debt. Free cash flow is a metric that management uses to monitor liquidity. We expect to fund our ongoing capital expenditures with cash flow from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free cash flow: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960" w:type="dxa"/>
            <w:vAlign w:val="bottom"/>
            <w:gridSpan w:val="5"/>
          </w:tcPr>
          <w:p>
            <w:pPr>
              <w:jc w:val="right"/>
              <w:ind w:right="1788"/>
              <w:spacing w:after="0"/>
              <w:rPr>
                <w:sz w:val="20"/>
                <w:szCs w:val="20"/>
                <w:color w:val="auto"/>
              </w:rPr>
            </w:pPr>
            <w:r>
              <w:rPr>
                <w:rFonts w:ascii="Arial" w:cs="Arial" w:eastAsia="Arial" w:hAnsi="Arial"/>
                <w:sz w:val="14"/>
                <w:szCs w:val="14"/>
                <w:color w:val="auto"/>
              </w:rPr>
              <w:t>For the three months ended</w:t>
            </w:r>
          </w:p>
        </w:tc>
      </w:tr>
      <w:tr>
        <w:trPr>
          <w:trHeight w:val="181"/>
        </w:trPr>
        <w:tc>
          <w:tcPr>
            <w:tcW w:w="59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5"/>
                <w:szCs w:val="15"/>
                <w:color w:val="auto"/>
              </w:rPr>
            </w:pPr>
          </w:p>
        </w:tc>
        <w:tc>
          <w:tcPr>
            <w:tcW w:w="2140" w:type="dxa"/>
            <w:vAlign w:val="bottom"/>
            <w:gridSpan w:val="2"/>
          </w:tcPr>
          <w:p>
            <w:pPr>
              <w:jc w:val="right"/>
              <w:ind w:right="948"/>
              <w:spacing w:after="0"/>
              <w:rPr>
                <w:sz w:val="20"/>
                <w:szCs w:val="20"/>
                <w:color w:val="auto"/>
              </w:rPr>
            </w:pPr>
            <w:r>
              <w:rPr>
                <w:rFonts w:ascii="Arial" w:cs="Arial" w:eastAsia="Arial" w:hAnsi="Arial"/>
                <w:sz w:val="14"/>
                <w:szCs w:val="14"/>
                <w:color w:val="auto"/>
              </w:rPr>
              <w:t>April 29, 2023</w:t>
            </w:r>
          </w:p>
        </w:tc>
        <w:tc>
          <w:tcPr>
            <w:tcW w:w="420" w:type="dxa"/>
            <w:vAlign w:val="bottom"/>
          </w:tcPr>
          <w:p>
            <w:pPr>
              <w:spacing w:after="0"/>
              <w:rPr>
                <w:sz w:val="15"/>
                <w:szCs w:val="15"/>
                <w:color w:val="auto"/>
              </w:rPr>
            </w:pPr>
          </w:p>
        </w:tc>
        <w:tc>
          <w:tcPr>
            <w:tcW w:w="2400" w:type="dxa"/>
            <w:vAlign w:val="bottom"/>
            <w:gridSpan w:val="2"/>
          </w:tcPr>
          <w:p>
            <w:pPr>
              <w:jc w:val="right"/>
              <w:ind w:right="1128"/>
              <w:spacing w:after="0"/>
              <w:rPr>
                <w:sz w:val="20"/>
                <w:szCs w:val="20"/>
                <w:color w:val="auto"/>
              </w:rPr>
            </w:pPr>
            <w:r>
              <w:rPr>
                <w:rFonts w:ascii="Arial" w:cs="Arial" w:eastAsia="Arial" w:hAnsi="Arial"/>
                <w:sz w:val="14"/>
                <w:szCs w:val="14"/>
                <w:color w:val="auto"/>
              </w:rPr>
              <w:t>April 30, 2022</w:t>
            </w:r>
          </w:p>
        </w:tc>
      </w:tr>
      <w:tr>
        <w:trPr>
          <w:trHeight w:val="169"/>
        </w:trPr>
        <w:tc>
          <w:tcPr>
            <w:tcW w:w="5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 from operating activities (GAAP basis)</w:t>
            </w: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40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84"/>
              </w:rPr>
              <w:t>)</w:t>
            </w:r>
          </w:p>
        </w:tc>
        <w:tc>
          <w:tcPr>
            <w:tcW w:w="420" w:type="dxa"/>
            <w:vAlign w:val="bottom"/>
            <w:tcBorders>
              <w:top w:val="single" w:sz="8" w:color="auto"/>
            </w:tcBorders>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r>
      <w:tr>
        <w:trPr>
          <w:trHeight w:val="175"/>
        </w:trPr>
        <w:tc>
          <w:tcPr>
            <w:tcW w:w="594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15"/>
                <w:szCs w:val="15"/>
                <w:color w:val="auto"/>
              </w:rPr>
            </w:pPr>
          </w:p>
        </w:tc>
        <w:tc>
          <w:tcPr>
            <w:tcW w:w="2140" w:type="dxa"/>
            <w:vAlign w:val="bottom"/>
            <w:gridSpan w:val="2"/>
          </w:tcPr>
          <w:p>
            <w:pPr>
              <w:jc w:val="right"/>
              <w:ind w:right="268"/>
              <w:spacing w:after="0"/>
              <w:rPr>
                <w:sz w:val="20"/>
                <w:szCs w:val="20"/>
                <w:color w:val="auto"/>
              </w:rPr>
            </w:pPr>
            <w:r>
              <w:rPr>
                <w:rFonts w:ascii="Arial" w:cs="Arial" w:eastAsia="Arial" w:hAnsi="Arial"/>
                <w:sz w:val="14"/>
                <w:szCs w:val="14"/>
                <w:color w:val="auto"/>
              </w:rPr>
              <w:t>(1.7 )</w:t>
            </w:r>
          </w:p>
        </w:tc>
        <w:tc>
          <w:tcPr>
            <w:tcW w:w="420" w:type="dxa"/>
            <w:vAlign w:val="bottom"/>
          </w:tcPr>
          <w:p>
            <w:pPr>
              <w:spacing w:after="0"/>
              <w:rPr>
                <w:sz w:val="15"/>
                <w:szCs w:val="15"/>
                <w:color w:val="auto"/>
              </w:rPr>
            </w:pPr>
          </w:p>
        </w:tc>
        <w:tc>
          <w:tcPr>
            <w:tcW w:w="2400" w:type="dxa"/>
            <w:vAlign w:val="bottom"/>
            <w:gridSpan w:val="2"/>
          </w:tcPr>
          <w:p>
            <w:pPr>
              <w:jc w:val="right"/>
              <w:ind w:right="288"/>
              <w:spacing w:after="0"/>
              <w:rPr>
                <w:sz w:val="20"/>
                <w:szCs w:val="20"/>
                <w:color w:val="auto"/>
              </w:rPr>
            </w:pPr>
            <w:r>
              <w:rPr>
                <w:rFonts w:ascii="Arial" w:cs="Arial" w:eastAsia="Arial" w:hAnsi="Arial"/>
                <w:sz w:val="14"/>
                <w:szCs w:val="14"/>
                <w:color w:val="auto"/>
              </w:rPr>
              <w:t>(1.2 )</w:t>
            </w:r>
          </w:p>
        </w:tc>
      </w:tr>
      <w:tr>
        <w:trPr>
          <w:trHeight w:val="209"/>
        </w:trPr>
        <w:tc>
          <w:tcPr>
            <w:tcW w:w="5940" w:type="dxa"/>
            <w:vAlign w:val="bottom"/>
            <w:tcBorders>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w:t>
            </w:r>
          </w:p>
        </w:tc>
        <w:tc>
          <w:tcPr>
            <w:tcW w:w="400" w:type="dxa"/>
            <w:vAlign w:val="bottom"/>
            <w:tcBorders>
              <w:bottom w:val="single" w:sz="8" w:color="CFF0FC"/>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w w:val="84"/>
              </w:rPr>
              <w:t>)</w:t>
            </w:r>
          </w:p>
        </w:tc>
        <w:tc>
          <w:tcPr>
            <w:tcW w:w="420" w:type="dxa"/>
            <w:vAlign w:val="bottom"/>
            <w:tcBorders>
              <w:top w:val="single" w:sz="8" w:color="auto"/>
              <w:bottom w:val="single" w:sz="8" w:color="auto"/>
            </w:tcBorders>
            <w:shd w:val="clear" w:color="auto" w:fill="CFF0FC"/>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1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440" w:type="dxa"/>
            <w:vAlign w:val="bottom"/>
            <w:tcBorders>
              <w:bottom w:val="single" w:sz="8" w:color="CFF0FC"/>
            </w:tcBorders>
            <w:shd w:val="clear" w:color="auto" w:fill="CFF0FC"/>
          </w:tcPr>
          <w:p>
            <w:pPr>
              <w:jc w:val="right"/>
              <w:ind w:right="288"/>
              <w:spacing w:after="0" w:line="155"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i w:val="1"/>
          <w:iCs w:val="1"/>
          <w:u w:val="single" w:color="auto"/>
          <w:color w:val="auto"/>
        </w:rPr>
        <w:t>Adjusted Net Income and Adjusted Net Income Per Diluted Share:</w:t>
      </w:r>
      <w:r>
        <w:rPr>
          <w:rFonts w:ascii="Arial" w:cs="Arial" w:eastAsia="Arial" w:hAnsi="Arial"/>
          <w:sz w:val="16"/>
          <w:szCs w:val="16"/>
          <w:i w:val="1"/>
          <w:iCs w:val="1"/>
          <w:color w:val="auto"/>
        </w:rPr>
        <w:t xml:space="preserve"> </w:t>
      </w:r>
      <w:r>
        <w:rPr>
          <w:rFonts w:ascii="Arial" w:cs="Arial" w:eastAsia="Arial" w:hAnsi="Arial"/>
          <w:sz w:val="16"/>
          <w:szCs w:val="16"/>
          <w:color w:val="auto"/>
        </w:rPr>
        <w:t>The above discussion includes adjusted net income, on a non-GAAP basis. For</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comparability, the adjusted net income has been calculated to adjust for asset impairment charge (gain), if any, and to apply a normal tax rate of 26%.</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For the three months ended</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4"/>
          </w:tcPr>
          <w:p>
            <w:pPr>
              <w:jc w:val="right"/>
              <w:ind w:right="858"/>
              <w:spacing w:after="0"/>
              <w:rPr>
                <w:sz w:val="20"/>
                <w:szCs w:val="20"/>
                <w:color w:val="auto"/>
              </w:rPr>
            </w:pPr>
            <w:r>
              <w:rPr>
                <w:rFonts w:ascii="Arial" w:cs="Arial" w:eastAsia="Arial" w:hAnsi="Arial"/>
                <w:sz w:val="18"/>
                <w:szCs w:val="18"/>
                <w:color w:val="auto"/>
              </w:rPr>
              <w:t>April 29, 2023</w:t>
            </w:r>
          </w:p>
        </w:tc>
        <w:tc>
          <w:tcPr>
            <w:tcW w:w="4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April 30, 2022</w:t>
            </w:r>
          </w:p>
        </w:tc>
        <w:tc>
          <w:tcPr>
            <w:tcW w:w="6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98"/>
              <w:spacing w:after="0" w:line="143" w:lineRule="exact"/>
              <w:rPr>
                <w:sz w:val="20"/>
                <w:szCs w:val="20"/>
                <w:color w:val="auto"/>
              </w:rPr>
            </w:pPr>
            <w:r>
              <w:rPr>
                <w:rFonts w:ascii="Arial" w:cs="Arial" w:eastAsia="Arial" w:hAnsi="Arial"/>
                <w:sz w:val="14"/>
                <w:szCs w:val="14"/>
                <w:color w:val="auto"/>
                <w:w w:val="82"/>
              </w:rPr>
              <w:t>Per</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ind w:right="179"/>
              <w:spacing w:after="0" w:line="143" w:lineRule="exact"/>
              <w:rPr>
                <w:sz w:val="20"/>
                <w:szCs w:val="20"/>
                <w:color w:val="auto"/>
              </w:rPr>
            </w:pPr>
            <w:r>
              <w:rPr>
                <w:rFonts w:ascii="Arial" w:cs="Arial" w:eastAsia="Arial" w:hAnsi="Arial"/>
                <w:sz w:val="14"/>
                <w:szCs w:val="14"/>
                <w:color w:val="auto"/>
                <w:w w:val="91"/>
              </w:rPr>
              <w:t>Per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78"/>
              <w:spacing w:after="0" w:line="149" w:lineRule="exact"/>
              <w:rPr>
                <w:sz w:val="20"/>
                <w:szCs w:val="20"/>
                <w:color w:val="auto"/>
              </w:rPr>
            </w:pPr>
            <w:r>
              <w:rPr>
                <w:rFonts w:ascii="Arial" w:cs="Arial" w:eastAsia="Arial" w:hAnsi="Arial"/>
                <w:sz w:val="14"/>
                <w:szCs w:val="14"/>
                <w:color w:val="auto"/>
                <w:w w:val="96"/>
              </w:rPr>
              <w:t>diluted</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vMerge w:val="restart"/>
          </w:tcPr>
          <w:p>
            <w:pPr>
              <w:jc w:val="right"/>
              <w:ind w:right="470"/>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ind w:right="179"/>
              <w:spacing w:after="0" w:line="149" w:lineRule="exact"/>
              <w:rPr>
                <w:sz w:val="20"/>
                <w:szCs w:val="20"/>
                <w:color w:val="auto"/>
              </w:rPr>
            </w:pPr>
            <w:r>
              <w:rPr>
                <w:rFonts w:ascii="Arial" w:cs="Arial" w:eastAsia="Arial" w:hAnsi="Arial"/>
                <w:sz w:val="14"/>
                <w:szCs w:val="14"/>
                <w:color w:val="auto"/>
                <w:w w:val="96"/>
              </w:rPr>
              <w:t>diluted</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color w:val="auto"/>
                <w:w w:val="85"/>
              </w:rPr>
              <w:t>share</w:t>
            </w:r>
          </w:p>
        </w:tc>
        <w:tc>
          <w:tcPr>
            <w:tcW w:w="4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color w:val="auto"/>
                <w:w w:val="91"/>
              </w:rPr>
              <w:t>share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60" w:type="dxa"/>
            <w:vAlign w:val="bottom"/>
            <w:gridSpan w:val="3"/>
          </w:tcPr>
          <w:p>
            <w:pPr>
              <w:ind w:left="20"/>
              <w:spacing w:after="0" w:line="182" w:lineRule="exact"/>
              <w:rPr>
                <w:sz w:val="20"/>
                <w:szCs w:val="20"/>
                <w:color w:val="auto"/>
              </w:rPr>
            </w:pPr>
            <w:r>
              <w:rPr>
                <w:rFonts w:ascii="Arial" w:cs="Arial" w:eastAsia="Arial" w:hAnsi="Arial"/>
                <w:sz w:val="18"/>
                <w:szCs w:val="18"/>
                <w:i w:val="1"/>
                <w:iCs w:val="1"/>
                <w:color w:val="auto"/>
              </w:rPr>
              <w:t>(in millions, except per share data)</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20" w:type="dxa"/>
            <w:vAlign w:val="bottom"/>
            <w:tcBorders>
              <w:top w:val="single" w:sz="8" w:color="auto"/>
            </w:tcBorders>
          </w:tcPr>
          <w:p>
            <w:pPr>
              <w:spacing w:after="0"/>
              <w:rPr>
                <w:sz w:val="2"/>
                <w:szCs w:val="2"/>
                <w:color w:val="auto"/>
              </w:rPr>
            </w:pPr>
          </w:p>
        </w:tc>
        <w:tc>
          <w:tcPr>
            <w:tcW w:w="2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Net income (GAAP basis)</w:t>
            </w: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96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Adjust for impairment (gain) of assets</w:t>
            </w:r>
          </w:p>
        </w:tc>
        <w:tc>
          <w:tcPr>
            <w:tcW w:w="8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(0.4 )</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Add back actual income tax provision</w:t>
            </w: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Add income tax provision, assuming a normal tax rate of 26%</w:t>
            </w:r>
          </w:p>
        </w:tc>
        <w:tc>
          <w:tcPr>
            <w:tcW w:w="8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(2.5 )</w:t>
            </w: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(3.4 )</w:t>
            </w: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60" w:type="dxa"/>
            <w:vAlign w:val="bottom"/>
            <w:tcBorders>
              <w:top w:val="single" w:sz="8" w:color="CFF0FC"/>
            </w:tcBorders>
            <w:gridSpan w:val="3"/>
          </w:tcPr>
          <w:p>
            <w:pPr>
              <w:ind w:left="20"/>
              <w:spacing w:after="0"/>
              <w:rPr>
                <w:sz w:val="20"/>
                <w:szCs w:val="20"/>
                <w:color w:val="auto"/>
              </w:rPr>
            </w:pPr>
            <w:r>
              <w:rPr>
                <w:rFonts w:ascii="Arial" w:cs="Arial" w:eastAsia="Arial" w:hAnsi="Arial"/>
                <w:sz w:val="18"/>
                <w:szCs w:val="18"/>
                <w:color w:val="auto"/>
              </w:rPr>
              <w:t>Adjusted net income (non-GAAP basis)</w:t>
            </w:r>
          </w:p>
        </w:tc>
        <w:tc>
          <w:tcPr>
            <w:tcW w:w="82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0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42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2520" w:type="dxa"/>
            <w:vAlign w:val="bottom"/>
            <w:shd w:val="clear" w:color="auto" w:fill="CFF0FC"/>
          </w:tcPr>
          <w:p>
            <w:pPr>
              <w:spacing w:after="0"/>
              <w:rPr>
                <w:sz w:val="21"/>
                <w:szCs w:val="21"/>
                <w:color w:val="auto"/>
              </w:rPr>
            </w:pPr>
          </w:p>
        </w:tc>
        <w:tc>
          <w:tcPr>
            <w:tcW w:w="28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360" w:type="dxa"/>
            <w:vAlign w:val="bottom"/>
            <w:gridSpan w:val="3"/>
          </w:tcPr>
          <w:p>
            <w:pPr>
              <w:ind w:left="20"/>
              <w:spacing w:after="0"/>
              <w:rPr>
                <w:sz w:val="20"/>
                <w:szCs w:val="20"/>
                <w:color w:val="auto"/>
              </w:rPr>
            </w:pPr>
            <w:r>
              <w:rPr>
                <w:rFonts w:ascii="Arial" w:cs="Arial" w:eastAsia="Arial" w:hAnsi="Arial"/>
                <w:sz w:val="18"/>
                <w:szCs w:val="18"/>
                <w:color w:val="auto"/>
                <w:w w:val="94"/>
              </w:rPr>
              <w:t>Weighted average number of common shares outstanding on a diluted</w:t>
            </w: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basis</w:t>
            </w: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66.3</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-967740</wp:posOffset>
            </wp:positionV>
            <wp:extent cx="85725"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-967740</wp:posOffset>
            </wp:positionV>
            <wp:extent cx="85725"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-967740</wp:posOffset>
            </wp:positionV>
            <wp:extent cx="85725"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-967740</wp:posOffset>
            </wp:positionV>
            <wp:extent cx="85725"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80"/>
        <w:spacing w:after="0" w:line="263" w:lineRule="auto"/>
        <w:rPr>
          <w:sz w:val="20"/>
          <w:szCs w:val="20"/>
          <w:color w:val="auto"/>
        </w:rPr>
      </w:pPr>
      <w:r>
        <w:rPr>
          <w:rFonts w:ascii="Arial" w:cs="Arial" w:eastAsia="Arial" w:hAnsi="Arial"/>
          <w:sz w:val="18"/>
          <w:szCs w:val="18"/>
          <w:i w:val="1"/>
          <w:iCs w:val="1"/>
          <w:u w:val="single" w:color="auto"/>
          <w:color w:val="auto"/>
        </w:rPr>
        <w:t>Adjusted EBITDA</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is calculated as earnings before interest, taxes, depreciation and amortization and is before any impairment of assets,</w:t>
      </w:r>
      <w:r>
        <w:rPr>
          <w:rFonts w:ascii="Arial" w:cs="Arial" w:eastAsia="Arial" w:hAnsi="Arial"/>
          <w:sz w:val="18"/>
          <w:szCs w:val="18"/>
          <w:i w:val="1"/>
          <w:iCs w:val="1"/>
          <w:color w:val="auto"/>
        </w:rPr>
        <w:t xml:space="preserve"> </w:t>
      </w:r>
      <w:r>
        <w:rPr>
          <w:rFonts w:ascii="Arial" w:cs="Arial" w:eastAsia="Arial" w:hAnsi="Arial"/>
          <w:sz w:val="18"/>
          <w:szCs w:val="18"/>
          <w:color w:val="auto"/>
        </w:rPr>
        <w:t>if any. We believe that adjusted EBITDA is useful to investors in evaluating our performance and is a key metric to measure profitability and economic productivity. The following table reconciles adjusted EBITDA from net income: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3700" w:type="dxa"/>
            <w:vAlign w:val="bottom"/>
            <w:gridSpan w:val="4"/>
          </w:tcPr>
          <w:p>
            <w:pPr>
              <w:jc w:val="right"/>
              <w:ind w:right="788"/>
              <w:spacing w:after="0"/>
              <w:rPr>
                <w:sz w:val="20"/>
                <w:szCs w:val="20"/>
                <w:color w:val="auto"/>
              </w:rPr>
            </w:pPr>
            <w:r>
              <w:rPr>
                <w:rFonts w:ascii="Arial" w:cs="Arial" w:eastAsia="Arial" w:hAnsi="Arial"/>
                <w:sz w:val="14"/>
                <w:szCs w:val="14"/>
                <w:color w:val="auto"/>
              </w:rPr>
              <w:t>For the three months ended</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April 29, 2023</w:t>
            </w:r>
          </w:p>
        </w:tc>
        <w:tc>
          <w:tcPr>
            <w:tcW w:w="4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April 30, 2022</w:t>
            </w: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6820" w:type="dxa"/>
            <w:vAlign w:val="bottom"/>
            <w:gridSpan w:val="2"/>
          </w:tcPr>
          <w:p>
            <w:pPr>
              <w:spacing w:after="0" w:line="155" w:lineRule="exact"/>
              <w:rPr>
                <w:sz w:val="20"/>
                <w:szCs w:val="20"/>
                <w:color w:val="auto"/>
              </w:rPr>
            </w:pPr>
            <w:r>
              <w:rPr>
                <w:rFonts w:ascii="Arial" w:cs="Arial" w:eastAsia="Arial" w:hAnsi="Arial"/>
                <w:sz w:val="14"/>
                <w:szCs w:val="14"/>
                <w:i w:val="1"/>
                <w:iCs w:val="1"/>
                <w:color w:val="auto"/>
              </w:rPr>
              <w:t>(in millions)</w:t>
            </w: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75"/>
        </w:trPr>
        <w:tc>
          <w:tcPr>
            <w:tcW w:w="20" w:type="dxa"/>
            <w:vAlign w:val="bottom"/>
            <w:shd w:val="clear" w:color="auto" w:fill="CFF0FC"/>
          </w:tcPr>
          <w:p>
            <w:pPr>
              <w:spacing w:after="0"/>
              <w:rPr>
                <w:sz w:val="15"/>
                <w:szCs w:val="15"/>
                <w:color w:val="auto"/>
              </w:rPr>
            </w:pPr>
          </w:p>
        </w:tc>
        <w:tc>
          <w:tcPr>
            <w:tcW w:w="68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 (GAAP basis)</w:t>
            </w:r>
          </w:p>
        </w:tc>
        <w:tc>
          <w:tcPr>
            <w:tcW w:w="1400" w:type="dxa"/>
            <w:vAlign w:val="bottom"/>
            <w:shd w:val="clear" w:color="auto" w:fill="CFF0FC"/>
          </w:tcPr>
          <w:p>
            <w:pPr>
              <w:jc w:val="right"/>
              <w:ind w:right="124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4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13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260" w:type="dxa"/>
            <w:vAlign w:val="bottom"/>
            <w:shd w:val="clear" w:color="auto" w:fill="CFF0FC"/>
          </w:tcPr>
          <w:p>
            <w:pPr>
              <w:spacing w:after="0"/>
              <w:rPr>
                <w:sz w:val="15"/>
                <w:szCs w:val="15"/>
                <w:color w:val="auto"/>
              </w:rPr>
            </w:pPr>
          </w:p>
        </w:tc>
      </w:tr>
      <w:tr>
        <w:trPr>
          <w:trHeight w:val="176"/>
        </w:trPr>
        <w:tc>
          <w:tcPr>
            <w:tcW w:w="6840" w:type="dxa"/>
            <w:vAlign w:val="bottom"/>
            <w:gridSpan w:val="3"/>
          </w:tcPr>
          <w:p>
            <w:pPr>
              <w:ind w:left="20"/>
              <w:spacing w:after="0"/>
              <w:rPr>
                <w:sz w:val="20"/>
                <w:szCs w:val="20"/>
                <w:color w:val="auto"/>
              </w:rPr>
            </w:pPr>
            <w:r>
              <w:rPr>
                <w:rFonts w:ascii="Arial" w:cs="Arial" w:eastAsia="Arial" w:hAnsi="Arial"/>
                <w:sz w:val="14"/>
                <w:szCs w:val="14"/>
                <w:color w:val="auto"/>
              </w:rPr>
              <w:t>Add back:</w:t>
            </w:r>
          </w:p>
        </w:tc>
        <w:tc>
          <w:tcPr>
            <w:tcW w:w="1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5"/>
        </w:trPr>
        <w:tc>
          <w:tcPr>
            <w:tcW w:w="68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Impairment (gain) of assets</w:t>
            </w:r>
          </w:p>
        </w:tc>
        <w:tc>
          <w:tcPr>
            <w:tcW w:w="14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(0.4 )</w:t>
            </w:r>
          </w:p>
        </w:tc>
      </w:tr>
      <w:tr>
        <w:trPr>
          <w:trHeight w:val="176"/>
        </w:trPr>
        <w:tc>
          <w:tcPr>
            <w:tcW w:w="6840" w:type="dxa"/>
            <w:vAlign w:val="bottom"/>
            <w:gridSpan w:val="3"/>
          </w:tcPr>
          <w:p>
            <w:pPr>
              <w:ind w:left="20"/>
              <w:spacing w:after="0"/>
              <w:rPr>
                <w:sz w:val="20"/>
                <w:szCs w:val="20"/>
                <w:color w:val="auto"/>
              </w:rPr>
            </w:pPr>
            <w:r>
              <w:rPr>
                <w:rFonts w:ascii="Arial" w:cs="Arial" w:eastAsia="Arial" w:hAnsi="Arial"/>
                <w:sz w:val="14"/>
                <w:szCs w:val="14"/>
                <w:color w:val="auto"/>
              </w:rPr>
              <w:t>Provision for income taxes</w:t>
            </w:r>
          </w:p>
        </w:tc>
        <w:tc>
          <w:tcPr>
            <w:tcW w:w="1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w:t>
            </w:r>
          </w:p>
        </w:tc>
        <w:tc>
          <w:tcPr>
            <w:tcW w:w="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0.1</w:t>
            </w:r>
          </w:p>
        </w:tc>
        <w:tc>
          <w:tcPr>
            <w:tcW w:w="260" w:type="dxa"/>
            <w:vAlign w:val="bottom"/>
          </w:tcPr>
          <w:p>
            <w:pPr>
              <w:spacing w:after="0"/>
              <w:rPr>
                <w:sz w:val="15"/>
                <w:szCs w:val="15"/>
                <w:color w:val="auto"/>
              </w:rPr>
            </w:pPr>
          </w:p>
        </w:tc>
      </w:tr>
      <w:tr>
        <w:trPr>
          <w:trHeight w:val="176"/>
        </w:trPr>
        <w:tc>
          <w:tcPr>
            <w:tcW w:w="68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Interest (income) expense</w:t>
            </w:r>
          </w:p>
        </w:tc>
        <w:tc>
          <w:tcPr>
            <w:tcW w:w="14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360"/>
              <w:spacing w:after="0"/>
              <w:rPr>
                <w:sz w:val="20"/>
                <w:szCs w:val="20"/>
                <w:color w:val="auto"/>
              </w:rPr>
            </w:pPr>
            <w:r>
              <w:rPr>
                <w:rFonts w:ascii="Arial" w:cs="Arial" w:eastAsia="Arial" w:hAnsi="Arial"/>
                <w:sz w:val="14"/>
                <w:szCs w:val="14"/>
                <w:color w:val="auto"/>
              </w:rPr>
              <w:t>(0.3 )</w:t>
            </w:r>
          </w:p>
        </w:tc>
        <w:tc>
          <w:tcPr>
            <w:tcW w:w="14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260" w:type="dxa"/>
            <w:vAlign w:val="bottom"/>
            <w:shd w:val="clear" w:color="auto" w:fill="CFF0FC"/>
          </w:tcPr>
          <w:p>
            <w:pPr>
              <w:spacing w:after="0"/>
              <w:rPr>
                <w:sz w:val="15"/>
                <w:szCs w:val="15"/>
                <w:color w:val="auto"/>
              </w:rPr>
            </w:pPr>
          </w:p>
        </w:tc>
      </w:tr>
      <w:tr>
        <w:trPr>
          <w:trHeight w:val="175"/>
        </w:trPr>
        <w:tc>
          <w:tcPr>
            <w:tcW w:w="6840" w:type="dxa"/>
            <w:vAlign w:val="bottom"/>
            <w:gridSpan w:val="3"/>
          </w:tcPr>
          <w:p>
            <w:pPr>
              <w:ind w:left="20"/>
              <w:spacing w:after="0"/>
              <w:rPr>
                <w:sz w:val="20"/>
                <w:szCs w:val="20"/>
                <w:color w:val="auto"/>
              </w:rPr>
            </w:pPr>
            <w:r>
              <w:rPr>
                <w:rFonts w:ascii="Arial" w:cs="Arial" w:eastAsia="Arial" w:hAnsi="Arial"/>
                <w:sz w:val="14"/>
                <w:szCs w:val="14"/>
                <w:color w:val="auto"/>
              </w:rPr>
              <w:t>Depreciation and amortization</w:t>
            </w:r>
          </w:p>
        </w:tc>
        <w:tc>
          <w:tcPr>
            <w:tcW w:w="14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42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15"/>
                <w:szCs w:val="15"/>
                <w:color w:val="auto"/>
              </w:rPr>
            </w:pPr>
          </w:p>
        </w:tc>
      </w:tr>
      <w:tr>
        <w:trPr>
          <w:trHeight w:val="209"/>
        </w:trPr>
        <w:tc>
          <w:tcPr>
            <w:tcW w:w="684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Adjusted EBITDA (non-GAAP basis)</w:t>
            </w:r>
          </w:p>
        </w:tc>
        <w:tc>
          <w:tcPr>
            <w:tcW w:w="1400" w:type="dxa"/>
            <w:vAlign w:val="bottom"/>
            <w:tcBorders>
              <w:bottom w:val="single" w:sz="8" w:color="auto"/>
            </w:tcBorders>
            <w:shd w:val="clear" w:color="auto" w:fill="CFF0FC"/>
          </w:tcPr>
          <w:p>
            <w:pPr>
              <w:jc w:val="right"/>
              <w:ind w:right="124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4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13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260" w:type="dxa"/>
            <w:vAlign w:val="bottom"/>
            <w:tcBorders>
              <w:bottom w:val="single" w:sz="8" w:color="CFF0FC"/>
            </w:tcBorders>
            <w:shd w:val="clear" w:color="auto" w:fill="CFF0FC"/>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76"/>
        </w:trPr>
        <w:tc>
          <w:tcPr>
            <w:tcW w:w="68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Sales</w:t>
            </w:r>
          </w:p>
        </w:tc>
        <w:tc>
          <w:tcPr>
            <w:tcW w:w="1400" w:type="dxa"/>
            <w:vAlign w:val="bottom"/>
            <w:shd w:val="clear" w:color="auto" w:fill="CFF0FC"/>
          </w:tcPr>
          <w:p>
            <w:pPr>
              <w:jc w:val="right"/>
              <w:ind w:right="124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125.4</w:t>
            </w:r>
          </w:p>
        </w:tc>
        <w:tc>
          <w:tcPr>
            <w:tcW w:w="42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13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127.7</w:t>
            </w:r>
          </w:p>
        </w:tc>
        <w:tc>
          <w:tcPr>
            <w:tcW w:w="260" w:type="dxa"/>
            <w:vAlign w:val="bottom"/>
            <w:shd w:val="clear" w:color="auto" w:fill="CFF0FC"/>
          </w:tcPr>
          <w:p>
            <w:pPr>
              <w:spacing w:after="0"/>
              <w:rPr>
                <w:sz w:val="15"/>
                <w:szCs w:val="15"/>
                <w:color w:val="auto"/>
              </w:rPr>
            </w:pPr>
          </w:p>
        </w:tc>
      </w:tr>
      <w:tr>
        <w:trPr>
          <w:trHeight w:val="182"/>
        </w:trPr>
        <w:tc>
          <w:tcPr>
            <w:tcW w:w="6840" w:type="dxa"/>
            <w:vAlign w:val="bottom"/>
            <w:gridSpan w:val="3"/>
          </w:tcPr>
          <w:p>
            <w:pPr>
              <w:ind w:left="20"/>
              <w:spacing w:after="0"/>
              <w:rPr>
                <w:sz w:val="20"/>
                <w:szCs w:val="20"/>
                <w:color w:val="auto"/>
              </w:rPr>
            </w:pPr>
            <w:r>
              <w:rPr>
                <w:rFonts w:ascii="Arial" w:cs="Arial" w:eastAsia="Arial" w:hAnsi="Arial"/>
                <w:sz w:val="14"/>
                <w:szCs w:val="14"/>
                <w:color w:val="auto"/>
              </w:rPr>
              <w:t>Adjusted EBITDA margin (non-GAAP), as a percentage of sales</w:t>
            </w:r>
          </w:p>
        </w:tc>
        <w:tc>
          <w:tcPr>
            <w:tcW w:w="140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10.1 %</w:t>
            </w:r>
          </w:p>
        </w:tc>
        <w:tc>
          <w:tcPr>
            <w:tcW w:w="14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-363855</wp:posOffset>
            </wp:positionV>
            <wp:extent cx="155194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51940" cy="13716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our interest rate previously disclosed in Part II, Item 7A of our Fiscal 2022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April 29, 2023.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April 29, 2023,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not experienced any changes in our internal control over financial reporting (as defined in Rules 13a-15(f) and 15d-15(f) under the Exchange Act) during the three months ended April 29, 2023 that has materially affected, or is reasonably likely to materially affect, our internal control over financial reporting.</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as previously disclosed in Part I, Item 1A of our Fiscal 2022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March 14, 2023, the Company’s Board of Directors approved a stock repurchase program pursuant to which the Company may repurchase up to $15.0 million of its common stock through open market and privately negotiated transactions. The timing and the amount of any repurchases will be determined based on the Company’s evaluation of market conditions and other factors. The stock repurchase program will expire in March 2024 and may be suspended, terminated or modified at any time for any reason. The Company did not repurchase any shares in the first quarter of 2023.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Exhibits.</w:t>
      </w:r>
    </w:p>
    <w:p>
      <w:pPr>
        <w:spacing w:after="0" w:line="27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10120" w:type="dxa"/>
            <w:vAlign w:val="bottom"/>
            <w:tcBorders>
              <w:bottom w:val="single" w:sz="8" w:color="0000FF"/>
            </w:tcBorders>
            <w:gridSpan w:val="16"/>
          </w:tcPr>
          <w:p>
            <w:pPr>
              <w:spacing w:after="0"/>
              <w:rPr>
                <w:rFonts w:ascii="Arial" w:cs="Arial" w:eastAsia="Arial" w:hAnsi="Arial"/>
                <w:sz w:val="18"/>
                <w:szCs w:val="18"/>
                <w:color w:val="0000FF"/>
                <w:w w:val="89"/>
              </w:rPr>
            </w:pPr>
            <w:hyperlink r:id="rId122">
              <w:r>
                <w:rPr>
                  <w:rFonts w:ascii="Arial" w:cs="Arial" w:eastAsia="Arial" w:hAnsi="Arial"/>
                  <w:sz w:val="18"/>
                  <w:szCs w:val="18"/>
                  <w:color w:val="0000FF"/>
                  <w:w w:val="89"/>
                </w:rPr>
                <w:t>Second Amended and Restated Employment Agreement between the Company and Antony Gaeta dated as of September 19, 2022 (included</w:t>
              </w:r>
            </w:hyperlink>
          </w:p>
        </w:tc>
      </w:tr>
      <w:tr>
        <w:trPr>
          <w:trHeight w:val="196"/>
        </w:trPr>
        <w:tc>
          <w:tcPr>
            <w:tcW w:w="980" w:type="dxa"/>
            <w:vAlign w:val="bottom"/>
          </w:tcPr>
          <w:p>
            <w:pPr>
              <w:spacing w:after="0"/>
              <w:rPr>
                <w:sz w:val="17"/>
                <w:szCs w:val="17"/>
                <w:color w:val="auto"/>
              </w:rPr>
            </w:pPr>
          </w:p>
        </w:tc>
        <w:tc>
          <w:tcPr>
            <w:tcW w:w="876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122">
              <w:r>
                <w:rPr>
                  <w:rFonts w:ascii="Arial" w:cs="Arial" w:eastAsia="Arial" w:hAnsi="Arial"/>
                  <w:sz w:val="18"/>
                  <w:szCs w:val="18"/>
                  <w:color w:val="0000FF"/>
                  <w:w w:val="91"/>
                </w:rPr>
                <w:t>as Exhibit 10.1 to the Company's Current Report on Form 8-K filed April 14, 2023 and incorporated herein by reference).</w:t>
              </w:r>
            </w:hyperlink>
          </w:p>
        </w:tc>
        <w:tc>
          <w:tcPr>
            <w:tcW w:w="1360" w:type="dxa"/>
            <w:vAlign w:val="bottom"/>
            <w:gridSpan w:val="8"/>
          </w:tcPr>
          <w:p>
            <w:pPr>
              <w:spacing w:after="0"/>
              <w:rPr>
                <w:sz w:val="17"/>
                <w:szCs w:val="17"/>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8"/>
                <w:szCs w:val="18"/>
                <w:color w:val="auto"/>
              </w:rPr>
              <w:t>10.2</w:t>
            </w:r>
          </w:p>
        </w:tc>
        <w:tc>
          <w:tcPr>
            <w:tcW w:w="9860" w:type="dxa"/>
            <w:vAlign w:val="bottom"/>
            <w:tcBorders>
              <w:bottom w:val="single" w:sz="8" w:color="0000FF"/>
            </w:tcBorders>
            <w:gridSpan w:val="11"/>
          </w:tcPr>
          <w:p>
            <w:pPr>
              <w:spacing w:after="0"/>
              <w:rPr>
                <w:rFonts w:ascii="Arial" w:cs="Arial" w:eastAsia="Arial" w:hAnsi="Arial"/>
                <w:sz w:val="18"/>
                <w:szCs w:val="18"/>
                <w:color w:val="0000FF"/>
                <w:w w:val="91"/>
              </w:rPr>
            </w:pPr>
            <w:hyperlink r:id="rId123">
              <w:r>
                <w:rPr>
                  <w:rFonts w:ascii="Arial" w:cs="Arial" w:eastAsia="Arial" w:hAnsi="Arial"/>
                  <w:sz w:val="18"/>
                  <w:szCs w:val="18"/>
                  <w:color w:val="0000FF"/>
                  <w:w w:val="91"/>
                </w:rPr>
                <w:t>First Amendment dated April 20, 2023 to the Credit Agreement dated October 28, 2021, by and among Citizens, N.A., as Administrative</w:t>
              </w:r>
            </w:hyperlink>
          </w:p>
        </w:tc>
        <w:tc>
          <w:tcPr>
            <w:tcW w:w="260" w:type="dxa"/>
            <w:vAlign w:val="bottom"/>
            <w:gridSpan w:val="5"/>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06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Agent and Collateral Agent, Other Lenders identified therein, the Company, as lead borrower, and the Borrowers and Guarantors identified</w:t>
              </w:r>
            </w:hyperlink>
          </w:p>
        </w:tc>
        <w:tc>
          <w:tcPr>
            <w:tcW w:w="60" w:type="dxa"/>
            <w:vAlign w:val="bottom"/>
            <w:gridSpan w:val="2"/>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00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therein (included as Exhibit 10.1 to the Company's Current Report on Form 8-K filed April 24, 2023 and incorporated herein by reference).</w:t>
              </w:r>
            </w:hyperlink>
          </w:p>
        </w:tc>
        <w:tc>
          <w:tcPr>
            <w:tcW w:w="80" w:type="dxa"/>
            <w:vAlign w:val="bottom"/>
            <w:gridSpan w:val="3"/>
          </w:tcPr>
          <w:p>
            <w:pPr>
              <w:spacing w:after="0"/>
              <w:rPr>
                <w:sz w:val="17"/>
                <w:szCs w:val="17"/>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10120" w:type="dxa"/>
            <w:vAlign w:val="bottom"/>
            <w:gridSpan w:val="16"/>
          </w:tcPr>
          <w:p>
            <w:pPr>
              <w:spacing w:after="0"/>
              <w:rPr>
                <w:sz w:val="20"/>
                <w:szCs w:val="20"/>
                <w:color w:val="auto"/>
              </w:rPr>
            </w:pPr>
            <w:r>
              <w:rPr>
                <w:rFonts w:ascii="Arial" w:cs="Arial" w:eastAsia="Arial" w:hAnsi="Arial"/>
                <w:sz w:val="18"/>
                <w:szCs w:val="18"/>
                <w:color w:val="0000FF"/>
                <w:w w:val="96"/>
              </w:rPr>
              <w:t>Certification of the Chief Executive Officer of the Company pursuant to Rule 13a-14(a) under the Securities Exchange Act of 1934*.</w:t>
            </w:r>
          </w:p>
        </w:tc>
      </w:tr>
      <w:tr>
        <w:trPr>
          <w:trHeight w:val="466"/>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95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1"/>
              </w:rPr>
              <w:t>Certification of the Chief Financial Officer of the Company pursuant to Rule 13a-14(a) under the Securities Exchange Act of 1934.*</w:t>
            </w:r>
          </w:p>
        </w:tc>
        <w:tc>
          <w:tcPr>
            <w:tcW w:w="40" w:type="dxa"/>
            <w:vAlign w:val="bottom"/>
            <w:tcBorders>
              <w:top w:val="single" w:sz="8" w:color="0000FF"/>
            </w:tcBorders>
          </w:tcPr>
          <w:p>
            <w:pPr>
              <w:spacing w:after="0"/>
              <w:rPr>
                <w:sz w:val="24"/>
                <w:szCs w:val="24"/>
                <w:color w:val="auto"/>
              </w:rPr>
            </w:pPr>
          </w:p>
        </w:tc>
        <w:tc>
          <w:tcPr>
            <w:tcW w:w="540" w:type="dxa"/>
            <w:vAlign w:val="bottom"/>
            <w:gridSpan w:val="6"/>
          </w:tcPr>
          <w:p>
            <w:pPr>
              <w:spacing w:after="0"/>
              <w:rPr>
                <w:sz w:val="24"/>
                <w:szCs w:val="24"/>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8"/>
                <w:szCs w:val="18"/>
                <w:color w:val="auto"/>
              </w:rPr>
              <w:t>32.1</w:t>
            </w:r>
          </w:p>
        </w:tc>
        <w:tc>
          <w:tcPr>
            <w:tcW w:w="100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 as adopted pursuant to Section 906 of the Sarbanes-Oxley Act</w:t>
            </w:r>
          </w:p>
        </w:tc>
        <w:tc>
          <w:tcPr>
            <w:tcW w:w="4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4"/>
              </w:rPr>
              <w:t>of 2002.*</w:t>
            </w:r>
          </w:p>
        </w:tc>
        <w:tc>
          <w:tcPr>
            <w:tcW w:w="9420" w:type="dxa"/>
            <w:vAlign w:val="bottom"/>
            <w:gridSpan w:val="15"/>
          </w:tcPr>
          <w:p>
            <w:pPr>
              <w:spacing w:after="0"/>
              <w:rPr>
                <w:sz w:val="17"/>
                <w:szCs w:val="17"/>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8"/>
                <w:szCs w:val="18"/>
                <w:color w:val="auto"/>
              </w:rPr>
              <w:t>32.2</w:t>
            </w:r>
          </w:p>
        </w:tc>
        <w:tc>
          <w:tcPr>
            <w:tcW w:w="100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906 of the Sarbanes-Oxley Act</w:t>
            </w:r>
          </w:p>
        </w:tc>
        <w:tc>
          <w:tcPr>
            <w:tcW w:w="100" w:type="dxa"/>
            <w:vAlign w:val="bottom"/>
            <w:gridSpan w:val="4"/>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4"/>
              </w:rPr>
              <w:t>of 2002.*</w:t>
            </w:r>
          </w:p>
        </w:tc>
        <w:tc>
          <w:tcPr>
            <w:tcW w:w="9420" w:type="dxa"/>
            <w:vAlign w:val="bottom"/>
            <w:gridSpan w:val="15"/>
          </w:tcPr>
          <w:p>
            <w:pPr>
              <w:spacing w:after="0"/>
              <w:rPr>
                <w:sz w:val="17"/>
                <w:szCs w:val="17"/>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100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Inline XBRL Instance Document. The instance document does not appear in the Interactive Data File because its XBRL tags are embedded</w:t>
            </w:r>
          </w:p>
        </w:tc>
        <w:tc>
          <w:tcPr>
            <w:tcW w:w="60" w:type="dxa"/>
            <w:vAlign w:val="bottom"/>
            <w:gridSpan w:val="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0120" w:type="dxa"/>
            <w:vAlign w:val="bottom"/>
            <w:gridSpan w:val="16"/>
          </w:tcPr>
          <w:p>
            <w:pPr>
              <w:spacing w:after="0" w:line="196" w:lineRule="exact"/>
              <w:rPr>
                <w:sz w:val="20"/>
                <w:szCs w:val="20"/>
                <w:color w:val="auto"/>
              </w:rPr>
            </w:pPr>
            <w:r>
              <w:rPr>
                <w:rFonts w:ascii="Arial" w:cs="Arial" w:eastAsia="Arial" w:hAnsi="Arial"/>
                <w:sz w:val="18"/>
                <w:szCs w:val="18"/>
                <w:color w:val="0000FF"/>
              </w:rPr>
              <w:t>within the Inline XBRL document.</w:t>
            </w:r>
          </w:p>
        </w:tc>
      </w:tr>
      <w:tr>
        <w:trPr>
          <w:trHeight w:val="20"/>
        </w:trPr>
        <w:tc>
          <w:tcPr>
            <w:tcW w:w="98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16"/>
          </w:tcPr>
          <w:p>
            <w:pPr>
              <w:spacing w:after="0"/>
              <w:rPr>
                <w:sz w:val="20"/>
                <w:szCs w:val="20"/>
                <w:color w:val="auto"/>
              </w:rPr>
            </w:pPr>
            <w:r>
              <w:rPr>
                <w:rFonts w:ascii="Arial" w:cs="Arial" w:eastAsia="Arial" w:hAnsi="Arial"/>
                <w:sz w:val="18"/>
                <w:szCs w:val="18"/>
                <w:color w:val="0000FF"/>
              </w:rPr>
              <w:t>Inline XBRL Taxonomy Extension Schema Document.</w:t>
            </w:r>
          </w:p>
        </w:tc>
      </w:tr>
      <w:tr>
        <w:trPr>
          <w:trHeight w:val="20"/>
        </w:trPr>
        <w:tc>
          <w:tcPr>
            <w:tcW w:w="980" w:type="dxa"/>
            <w:vAlign w:val="bottom"/>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9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Inline XBRL Taxonomy Extension Calculation Linkbase Document.</w:t>
            </w:r>
          </w:p>
        </w:tc>
        <w:tc>
          <w:tcPr>
            <w:tcW w:w="5180" w:type="dxa"/>
            <w:vAlign w:val="bottom"/>
            <w:gridSpan w:val="10"/>
          </w:tcPr>
          <w:p>
            <w:pPr>
              <w:spacing w:after="0"/>
              <w:rPr>
                <w:sz w:val="24"/>
                <w:szCs w:val="24"/>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16"/>
          </w:tcPr>
          <w:p>
            <w:pPr>
              <w:spacing w:after="0"/>
              <w:rPr>
                <w:sz w:val="20"/>
                <w:szCs w:val="20"/>
                <w:color w:val="auto"/>
              </w:rPr>
            </w:pPr>
            <w:r>
              <w:rPr>
                <w:rFonts w:ascii="Arial" w:cs="Arial" w:eastAsia="Arial" w:hAnsi="Arial"/>
                <w:sz w:val="18"/>
                <w:szCs w:val="18"/>
                <w:color w:val="0000FF"/>
              </w:rPr>
              <w:t>Inline XBRL Taxonomy Extension Definition Linkbase Document.</w:t>
            </w:r>
          </w:p>
        </w:tc>
      </w:tr>
      <w:tr>
        <w:trPr>
          <w:trHeight w:val="46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5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Inline XBRL Taxonomy Extension Label Linkbase Document.</w:t>
            </w:r>
          </w:p>
        </w:tc>
        <w:tc>
          <w:tcPr>
            <w:tcW w:w="320" w:type="dxa"/>
            <w:vAlign w:val="bottom"/>
            <w:tcBorders>
              <w:top w:val="single" w:sz="8" w:color="0000FF"/>
            </w:tcBorders>
          </w:tcPr>
          <w:p>
            <w:pPr>
              <w:spacing w:after="0"/>
              <w:rPr>
                <w:sz w:val="24"/>
                <w:szCs w:val="24"/>
                <w:color w:val="auto"/>
              </w:rPr>
            </w:pPr>
          </w:p>
        </w:tc>
        <w:tc>
          <w:tcPr>
            <w:tcW w:w="5280" w:type="dxa"/>
            <w:vAlign w:val="bottom"/>
            <w:gridSpan w:val="11"/>
          </w:tcPr>
          <w:p>
            <w:pPr>
              <w:spacing w:after="0"/>
              <w:rPr>
                <w:sz w:val="24"/>
                <w:szCs w:val="24"/>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50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1"/>
              </w:rPr>
              <w:t>Inline XBRL Taxonomy Extension Presentation Linkbase Document.</w:t>
            </w:r>
          </w:p>
        </w:tc>
        <w:tc>
          <w:tcPr>
            <w:tcW w:w="5120" w:type="dxa"/>
            <w:vAlign w:val="bottom"/>
            <w:gridSpan w:val="9"/>
          </w:tcPr>
          <w:p>
            <w:pPr>
              <w:spacing w:after="0"/>
              <w:rPr>
                <w:sz w:val="24"/>
                <w:szCs w:val="24"/>
                <w:color w:val="auto"/>
              </w:rPr>
            </w:pPr>
          </w:p>
        </w:tc>
      </w:tr>
    </w:tbl>
    <w:p>
      <w:pPr>
        <w:spacing w:after="0" w:line="283" w:lineRule="exact"/>
        <w:rPr>
          <w:sz w:val="20"/>
          <w:szCs w:val="20"/>
          <w:color w:val="auto"/>
        </w:rPr>
      </w:pPr>
    </w:p>
    <w:p>
      <w:pPr>
        <w:ind w:left="1060" w:right="40" w:hanging="982"/>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FF"/>
        </w:rPr>
        <w:t>Cover Page Interactive Data File – The cover page interactive data file does not appear in the interactive data file because its XBRL tags are embedded within the Inline XBRL document.</w:t>
      </w:r>
    </w:p>
    <w:p>
      <w:pPr>
        <w:spacing w:after="0" w:line="224"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6" w:name="page27"/>
    <w:bookmarkEnd w:id="26"/>
    <w:p>
      <w:pPr>
        <w:jc w:val="center"/>
        <w:ind w:right="-2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340" w:firstLine="2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DESTINATION XL GROUP, INC.</w:t>
      </w:r>
    </w:p>
    <w:p>
      <w:pPr>
        <w:spacing w:after="0" w:line="306" w:lineRule="exact"/>
        <w:rPr>
          <w:sz w:val="20"/>
          <w:szCs w:val="20"/>
          <w:color w:val="auto"/>
        </w:rPr>
      </w:pPr>
    </w:p>
    <w:p>
      <w:pPr>
        <w:ind w:left="20"/>
        <w:spacing w:after="0"/>
        <w:tabs>
          <w:tab w:leader="none" w:pos="5940" w:val="left"/>
          <w:tab w:leader="none" w:pos="6760" w:val="left"/>
        </w:tabs>
        <w:rPr>
          <w:sz w:val="20"/>
          <w:szCs w:val="20"/>
          <w:color w:val="auto"/>
        </w:rPr>
      </w:pPr>
      <w:r>
        <w:rPr>
          <w:rFonts w:ascii="Arial" w:cs="Arial" w:eastAsia="Arial" w:hAnsi="Arial"/>
          <w:sz w:val="18"/>
          <w:szCs w:val="18"/>
          <w:color w:val="auto"/>
        </w:rPr>
        <w:t>Date: May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23495</wp:posOffset>
            </wp:positionV>
            <wp:extent cx="28378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F. Cooney</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 Chief Accounting Officer and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Corporate Controller (Duly Authorized Officer and Chief</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41" w:right="65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Harvey S. Kanter,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20" w:val="left"/>
          <w:tab w:leader="none" w:pos="6740" w:val="left"/>
          <w:tab w:leader="none" w:pos="8400" w:val="left"/>
        </w:tabs>
        <w:rPr>
          <w:sz w:val="20"/>
          <w:szCs w:val="20"/>
          <w:color w:val="auto"/>
        </w:rPr>
      </w:pPr>
      <w:r>
        <w:rPr>
          <w:rFonts w:ascii="Arial" w:cs="Arial" w:eastAsia="Arial" w:hAnsi="Arial"/>
          <w:sz w:val="18"/>
          <w:szCs w:val="18"/>
          <w:color w:val="auto"/>
        </w:rPr>
        <w:t>Date:</w:t>
        <w:tab/>
        <w:t>May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23495</wp:posOffset>
            </wp:positionV>
            <wp:extent cx="26403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1"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Harvey S. Kanter</w:t>
      </w:r>
    </w:p>
    <w:p>
      <w:pPr>
        <w:spacing w:after="0" w:line="25"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620" w:val="left"/>
          <w:tab w:leader="none" w:pos="6740" w:val="left"/>
          <w:tab w:leader="none" w:pos="8300" w:val="left"/>
        </w:tabs>
        <w:rPr>
          <w:sz w:val="20"/>
          <w:szCs w:val="20"/>
          <w:color w:val="auto"/>
        </w:rPr>
      </w:pPr>
      <w:r>
        <w:rPr>
          <w:rFonts w:ascii="Arial" w:cs="Arial" w:eastAsia="Arial" w:hAnsi="Arial"/>
          <w:sz w:val="18"/>
          <w:szCs w:val="18"/>
          <w:color w:val="auto"/>
        </w:rPr>
        <w:t>Date:</w:t>
        <w:tab/>
        <w:t>May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23495</wp:posOffset>
            </wp:positionV>
            <wp:extent cx="26403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1"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Peter H. Stratton, Jr.</w:t>
      </w:r>
    </w:p>
    <w:p>
      <w:pPr>
        <w:spacing w:after="0" w:line="25"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April 29, 2023, as filed with the Securities and Exchange Commission on the date hereof (the “Report”), I, Harvey S. Kanter, Chief Executive Officer of the Company, certify pursuant to 18 U.S.C. § 1350, as adopted pursuant to § 906 of the Sarbanes-Oxley Act of 2002, that:</w:t>
      </w:r>
    </w:p>
    <w:p>
      <w:pPr>
        <w:spacing w:after="0" w:line="76" w:lineRule="exact"/>
        <w:rPr>
          <w:sz w:val="20"/>
          <w:szCs w:val="20"/>
          <w:color w:val="auto"/>
        </w:rPr>
      </w:pPr>
    </w:p>
    <w:p>
      <w:pPr>
        <w:ind w:left="1400" w:right="480" w:hanging="374"/>
        <w:spacing w:after="0" w:line="277" w:lineRule="auto"/>
        <w:tabs>
          <w:tab w:leader="none" w:pos="12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00" w:right="260" w:hanging="374"/>
        <w:spacing w:after="0" w:line="277" w:lineRule="auto"/>
        <w:tabs>
          <w:tab w:leader="none" w:pos="12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55" w:lineRule="exact"/>
        <w:rPr>
          <w:sz w:val="20"/>
          <w:szCs w:val="20"/>
          <w:color w:val="auto"/>
        </w:rPr>
      </w:pPr>
    </w:p>
    <w:p>
      <w:pPr>
        <w:ind w:left="20"/>
        <w:spacing w:after="0"/>
        <w:tabs>
          <w:tab w:leader="none" w:pos="620" w:val="left"/>
          <w:tab w:leader="none" w:pos="6760" w:val="left"/>
          <w:tab w:leader="none" w:pos="8400" w:val="left"/>
        </w:tabs>
        <w:rPr>
          <w:sz w:val="20"/>
          <w:szCs w:val="20"/>
          <w:color w:val="auto"/>
        </w:rPr>
      </w:pPr>
      <w:r>
        <w:rPr>
          <w:rFonts w:ascii="Arial" w:cs="Arial" w:eastAsia="Arial" w:hAnsi="Arial"/>
          <w:sz w:val="18"/>
          <w:szCs w:val="18"/>
          <w:color w:val="auto"/>
        </w:rPr>
        <w:t>Date:</w:t>
        <w:tab/>
        <w:t>May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Harvey S. Kanter</w:t>
      </w:r>
    </w:p>
    <w:p>
      <w:pPr>
        <w:spacing w:after="0" w:line="28"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Harvey S. Kanter</w:t>
      </w:r>
    </w:p>
    <w:p>
      <w:pPr>
        <w:spacing w:after="0" w:line="25"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Chief Executive Officer</w:t>
      </w:r>
    </w:p>
    <w:p>
      <w:pPr>
        <w:spacing w:after="0" w:line="215"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April 29, 2023,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6" w:lineRule="exact"/>
        <w:rPr>
          <w:sz w:val="20"/>
          <w:szCs w:val="20"/>
          <w:color w:val="auto"/>
        </w:rPr>
      </w:pPr>
    </w:p>
    <w:p>
      <w:pPr>
        <w:ind w:left="1400" w:right="480" w:hanging="374"/>
        <w:spacing w:after="0" w:line="277" w:lineRule="auto"/>
        <w:tabs>
          <w:tab w:leader="none" w:pos="12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00" w:right="260" w:hanging="374"/>
        <w:spacing w:after="0" w:line="277" w:lineRule="auto"/>
        <w:tabs>
          <w:tab w:leader="none" w:pos="12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55" w:lineRule="exact"/>
        <w:rPr>
          <w:sz w:val="20"/>
          <w:szCs w:val="20"/>
          <w:color w:val="auto"/>
        </w:rPr>
      </w:pPr>
    </w:p>
    <w:p>
      <w:pPr>
        <w:ind w:left="20"/>
        <w:spacing w:after="0"/>
        <w:tabs>
          <w:tab w:leader="none" w:pos="580" w:val="left"/>
          <w:tab w:leader="none" w:pos="6740" w:val="left"/>
          <w:tab w:leader="none" w:pos="8280" w:val="left"/>
        </w:tabs>
        <w:rPr>
          <w:sz w:val="20"/>
          <w:szCs w:val="20"/>
          <w:color w:val="auto"/>
        </w:rPr>
      </w:pPr>
      <w:r>
        <w:rPr>
          <w:rFonts w:ascii="Arial" w:cs="Arial" w:eastAsia="Arial" w:hAnsi="Arial"/>
          <w:sz w:val="18"/>
          <w:szCs w:val="18"/>
          <w:color w:val="auto"/>
        </w:rPr>
        <w:t>Date:</w:t>
        <w:tab/>
        <w:t>May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Peter H. Stratton, Jr.</w:t>
      </w:r>
    </w:p>
    <w:p>
      <w:pPr>
        <w:spacing w:after="0" w:line="28"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Peter H. Stratton, Jr.</w:t>
      </w:r>
    </w:p>
    <w:p>
      <w:pPr>
        <w:spacing w:after="0" w:line="25"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Chief Financial Officer</w:t>
      </w:r>
    </w:p>
    <w:p>
      <w:pPr>
        <w:spacing w:after="0" w:line="215"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Roman"/>
      <w:start w:val="2"/>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04"/>
    </w:lvl>
    <w:lvl w:ilvl="1">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22" Type="http://schemas.openxmlformats.org/officeDocument/2006/relationships/hyperlink" Target="https://www.sec.gov/Archives/edgar/data/813298/000095017023012911/dxlg-ex10_1.htm" TargetMode="External"/><Relationship Id="rId123" Type="http://schemas.openxmlformats.org/officeDocument/2006/relationships/hyperlink" Target="https://www.sec.gov/Archives/edgar/data/813298/000095017023013942/dxlg-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2023-05-25T14:52:33Z</dcterms:created>
  <dcterms:modified xsi:type="dcterms:W3CDTF">2023-05-25T14:52:33Z</dcterms:modified>
</cp:coreProperties>
</file>