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71"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4"/>
          <w:szCs w:val="24"/>
          <w:color w:val="auto"/>
        </w:rPr>
      </w:pPr>
    </w:p>
    <w:p>
      <w:pPr>
        <w:jc w:val="center"/>
        <w:ind w:right="-619"/>
        <w:spacing w:after="0"/>
        <w:rPr>
          <w:sz w:val="20"/>
          <w:szCs w:val="20"/>
          <w:color w:val="auto"/>
        </w:rPr>
      </w:pPr>
      <w:r>
        <w:rPr>
          <w:rFonts w:ascii="Arial" w:cs="Arial" w:eastAsia="Arial" w:hAnsi="Arial"/>
          <w:sz w:val="24"/>
          <w:szCs w:val="24"/>
          <w:b w:val="1"/>
          <w:bCs w:val="1"/>
          <w:color w:val="auto"/>
        </w:rPr>
        <w:t>CASUAL MALE RETAIL GROUP, INC. 401(K) SALARIED SAVINGS PLAN</w:t>
      </w:r>
    </w:p>
    <w:p>
      <w:pPr>
        <w:spacing w:after="0" w:line="41" w:lineRule="exact"/>
        <w:rPr>
          <w:sz w:val="24"/>
          <w:szCs w:val="24"/>
          <w:color w:val="auto"/>
        </w:rPr>
      </w:pPr>
    </w:p>
    <w:p>
      <w:pPr>
        <w:ind w:left="4920"/>
        <w:spacing w:after="0"/>
        <w:rPr>
          <w:sz w:val="20"/>
          <w:szCs w:val="20"/>
          <w:color w:val="auto"/>
        </w:rPr>
      </w:pPr>
      <w:r>
        <w:rPr>
          <w:rFonts w:ascii="Arial" w:cs="Arial" w:eastAsia="Arial" w:hAnsi="Arial"/>
          <w:sz w:val="18"/>
          <w:szCs w:val="18"/>
          <w:b w:val="1"/>
          <w:bCs w:val="1"/>
          <w:i w:val="1"/>
          <w:iCs w:val="1"/>
          <w:color w:val="auto"/>
        </w:rPr>
        <w:t>(Full title of the plan)</w:t>
      </w:r>
    </w:p>
    <w:p>
      <w:pPr>
        <w:spacing w:after="0" w:line="152"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Canton, Massachusetts 02021</w:t>
      </w:r>
    </w:p>
    <w:p>
      <w:pPr>
        <w:jc w:val="center"/>
        <w:ind w:right="-619"/>
        <w:spacing w:after="0"/>
        <w:rPr>
          <w:sz w:val="20"/>
          <w:szCs w:val="20"/>
          <w:color w:val="auto"/>
        </w:rPr>
      </w:pPr>
      <w:r>
        <w:rPr>
          <w:rFonts w:ascii="Arial" w:cs="Arial" w:eastAsia="Arial" w:hAnsi="Arial"/>
          <w:sz w:val="14"/>
          <w:szCs w:val="14"/>
          <w:b w:val="1"/>
          <w:bCs w:val="1"/>
          <w:i w:val="1"/>
          <w:iCs w:val="1"/>
          <w:color w:val="auto"/>
        </w:rPr>
        <w:t>(Name of issuer of the securities held pursuant to the plan and the address</w:t>
      </w:r>
    </w:p>
    <w:p>
      <w:pPr>
        <w:jc w:val="center"/>
        <w:ind w:right="-619"/>
        <w:spacing w:after="0"/>
        <w:rPr>
          <w:sz w:val="20"/>
          <w:szCs w:val="20"/>
          <w:color w:val="auto"/>
        </w:rPr>
      </w:pPr>
      <w:r>
        <w:rPr>
          <w:rFonts w:ascii="Arial" w:cs="Arial" w:eastAsia="Arial" w:hAnsi="Arial"/>
          <w:sz w:val="14"/>
          <w:szCs w:val="14"/>
          <w:b w:val="1"/>
          <w:bCs w:val="1"/>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Financial Statements and Supplemental Schedule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4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58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2009 and 2008</w:t>
              </w:r>
            </w:hyperlink>
          </w:p>
        </w:tc>
        <w:tc>
          <w:tcPr>
            <w:tcW w:w="1500" w:type="dxa"/>
            <w:vAlign w:val="bottom"/>
            <w:gridSpan w:val="2"/>
          </w:tcPr>
          <w:p>
            <w:pPr>
              <w:spacing w:after="0"/>
              <w:rPr>
                <w:sz w:val="24"/>
                <w:szCs w:val="24"/>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7360" w:type="dxa"/>
            <w:vAlign w:val="bottom"/>
            <w:gridSpan w:val="6"/>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Statement of Changes in Net Assets Available for Benefits For the Year Ended December 31, 2009</w:t>
              </w:r>
            </w:hyperlink>
          </w:p>
        </w:tc>
        <w:tc>
          <w:tcPr>
            <w:tcW w:w="4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940" w:type="dxa"/>
            <w:vAlign w:val="bottom"/>
            <w:tcBorders>
              <w:top w:val="single" w:sz="8" w:color="0000EE"/>
            </w:tcBorders>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420" w:type="dxa"/>
            <w:vAlign w:val="bottom"/>
          </w:tcPr>
          <w:p>
            <w:pPr>
              <w:spacing w:after="0"/>
              <w:rPr>
                <w:sz w:val="24"/>
                <w:szCs w:val="24"/>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412"/>
        </w:trPr>
        <w:tc>
          <w:tcPr>
            <w:tcW w:w="1760" w:type="dxa"/>
            <w:vAlign w:val="bottom"/>
            <w:tcBorders>
              <w:top w:val="single" w:sz="8" w:color="0000EE"/>
              <w:bottom w:val="single" w:sz="8" w:color="0000EE"/>
            </w:tcBorders>
          </w:tcPr>
          <w:p>
            <w:pPr>
              <w:spacing w:after="0"/>
              <w:rPr>
                <w:rFonts w:ascii="Arial" w:cs="Arial" w:eastAsia="Arial" w:hAnsi="Arial"/>
                <w:sz w:val="18"/>
                <w:szCs w:val="18"/>
                <w:color w:val="0000EE"/>
                <w:w w:val="86"/>
              </w:rPr>
            </w:pPr>
            <w:hyperlink w:anchor="page18">
              <w:r>
                <w:rPr>
                  <w:rFonts w:ascii="Arial" w:cs="Arial" w:eastAsia="Arial" w:hAnsi="Arial"/>
                  <w:sz w:val="18"/>
                  <w:szCs w:val="18"/>
                  <w:color w:val="0000EE"/>
                  <w:w w:val="86"/>
                </w:rPr>
                <w:t>Supplementary Schedule</w:t>
              </w:r>
            </w:hyperlink>
          </w:p>
        </w:tc>
        <w:tc>
          <w:tcPr>
            <w:tcW w:w="340" w:type="dxa"/>
            <w:vAlign w:val="bottom"/>
            <w:tcBorders>
              <w:top w:val="single" w:sz="8" w:color="0000EE"/>
            </w:tcBorders>
          </w:tcPr>
          <w:p>
            <w:pPr>
              <w:spacing w:after="0"/>
              <w:rPr>
                <w:sz w:val="24"/>
                <w:szCs w:val="24"/>
                <w:color w:val="auto"/>
              </w:rPr>
            </w:pPr>
          </w:p>
        </w:tc>
        <w:tc>
          <w:tcPr>
            <w:tcW w:w="5260" w:type="dxa"/>
            <w:vAlign w:val="bottom"/>
            <w:gridSpan w:val="4"/>
          </w:tcPr>
          <w:p>
            <w:pPr>
              <w:spacing w:after="0"/>
              <w:rPr>
                <w:sz w:val="24"/>
                <w:szCs w:val="24"/>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73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Schedule H, Line 4i – Schedule of Assets For Investment Purposes At End of Year (December 31, 2009)</w:t>
              </w:r>
            </w:hyperlink>
          </w:p>
        </w:tc>
        <w:tc>
          <w:tcPr>
            <w:tcW w:w="406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Salaried Savings Plan</w:t>
      </w:r>
    </w:p>
    <w:p>
      <w:pPr>
        <w:spacing w:after="0" w:line="165"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Casual Male Retail Group, Inc. 401(k) Salaried Savings Plan as of December 31, 2009 and 2008, and the related statement of changes in net assets available for benefits for the year ended December 31, 2009.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2009 and 2008 and the changes in its net assets available for benefits for the year ended December 31, 2009, in conformity with accounting principles generally accepted in the United States of America.</w:t>
      </w:r>
    </w:p>
    <w:p>
      <w:pPr>
        <w:spacing w:after="0" w:line="1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audit was performed for the purpose of forming an opinion on the financial statements taken as a whole. The accompanying supplemental schedule of assets held for investment purposes at end of year (December 31, 2009)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This supplemental schedule has been subjected to the auditing procedures applied in our audit of the financial statements and, in our opinion, is fairly stated in all material respects in relation to the financial statements taken as a whole.</w:t>
      </w:r>
    </w:p>
    <w:p>
      <w:pPr>
        <w:spacing w:after="0" w:line="18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Mayer Hoffman McCann CPAs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6"/>
          <w:szCs w:val="16"/>
          <w:color w:val="auto"/>
        </w:rPr>
        <w:t>(The New York Practice of Mayer Hoffman McCann P.C.)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 and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Borders>
              <w:top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Investments, at fair value (Notes 3 and 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$ 22,884,979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$ 16,817,863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 receivable</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854,632</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817,646</w:t>
            </w:r>
          </w:p>
        </w:tc>
        <w:tc>
          <w:tcPr>
            <w:tcW w:w="20" w:type="dxa"/>
            <w:vAlign w:val="bottom"/>
          </w:tcPr>
          <w:p>
            <w:pPr>
              <w:spacing w:after="0"/>
              <w:rPr>
                <w:sz w:val="18"/>
                <w:szCs w:val="18"/>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investments at fair value (Note 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23,739,611</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17,635,509</w:t>
            </w: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 receivable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Employer contributions receivable</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423,912</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1,001,294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24,222,383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18,636,803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b w:val="1"/>
                <w:bCs w:val="1"/>
                <w:color w:val="auto"/>
              </w:rPr>
              <w:t>Liability</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Excess deferred compensation contributions (Note 9)</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Net assets reflecting all investments at fair value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24,221,683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18,636,558</w:t>
            </w: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118,977</w:t>
            </w:r>
          </w:p>
        </w:tc>
        <w:tc>
          <w:tcPr>
            <w:tcW w:w="20" w:type="dxa"/>
            <w:vAlign w:val="bottom"/>
          </w:tcPr>
          <w:p>
            <w:pPr>
              <w:spacing w:after="0"/>
              <w:rPr>
                <w:sz w:val="18"/>
                <w:szCs w:val="18"/>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$ 24,228,086</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$ 18,755,535</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1800"/>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Statement of Changes in Net Assets Available for Benefits</w:t>
      </w:r>
    </w:p>
    <w:p>
      <w:pPr>
        <w:spacing w:after="0" w:line="5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For the Year ended December 31, 2009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to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Employer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Net appreciation in fair value of investments (Note 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Transfers into the Plan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Total additions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 from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Benefits paid directly to participants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Transfers out of the Plan (Note 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increase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end of year</w:t>
      </w:r>
    </w:p>
    <w:p>
      <w:pPr>
        <w:spacing w:after="0" w:line="225" w:lineRule="exact"/>
        <w:rPr>
          <w:sz w:val="20"/>
          <w:szCs w:val="20"/>
          <w:color w:val="auto"/>
        </w:rPr>
      </w:pPr>
    </w:p>
    <w:p>
      <w:pPr>
        <w:jc w:val="center"/>
        <w:ind w:left="1640"/>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hanging="218"/>
        <w:spacing w:after="0"/>
        <w:tabs>
          <w:tab w:leader="none" w:pos="220" w:val="left"/>
        </w:tabs>
        <w:numPr>
          <w:ilvl w:val="0"/>
          <w:numId w:val="3"/>
        </w:numPr>
        <w:rPr>
          <w:rFonts w:ascii="Arial" w:cs="Arial" w:eastAsia="Arial" w:hAnsi="Arial"/>
          <w:sz w:val="15"/>
          <w:szCs w:val="15"/>
          <w:color w:val="auto"/>
        </w:rPr>
      </w:pPr>
      <w:r>
        <w:rPr>
          <w:rFonts w:ascii="Arial" w:cs="Arial" w:eastAsia="Arial" w:hAnsi="Arial"/>
          <w:sz w:val="15"/>
          <w:szCs w:val="15"/>
          <w:color w:val="auto"/>
        </w:rPr>
        <w:t>2,094,384</w:t>
      </w:r>
    </w:p>
    <w:p>
      <w:pPr>
        <w:spacing w:after="0" w:line="49"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6"/>
          <w:szCs w:val="16"/>
          <w:color w:val="auto"/>
        </w:rPr>
        <w:t>428,200</w:t>
      </w:r>
    </w:p>
    <w:p>
      <w:pPr>
        <w:spacing w:after="0" w:line="32"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6"/>
          <w:szCs w:val="16"/>
          <w:color w:val="auto"/>
        </w:rPr>
        <w:t>178,633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5829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2,701,217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4,426,118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490,159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829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4,916,277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590,380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829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8,207,874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5829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2,571,201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35,253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128,869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829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2,735,323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5,472,551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18,755,535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829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$ 24,228,086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50165</wp:posOffset>
            </wp:positionV>
            <wp:extent cx="5829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ectPr>
          <w:pgSz w:w="11900" w:h="16838" w:orient="portrait"/>
          <w:cols w:equalWidth="0" w:num="2">
            <w:col w:w="9780" w:space="720"/>
            <w:col w:w="9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u w:val="single" w:color="auto"/>
          <w:color w:val="auto"/>
        </w:rPr>
        <w:t>Description of the Plan</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description of Casual Male Retail Group, Inc. 401(k) Salaried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Plan is a defined contribution plan covering certain eligible employees of the Casual Male Retail Group, Inc. (the “Company”). The Plan is subject to the provisions of the Employee Retirement Income Security Act of 1974 (ERISA).</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Eligibility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All salaried employees of the Company who have completed six months of employment and are at least 21 years of age are eligible to participate in the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After completing age and service requirements, the employee can enter the Plan on the first day of any subsequent month.</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participants change positions at the Company, they may change from hourly to salary status or vice versa. Assets transferred to the Casual Male Retail Group, Inc. 401(k) Hourly Savings Plan during the year ended December 31, 2009 were $128,869. Assets transferred from the Casual Male Retail Group, Inc. 401(k) Hourly Savings Plan during the year ended December 31, 2009 were $590,380.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Contributions</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Effective January 1, 2008, the Plan approved and adopted the Safe Harbor Matching provisions permitted under the Pension Protection Act of 2006. Effective May 31, 2009, the Company cancelled the Safe Harbor Matching contribution. While there is no immediate intent to match the participant’s deferrals beyond the pay period ending May 31, 2009, the Company retains the right to make a discretionary matching contribution. For the period January 1, through May 31, 2009, the Company contributed a match equal to the sum of ( i ) 100% of the participant’s elective deferral for the first 1% of compensation plus ( ii ) 50% of the participant’s elective deferral for the next 5% of compensation.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u w:val="single" w:color="auto"/>
          <w:color w:val="auto"/>
        </w:rPr>
        <w:t>Description of the Plan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Automatic Enrollment</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5% of their compensation automatically deferred unless the employee affirmatively elects a different elective deferral contribution percentage (including a zero percent election). Unless an eligible employee affirmatively elects not to contribute or changes it’s deferral rate, the pre-tax deferral will increase annually by 1% not to exceed 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Participants’ Accounts</w:t>
      </w:r>
    </w:p>
    <w:p>
      <w:pPr>
        <w:spacing w:after="0" w:line="90"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Each participant’s account is credited with the participant’s contributions, the Company’s matching and discretionary contribution, plan earnings, and an allocation of plan expenses. The benefit to which a participant is entitled is the benefit that can be provided from the participant’s account.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Forfeitures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2009 and 2008, forfeited non-vested accounts totaled $51,472 and $13,028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Vesting</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A participant is 100% vested after two years of credited service.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a participant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u w:val="single" w:color="auto"/>
          <w:color w:val="auto"/>
        </w:rPr>
        <w:t>Description of the Plan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Participant Loans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 / (from) the investment fund from / (to) the Participant loans fund. Loans are secured by the balance in the participant’s account. Loan terms range from one to five years unless the loan is used to purchase a primary residence, in which case the loan may be repaid over a ten-year period. Other restrictions, as specified in the Plan agreement, may apply to a participant’s loan transaction. Interest rates range from 4.75% to 9.25% at December 31, 2009. Principal and interest is paid ratably through payroll deductions.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Plan Expenses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2009, there were no expenses paid by the Company.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Payment of Benefits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Distribution can be made if requested due to disability, retirement, or termination of employment. On termination of service for any reason, a participant may receive a lump sum amount equal to the vested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43"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Beneficiaries may request a distribution of vested Account balance in the event of death. The Account balance will continue to increase or decrease, as appropriate, based on the investment returns until it is distributed.</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Casual Male Retail Group, Inc. 401(k) Salaried Savings Plan lump sum distribution without the participant’s consent. Prior to such distribution, participants still have the right to request that the amount be distributed directly to them in the form of a lump sum payment or to request that it be rolled-over to a different IRA provider or another retirement plan eligible to receive rollover contributions.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u w:val="single" w:color="auto"/>
          <w:color w:val="auto"/>
        </w:rPr>
        <w:t>Description of the Plan (continued)</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Plan Termination</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u w:val="single" w:color="auto"/>
          <w:color w:val="auto"/>
        </w:rPr>
        <w:t>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 of Net Assets Available for Benefits presents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Investment Valuation and Income Recognition</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Investments are stated at fair value. Fair value is the price that would be received to sell an asset or paid to transfer a liability in an orderly transaction between market participants at the measurement date (an exit price). See Note 5 for further discussion of fair value measurements.</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u w:val="single" w:color="auto"/>
          <w:color w:val="auto"/>
        </w:rPr>
        <w:t>Summary of Significant Accounting Policies (continued)</w:t>
      </w:r>
    </w:p>
    <w:p>
      <w:pPr>
        <w:spacing w:after="0" w:line="16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 xml:space="preserve">In January 2010, Financial Accounting Standards Board (“FASB”) issued Accounting Standards Update (“ASU”) 2010-06, </w:t>
      </w:r>
      <w:r>
        <w:rPr>
          <w:rFonts w:ascii="Arial" w:cs="Arial" w:eastAsia="Arial" w:hAnsi="Arial"/>
          <w:sz w:val="15"/>
          <w:szCs w:val="15"/>
          <w:i w:val="1"/>
          <w:iCs w:val="1"/>
          <w:color w:val="auto"/>
        </w:rPr>
        <w:t>Improving Disclosures about Fair</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Measurements</w:t>
      </w:r>
      <w:r>
        <w:rPr>
          <w:rFonts w:ascii="Arial" w:cs="Arial" w:eastAsia="Arial" w:hAnsi="Arial"/>
          <w:sz w:val="15"/>
          <w:szCs w:val="15"/>
          <w:color w:val="auto"/>
        </w:rPr>
        <w:t>, which provides amendments to subtopic 820-10 that require separate disclosure of significant transfers in and out of Level 1 and Level 2 fair</w:t>
      </w:r>
      <w:r>
        <w:rPr>
          <w:rFonts w:ascii="Arial" w:cs="Arial" w:eastAsia="Arial" w:hAnsi="Arial"/>
          <w:sz w:val="15"/>
          <w:szCs w:val="15"/>
          <w:i w:val="1"/>
          <w:iCs w:val="1"/>
          <w:color w:val="auto"/>
        </w:rPr>
        <w:t xml:space="preserve"> </w:t>
      </w:r>
      <w:r>
        <w:rPr>
          <w:rFonts w:ascii="Arial" w:cs="Arial" w:eastAsia="Arial" w:hAnsi="Arial"/>
          <w:sz w:val="15"/>
          <w:szCs w:val="15"/>
          <w:color w:val="auto"/>
        </w:rPr>
        <w:t>value measurements and the presentation of separate information regarding purchases, sales, issuances and settlements for Level 3 fair value measurements. Additionally, ASU 2010-06 provides amendments to subtopic 820-10 that clarify existing disclosures about the level of disaggregation and inputs and valuation techniques. ASU 2010-06 is effective for financial statements issued for interim and annual periods ending after December 15, 2009, except for the disclosures about purchases, sales, issuances and settlements in the rollforward of activity in Level 3 fair value measurements, which are effective for interim and annual periods ending after December 15, 2010. The Plan is currently evaluating the impact of ASU 2010-06 on its financial statements.</w:t>
      </w:r>
    </w:p>
    <w:p>
      <w:pPr>
        <w:spacing w:after="0" w:line="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u w:val="single" w:color="auto"/>
          <w:color w:val="auto"/>
        </w:rPr>
        <w:t>Investments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During 2009, the Plan’s investments (including investments purchased, sold as well as held during the year) appreciated in fair value as follows:</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840" w:type="dxa"/>
            <w:vAlign w:val="bottom"/>
            <w:gridSpan w:val="3"/>
          </w:tcPr>
          <w:p>
            <w:pPr>
              <w:ind w:left="2840"/>
              <w:spacing w:after="0"/>
              <w:rPr>
                <w:sz w:val="20"/>
                <w:szCs w:val="20"/>
                <w:color w:val="auto"/>
              </w:rPr>
            </w:pPr>
            <w:r>
              <w:rPr>
                <w:rFonts w:ascii="Arial" w:cs="Arial" w:eastAsia="Arial" w:hAnsi="Arial"/>
                <w:sz w:val="14"/>
                <w:szCs w:val="14"/>
                <w:b w:val="1"/>
                <w:bCs w:val="1"/>
                <w:color w:val="auto"/>
                <w:w w:val="87"/>
              </w:rPr>
              <w:t>Net Appreciation</w:t>
            </w:r>
          </w:p>
        </w:tc>
      </w:tr>
      <w:tr>
        <w:trPr>
          <w:trHeight w:val="149"/>
        </w:trPr>
        <w:tc>
          <w:tcPr>
            <w:tcW w:w="3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in Fair Value of</w:t>
            </w:r>
          </w:p>
        </w:tc>
      </w:tr>
      <w:tr>
        <w:trPr>
          <w:trHeight w:val="161"/>
        </w:trPr>
        <w:tc>
          <w:tcPr>
            <w:tcW w:w="3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5"/>
              </w:rPr>
              <w:t>Investments</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9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4,071,006</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Common Stock</w:t>
            </w:r>
          </w:p>
        </w:tc>
        <w:tc>
          <w:tcPr>
            <w:tcW w:w="2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355,112</w:t>
            </w:r>
          </w:p>
        </w:tc>
      </w:tr>
      <w:tr>
        <w:trPr>
          <w:trHeight w:val="216"/>
        </w:trPr>
        <w:tc>
          <w:tcPr>
            <w:tcW w:w="39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4,426,118</w:t>
            </w:r>
          </w:p>
        </w:tc>
      </w:tr>
      <w:tr>
        <w:trPr>
          <w:trHeight w:val="20"/>
        </w:trPr>
        <w:tc>
          <w:tcPr>
            <w:tcW w:w="3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Stable Value Fund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4,900,346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4,457,492</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JP Morgan Equity Index</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2,249,811</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1,703,029</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Freedom 2005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1,956,207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1,635,784</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 Rowe Price Growth Stock</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1,890,952</w:t>
            </w:r>
          </w:p>
        </w:tc>
        <w:tc>
          <w:tcPr>
            <w:tcW w:w="2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1,364,018</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Federated Bond Fund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1,297,977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1,127,412</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Columbia Acorn International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1,270,578</w:t>
            </w:r>
          </w:p>
        </w:tc>
        <w:tc>
          <w:tcPr>
            <w:tcW w:w="2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13,565,871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56.0%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10,287,735</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54.9%</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The amount represents contract value for this investment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u w:val="single" w:color="auto"/>
          <w:color w:val="auto"/>
        </w:rPr>
        <w:t>Non Participant Directed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Information about the net assets and the significant components of the change in net assets relating to the non participant directed investments is as follows:</w:t>
      </w:r>
    </w:p>
    <w:p>
      <w:pPr>
        <w:spacing w:after="0" w:line="2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6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ind w:left="440"/>
              <w:spacing w:after="0"/>
              <w:rPr>
                <w:sz w:val="20"/>
                <w:szCs w:val="20"/>
                <w:color w:val="auto"/>
              </w:rPr>
            </w:pPr>
            <w:r>
              <w:rPr>
                <w:rFonts w:ascii="Arial" w:cs="Arial" w:eastAsia="Arial" w:hAnsi="Arial"/>
                <w:sz w:val="18"/>
                <w:szCs w:val="18"/>
                <w:color w:val="auto"/>
              </w:rPr>
              <w:t>Fidelity Advisor Stable Value Fund</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$51,472</w:t>
            </w:r>
          </w:p>
        </w:tc>
        <w:tc>
          <w:tcPr>
            <w:tcW w:w="2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$13,028</w:t>
            </w:r>
          </w:p>
        </w:tc>
        <w:tc>
          <w:tcPr>
            <w:tcW w:w="0" w:type="dxa"/>
            <w:vAlign w:val="bottom"/>
          </w:tcPr>
          <w:p>
            <w:pPr>
              <w:spacing w:after="0"/>
              <w:rPr>
                <w:sz w:val="1"/>
                <w:szCs w:val="1"/>
                <w:color w:val="auto"/>
              </w:rPr>
            </w:pPr>
          </w:p>
        </w:tc>
      </w:tr>
      <w:tr>
        <w:trPr>
          <w:trHeight w:val="332"/>
        </w:trPr>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840" w:type="dxa"/>
            <w:vAlign w:val="bottom"/>
            <w:gridSpan w:val="8"/>
          </w:tcPr>
          <w:p>
            <w:pPr>
              <w:ind w:left="318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Changes in net assets:</w:t>
            </w:r>
          </w:p>
        </w:tc>
        <w:tc>
          <w:tcPr>
            <w:tcW w:w="3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80" w:type="dxa"/>
            <w:vAlign w:val="bottom"/>
          </w:tcPr>
          <w:p>
            <w:pPr>
              <w:ind w:left="440"/>
              <w:spacing w:after="0"/>
              <w:rPr>
                <w:sz w:val="20"/>
                <w:szCs w:val="20"/>
                <w:color w:val="auto"/>
              </w:rPr>
            </w:pPr>
            <w:r>
              <w:rPr>
                <w:rFonts w:ascii="Arial" w:cs="Arial" w:eastAsia="Arial" w:hAnsi="Arial"/>
                <w:sz w:val="18"/>
                <w:szCs w:val="18"/>
                <w:color w:val="auto"/>
              </w:rPr>
              <w:t>Interest and dividend income</w:t>
            </w:r>
          </w:p>
        </w:tc>
        <w:tc>
          <w:tcPr>
            <w:tcW w:w="3300" w:type="dxa"/>
            <w:vAlign w:val="bottom"/>
            <w:gridSpan w:val="2"/>
          </w:tcPr>
          <w:p>
            <w:pPr>
              <w:ind w:left="31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year forfeitures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51,358</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80" w:type="dxa"/>
            <w:vAlign w:val="bottom"/>
          </w:tcPr>
          <w:p>
            <w:pPr>
              <w:ind w:left="440"/>
              <w:spacing w:after="0"/>
              <w:rPr>
                <w:sz w:val="20"/>
                <w:szCs w:val="20"/>
                <w:color w:val="auto"/>
              </w:rPr>
            </w:pPr>
            <w:r>
              <w:rPr>
                <w:rFonts w:ascii="Arial" w:cs="Arial" w:eastAsia="Arial" w:hAnsi="Arial"/>
                <w:sz w:val="18"/>
                <w:szCs w:val="18"/>
                <w:color w:val="auto"/>
              </w:rPr>
              <w:t>Forfeiture used for employer match</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(13,187)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38,444</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180" w:type="dxa"/>
            <w:vAlign w:val="bottom"/>
            <w:vMerge w:val="restart"/>
          </w:tcPr>
          <w:p>
            <w:pPr>
              <w:jc w:val="right"/>
              <w:ind w:right="2557"/>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u w:val="single" w:color="auto"/>
          <w:color w:val="auto"/>
        </w:rPr>
        <w:t>Fair Value Measurements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 Plan measures fair value in accordance with the FASB’s Accounting Standards Codification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Level 1</w:t>
            </w:r>
          </w:p>
        </w:tc>
        <w:tc>
          <w:tcPr>
            <w:tcW w:w="10060" w:type="dxa"/>
            <w:vAlign w:val="bottom"/>
            <w:gridSpan w:val="2"/>
          </w:tcPr>
          <w:p>
            <w:pPr>
              <w:ind w:left="540"/>
              <w:spacing w:after="0"/>
              <w:rPr>
                <w:sz w:val="20"/>
                <w:szCs w:val="20"/>
                <w:color w:val="auto"/>
              </w:rPr>
            </w:pPr>
            <w:r>
              <w:rPr>
                <w:rFonts w:ascii="Arial" w:cs="Arial" w:eastAsia="Arial" w:hAnsi="Arial"/>
                <w:sz w:val="18"/>
                <w:szCs w:val="18"/>
                <w:color w:val="auto"/>
                <w:w w:val="88"/>
              </w:rPr>
              <w:t>Inputs to the valuation methodology are unadjusted quoted prices for identical assets or liabilities in active markets that the plan has the</w:t>
            </w:r>
          </w:p>
        </w:tc>
      </w:tr>
      <w:tr>
        <w:trPr>
          <w:trHeight w:val="222"/>
        </w:trPr>
        <w:tc>
          <w:tcPr>
            <w:tcW w:w="1080" w:type="dxa"/>
            <w:vAlign w:val="bottom"/>
          </w:tcPr>
          <w:p>
            <w:pPr>
              <w:spacing w:after="0"/>
              <w:rPr>
                <w:sz w:val="19"/>
                <w:szCs w:val="19"/>
                <w:color w:val="auto"/>
              </w:rPr>
            </w:pPr>
          </w:p>
        </w:tc>
        <w:tc>
          <w:tcPr>
            <w:tcW w:w="10060" w:type="dxa"/>
            <w:vAlign w:val="bottom"/>
            <w:gridSpan w:val="2"/>
          </w:tcPr>
          <w:p>
            <w:pPr>
              <w:ind w:left="540"/>
              <w:spacing w:after="0"/>
              <w:rPr>
                <w:sz w:val="20"/>
                <w:szCs w:val="20"/>
                <w:color w:val="auto"/>
              </w:rPr>
            </w:pPr>
            <w:r>
              <w:rPr>
                <w:rFonts w:ascii="Arial" w:cs="Arial" w:eastAsia="Arial" w:hAnsi="Arial"/>
                <w:sz w:val="18"/>
                <w:szCs w:val="18"/>
                <w:color w:val="auto"/>
              </w:rPr>
              <w:t>ability to access.</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Level 2</w:t>
            </w:r>
          </w:p>
        </w:tc>
        <w:tc>
          <w:tcPr>
            <w:tcW w:w="10060" w:type="dxa"/>
            <w:vAlign w:val="bottom"/>
            <w:gridSpan w:val="2"/>
          </w:tcPr>
          <w:p>
            <w:pPr>
              <w:ind w:left="540"/>
              <w:spacing w:after="0"/>
              <w:rPr>
                <w:sz w:val="20"/>
                <w:szCs w:val="20"/>
                <w:color w:val="auto"/>
              </w:rPr>
            </w:pPr>
            <w:r>
              <w:rPr>
                <w:rFonts w:ascii="Arial" w:cs="Arial" w:eastAsia="Arial" w:hAnsi="Arial"/>
                <w:sz w:val="18"/>
                <w:szCs w:val="18"/>
                <w:color w:val="auto"/>
              </w:rPr>
              <w:t>Inputs to the valuation methodology include</w:t>
            </w:r>
          </w:p>
        </w:tc>
      </w:tr>
      <w:tr>
        <w:trPr>
          <w:trHeight w:val="324"/>
        </w:trPr>
        <w:tc>
          <w:tcPr>
            <w:tcW w:w="108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280" w:type="dxa"/>
            <w:vAlign w:val="bottom"/>
          </w:tcPr>
          <w:p>
            <w:pPr>
              <w:ind w:left="160"/>
              <w:spacing w:after="0"/>
              <w:rPr>
                <w:sz w:val="20"/>
                <w:szCs w:val="20"/>
                <w:color w:val="auto"/>
              </w:rPr>
            </w:pPr>
            <w:r>
              <w:rPr>
                <w:rFonts w:ascii="Arial" w:cs="Arial" w:eastAsia="Arial" w:hAnsi="Arial"/>
                <w:sz w:val="18"/>
                <w:szCs w:val="18"/>
                <w:color w:val="auto"/>
              </w:rPr>
              <w:t>Quoted prices for similar assets or liabilities in active markets;</w:t>
            </w:r>
          </w:p>
        </w:tc>
      </w:tr>
      <w:tr>
        <w:trPr>
          <w:trHeight w:val="297"/>
        </w:trPr>
        <w:tc>
          <w:tcPr>
            <w:tcW w:w="108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280" w:type="dxa"/>
            <w:vAlign w:val="bottom"/>
          </w:tcPr>
          <w:p>
            <w:pPr>
              <w:ind w:left="160"/>
              <w:spacing w:after="0"/>
              <w:rPr>
                <w:sz w:val="20"/>
                <w:szCs w:val="20"/>
                <w:color w:val="auto"/>
              </w:rPr>
            </w:pPr>
            <w:r>
              <w:rPr>
                <w:rFonts w:ascii="Arial" w:cs="Arial" w:eastAsia="Arial" w:hAnsi="Arial"/>
                <w:sz w:val="18"/>
                <w:szCs w:val="18"/>
                <w:color w:val="auto"/>
              </w:rPr>
              <w:t>Quoted prices for identical or similar assets or liabilities in inactive markets;</w:t>
            </w:r>
          </w:p>
        </w:tc>
      </w:tr>
      <w:tr>
        <w:trPr>
          <w:trHeight w:val="297"/>
        </w:trPr>
        <w:tc>
          <w:tcPr>
            <w:tcW w:w="108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280" w:type="dxa"/>
            <w:vAlign w:val="bottom"/>
          </w:tcPr>
          <w:p>
            <w:pPr>
              <w:ind w:left="160"/>
              <w:spacing w:after="0"/>
              <w:rPr>
                <w:sz w:val="20"/>
                <w:szCs w:val="20"/>
                <w:color w:val="auto"/>
              </w:rPr>
            </w:pPr>
            <w:r>
              <w:rPr>
                <w:rFonts w:ascii="Arial" w:cs="Arial" w:eastAsia="Arial" w:hAnsi="Arial"/>
                <w:sz w:val="18"/>
                <w:szCs w:val="18"/>
                <w:color w:val="auto"/>
              </w:rPr>
              <w:t>Inputs other than quoted prices that are observable for the asset or liability;</w:t>
            </w:r>
          </w:p>
        </w:tc>
      </w:tr>
      <w:tr>
        <w:trPr>
          <w:trHeight w:val="297"/>
        </w:trPr>
        <w:tc>
          <w:tcPr>
            <w:tcW w:w="108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280" w:type="dxa"/>
            <w:vAlign w:val="bottom"/>
          </w:tcPr>
          <w:p>
            <w:pPr>
              <w:ind w:left="16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tc>
      </w:tr>
      <w:tr>
        <w:trPr>
          <w:trHeight w:val="378"/>
        </w:trPr>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80" w:type="dxa"/>
            <w:vAlign w:val="bottom"/>
          </w:tcPr>
          <w:p>
            <w:pPr>
              <w:ind w:left="376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u w:val="single" w:color="auto"/>
          <w:color w:val="auto"/>
        </w:rPr>
        <w:t>Fair Value Measurements (continued)</w:t>
      </w:r>
    </w:p>
    <w:p>
      <w:pPr>
        <w:spacing w:after="0" w:line="164"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7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17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u w:val="single" w:color="auto"/>
          <w:color w:val="auto"/>
        </w:rPr>
        <w:t>Fair Value Measurements (continued)</w:t>
      </w:r>
    </w:p>
    <w:p>
      <w:pPr>
        <w:spacing w:after="0" w:line="16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2009 and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 Valued at the closing price reported on the active market on which the individual securities are traded.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r>
        <w:rPr>
          <w:rFonts w:ascii="Arial" w:cs="Arial" w:eastAsia="Arial" w:hAnsi="Arial"/>
          <w:sz w:val="18"/>
          <w:szCs w:val="18"/>
          <w:color w:val="auto"/>
        </w:rPr>
        <w:t>: Valued at the net asset value (NAV) of shares held by the plan at year 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Participant loans: </w:t>
      </w:r>
      <w:r>
        <w:rPr>
          <w:rFonts w:ascii="Arial" w:cs="Arial" w:eastAsia="Arial" w:hAnsi="Arial"/>
          <w:sz w:val="18"/>
          <w:szCs w:val="18"/>
          <w:color w:val="auto"/>
        </w:rPr>
        <w:t>Valued at amortized cost, which approximates fair value.</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Fidelity Advisor Stable Value Fund</w:t>
      </w:r>
      <w:r>
        <w:rPr>
          <w:rFonts w:ascii="Arial" w:cs="Arial" w:eastAsia="Arial" w:hAnsi="Arial"/>
          <w:sz w:val="18"/>
          <w:szCs w:val="18"/>
          <w:color w:val="auto"/>
        </w:rPr>
        <w:t>: Valued at fair value by discounting the related cash flows based on current yields of similar instruments with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durations considering the credit-worthiness of the issuer of the specific instruments of the fund at year-end.</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2009 and 2008:</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320" w:type="dxa"/>
            <w:vAlign w:val="bottom"/>
            <w:gridSpan w:val="11"/>
          </w:tcPr>
          <w:p>
            <w:pPr>
              <w:ind w:left="880"/>
              <w:spacing w:after="0"/>
              <w:rPr>
                <w:sz w:val="20"/>
                <w:szCs w:val="20"/>
                <w:color w:val="auto"/>
              </w:rPr>
            </w:pPr>
            <w:r>
              <w:rPr>
                <w:rFonts w:ascii="Arial" w:cs="Arial" w:eastAsia="Arial" w:hAnsi="Arial"/>
                <w:sz w:val="14"/>
                <w:szCs w:val="14"/>
                <w:b w:val="1"/>
                <w:bCs w:val="1"/>
                <w:i w:val="1"/>
                <w:iCs w:val="1"/>
                <w:color w:val="auto"/>
              </w:rPr>
              <w:t>Assets at Fair Value as of December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$ 17,570,520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$ 17,570,520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Common Stock</w:t>
            </w:r>
          </w:p>
        </w:tc>
        <w:tc>
          <w:tcPr>
            <w:tcW w:w="3580" w:type="dxa"/>
            <w:vAlign w:val="bottom"/>
            <w:gridSpan w:val="3"/>
          </w:tcPr>
          <w:p>
            <w:pPr>
              <w:jc w:val="right"/>
              <w:ind w:right="300"/>
              <w:spacing w:after="0"/>
              <w:rPr>
                <w:sz w:val="20"/>
                <w:szCs w:val="20"/>
                <w:color w:val="auto"/>
              </w:rPr>
            </w:pPr>
            <w:r>
              <w:rPr>
                <w:rFonts w:ascii="Arial" w:cs="Arial" w:eastAsia="Arial" w:hAnsi="Arial"/>
                <w:sz w:val="18"/>
                <w:szCs w:val="18"/>
                <w:color w:val="auto"/>
              </w:rPr>
              <w:t>420,516</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420,516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Stable Value Fund</w:t>
            </w:r>
          </w:p>
        </w:tc>
        <w:tc>
          <w:tcPr>
            <w:tcW w:w="2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4,893,943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4,893,943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Participant Loans</w:t>
            </w:r>
          </w:p>
        </w:tc>
        <w:tc>
          <w:tcPr>
            <w:tcW w:w="236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854,632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854,632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3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$ 17,991,036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4,893,943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854,632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$ 23,739,611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60" w:type="dxa"/>
            <w:vAlign w:val="bottom"/>
            <w:vMerge w:val="restart"/>
          </w:tcPr>
          <w:p>
            <w:pPr>
              <w:jc w:val="right"/>
              <w:ind w:right="772"/>
              <w:spacing w:after="0"/>
              <w:rPr>
                <w:sz w:val="20"/>
                <w:szCs w:val="20"/>
                <w:color w:val="auto"/>
              </w:rPr>
            </w:pPr>
            <w:r>
              <w:rPr>
                <w:rFonts w:ascii="Arial" w:cs="Arial" w:eastAsia="Arial" w:hAnsi="Arial"/>
                <w:sz w:val="18"/>
                <w:szCs w:val="18"/>
                <w:color w:val="auto"/>
              </w:rPr>
              <w:t>12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u w:val="single" w:color="auto"/>
          <w:color w:val="auto"/>
        </w:rPr>
        <w:t>Fair Value Measurements (continued)</w:t>
      </w:r>
    </w:p>
    <w:p>
      <w:pPr>
        <w:spacing w:after="0" w:line="3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320" w:type="dxa"/>
            <w:vAlign w:val="bottom"/>
            <w:gridSpan w:val="11"/>
          </w:tcPr>
          <w:p>
            <w:pPr>
              <w:ind w:left="880"/>
              <w:spacing w:after="0"/>
              <w:rPr>
                <w:sz w:val="20"/>
                <w:szCs w:val="20"/>
                <w:color w:val="auto"/>
              </w:rPr>
            </w:pPr>
            <w:r>
              <w:rPr>
                <w:rFonts w:ascii="Arial" w:cs="Arial" w:eastAsia="Arial" w:hAnsi="Arial"/>
                <w:sz w:val="14"/>
                <w:szCs w:val="14"/>
                <w:b w:val="1"/>
                <w:bCs w:val="1"/>
                <w:i w:val="1"/>
                <w:iCs w:val="1"/>
                <w:color w:val="auto"/>
              </w:rPr>
              <w:t>Assets at Fair Value as of December 31,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$ 12,429,317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$ 12,429,317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Common Stock</w:t>
            </w:r>
          </w:p>
        </w:tc>
        <w:tc>
          <w:tcPr>
            <w:tcW w:w="3080" w:type="dxa"/>
            <w:vAlign w:val="bottom"/>
            <w:gridSpan w:val="3"/>
          </w:tcPr>
          <w:p>
            <w:pPr>
              <w:jc w:val="right"/>
              <w:ind w:right="300"/>
              <w:spacing w:after="0"/>
              <w:rPr>
                <w:sz w:val="20"/>
                <w:szCs w:val="20"/>
                <w:color w:val="auto"/>
              </w:rPr>
            </w:pPr>
            <w:r>
              <w:rPr>
                <w:rFonts w:ascii="Arial" w:cs="Arial" w:eastAsia="Arial" w:hAnsi="Arial"/>
                <w:sz w:val="18"/>
                <w:szCs w:val="18"/>
                <w:color w:val="auto"/>
              </w:rPr>
              <w:t>50,031</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Stable Value Fund</w:t>
            </w:r>
          </w:p>
        </w:tc>
        <w:tc>
          <w:tcPr>
            <w:tcW w:w="18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4,338,515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4,338,515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Participant Loans</w:t>
            </w:r>
          </w:p>
        </w:tc>
        <w:tc>
          <w:tcPr>
            <w:tcW w:w="186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817,646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817,646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3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$ 12,479,348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4,338,515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817,646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$ 17,635,509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changes in the fair value of the plan’s level 3 assets for the year ended December 31, 2009:</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660" w:type="dxa"/>
            <w:vAlign w:val="bottom"/>
            <w:gridSpan w:val="3"/>
          </w:tcPr>
          <w:p>
            <w:pPr>
              <w:ind w:left="1660"/>
              <w:spacing w:after="0"/>
              <w:rPr>
                <w:sz w:val="20"/>
                <w:szCs w:val="20"/>
                <w:color w:val="auto"/>
              </w:rPr>
            </w:pPr>
            <w:r>
              <w:rPr>
                <w:rFonts w:ascii="Arial" w:cs="Arial" w:eastAsia="Arial" w:hAnsi="Arial"/>
                <w:sz w:val="14"/>
                <w:szCs w:val="14"/>
                <w:b w:val="1"/>
                <w:bCs w:val="1"/>
                <w:color w:val="auto"/>
                <w:w w:val="86"/>
              </w:rPr>
              <w:t>Participant loans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9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Purchases, sales, issuances, and settlements (net)</w:t>
            </w:r>
          </w:p>
        </w:tc>
        <w:tc>
          <w:tcPr>
            <w:tcW w:w="1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19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u w:val="single" w:color="auto"/>
          <w:color w:val="auto"/>
        </w:rPr>
        <w:t>Related Party Transactions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Plan owned 180,479 and 96,214 shares of Casual Male Retail Group, Inc. valued at $420,516 and $50,031 at December 31, 2009 and 2008, respectively. Additionally, certain plan investments are shares of mutual funds and units in the Fidelity Advisor Stable Fund managed by Fidelity Management Trust Company who is the Trustee as defined by the Plan, and therefore, these transactions qualify as party-in-interest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Note7 - </w:t>
      </w:r>
      <w:r>
        <w:rPr>
          <w:rFonts w:ascii="Arial" w:cs="Arial" w:eastAsia="Arial" w:hAnsi="Arial"/>
          <w:sz w:val="18"/>
          <w:szCs w:val="18"/>
          <w:b w:val="1"/>
          <w:bCs w:val="1"/>
          <w:u w:val="single" w:color="auto"/>
          <w:color w:val="auto"/>
        </w:rPr>
        <w:t>Risks and Uncertainties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Note7 - </w:t>
      </w:r>
      <w:r>
        <w:rPr>
          <w:rFonts w:ascii="Arial" w:cs="Arial" w:eastAsia="Arial" w:hAnsi="Arial"/>
          <w:sz w:val="18"/>
          <w:szCs w:val="18"/>
          <w:b w:val="1"/>
          <w:bCs w:val="1"/>
          <w:u w:val="single" w:color="auto"/>
          <w:color w:val="auto"/>
        </w:rPr>
        <w:t>Risks and Uncertainties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changes could materially affect participants’ account balances and the amounts reported in the statements of net assets available for benefits.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u w:val="single" w:color="auto"/>
          <w:color w:val="auto"/>
        </w:rPr>
        <w:t>Income Tax Status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March 31, 2008 stating that the form of the Plan is qualified under Section 401 of the Internal Revenue Code (the “Code”) and, therefore, the related trust is tax-exempt. In accordance with Revenue Procedure 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u w:val="single" w:color="auto"/>
          <w:color w:val="auto"/>
        </w:rPr>
        <w:t>Excess Deferred Compensation Contributions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Excess contributions to the Plan for the year ended December 31, 2009 were $ 700. Prior to March 15, 2010, $700 was paid and is shown as a deduction against contributions for the year ended December 31, 2009.</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Excess contributions to the Plan for the year ended December 31, 2008 were $1,242. The Plan returned $245 of the excess contribution to the participants prior to March 15, 2009, and $997 was paid in 2009 and is included in distributions for the year ended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u w:val="single" w:color="auto"/>
          <w:color w:val="auto"/>
        </w:rPr>
        <w:t>Reconciliation of Financial Statement to Form 5500</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December 31, 2009 and 2008:</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$24,228,086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$18,755,535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w w:val="96"/>
              </w:rPr>
              <w:t>Less: Adjustment from fair value to contract value for fully benefit-responsive</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jc w:val="right"/>
              <w:ind w:right="4232"/>
              <w:spacing w:after="0"/>
              <w:rPr>
                <w:sz w:val="20"/>
                <w:szCs w:val="20"/>
                <w:color w:val="auto"/>
              </w:rPr>
            </w:pPr>
            <w:r>
              <w:rPr>
                <w:rFonts w:ascii="Arial" w:cs="Arial" w:eastAsia="Arial" w:hAnsi="Arial"/>
                <w:sz w:val="18"/>
                <w:szCs w:val="18"/>
                <w:color w:val="auto"/>
                <w:w w:val="99"/>
              </w:rPr>
              <w:t>investment contract</w:t>
            </w:r>
          </w:p>
        </w:tc>
        <w:tc>
          <w:tcPr>
            <w:tcW w:w="4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(6,403)</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(118,977)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24,221,683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18,636,558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jc w:val="right"/>
              <w:ind w:right="1412"/>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9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Note10 - </w:t>
      </w:r>
      <w:r>
        <w:rPr>
          <w:rFonts w:ascii="Arial" w:cs="Arial" w:eastAsia="Arial" w:hAnsi="Arial"/>
          <w:sz w:val="18"/>
          <w:szCs w:val="18"/>
          <w:b w:val="1"/>
          <w:bCs w:val="1"/>
          <w:u w:val="single" w:color="auto"/>
          <w:color w:val="auto"/>
        </w:rPr>
        <w:t>Reconciliation of Financial Statement to Form 5500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reconciliation of net appreciation in fair value of investments and interest and dividend income for the year ended December 31, 2009 per the financial statements to Form 5500:</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0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in fair value of investments and interest and dividend income per the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 statements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$4,916,277</w:t>
            </w:r>
          </w:p>
        </w:tc>
        <w:tc>
          <w:tcPr>
            <w:tcW w:w="120" w:type="dxa"/>
            <w:vAlign w:val="bottom"/>
            <w:shd w:val="clear" w:color="auto" w:fill="CCEEFF"/>
          </w:tcPr>
          <w:p>
            <w:pPr>
              <w:spacing w:after="0"/>
              <w:rPr>
                <w:sz w:val="19"/>
                <w:szCs w:val="19"/>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8"/>
                <w:szCs w:val="18"/>
                <w:color w:val="auto"/>
                <w:w w:val="97"/>
              </w:rPr>
              <w:t>Add: Adjustment from fair value to contract value for fully benefit- responsive investment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8"/>
                <w:szCs w:val="18"/>
                <w:color w:val="auto"/>
              </w:rPr>
              <w:t>contracts in 2009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(6,403)</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Adjustment from fair value to contract value for fully benefit- responsive investment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contracts in 2008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118,977</w:t>
            </w:r>
          </w:p>
        </w:tc>
        <w:tc>
          <w:tcPr>
            <w:tcW w:w="120" w:type="dxa"/>
            <w:vAlign w:val="bottom"/>
            <w:shd w:val="clear" w:color="auto" w:fill="CCEEFF"/>
          </w:tcPr>
          <w:p>
            <w:pPr>
              <w:spacing w:after="0"/>
              <w:rPr>
                <w:sz w:val="19"/>
                <w:szCs w:val="19"/>
                <w:color w:val="auto"/>
              </w:rPr>
            </w:pPr>
          </w:p>
        </w:tc>
      </w:tr>
      <w:tr>
        <w:trPr>
          <w:trHeight w:val="215"/>
        </w:trPr>
        <w:tc>
          <w:tcPr>
            <w:tcW w:w="6840" w:type="dxa"/>
            <w:vAlign w:val="bottom"/>
          </w:tcPr>
          <w:p>
            <w:pPr>
              <w:spacing w:after="0"/>
              <w:rPr>
                <w:sz w:val="20"/>
                <w:szCs w:val="20"/>
                <w:color w:val="auto"/>
              </w:rPr>
            </w:pPr>
            <w:r>
              <w:rPr>
                <w:rFonts w:ascii="Arial" w:cs="Arial" w:eastAsia="Arial" w:hAnsi="Arial"/>
                <w:sz w:val="18"/>
                <w:szCs w:val="18"/>
                <w:color w:val="auto"/>
                <w:w w:val="97"/>
              </w:rPr>
              <w:t>Net appreciation in fair value of investments and interest and dividend income per Form</w:t>
            </w:r>
          </w:p>
        </w:tc>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840" w:type="dxa"/>
            <w:vAlign w:val="bottom"/>
          </w:tcPr>
          <w:p>
            <w:pPr>
              <w:ind w:left="220"/>
              <w:spacing w:after="0"/>
              <w:rPr>
                <w:sz w:val="20"/>
                <w:szCs w:val="20"/>
                <w:color w:val="auto"/>
              </w:rPr>
            </w:pPr>
            <w:r>
              <w:rPr>
                <w:rFonts w:ascii="Arial" w:cs="Arial" w:eastAsia="Arial" w:hAnsi="Arial"/>
                <w:sz w:val="18"/>
                <w:szCs w:val="18"/>
                <w:color w:val="auto"/>
              </w:rPr>
              <w:t>5500</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5,028,851</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the year ended December 31, 2009, the excess contributions of $700 (see Note 9) that were shown in the financial statements as a deduction against contributions are shown as a distribution on the Form 5500.</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Supplementary Schedule</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EIN: 04-2623104/Plan Number: 004</w:t>
      </w:r>
    </w:p>
    <w:p>
      <w:pPr>
        <w:spacing w:after="0" w:line="171"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Schedule H, Line 4i – Schedule of Assets Held For Investment Purposes at End of Year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Identity of Issue,</w:t>
            </w:r>
          </w:p>
        </w:tc>
        <w:tc>
          <w:tcPr>
            <w:tcW w:w="220" w:type="dxa"/>
            <w:vAlign w:val="bottom"/>
          </w:tcPr>
          <w:p>
            <w:pPr>
              <w:spacing w:after="0"/>
              <w:rPr>
                <w:sz w:val="14"/>
                <w:szCs w:val="14"/>
                <w:color w:val="auto"/>
              </w:rPr>
            </w:pPr>
          </w:p>
        </w:tc>
        <w:tc>
          <w:tcPr>
            <w:tcW w:w="5940" w:type="dxa"/>
            <w:vAlign w:val="bottom"/>
          </w:tcPr>
          <w:p>
            <w:pPr>
              <w:jc w:val="center"/>
              <w:spacing w:after="0"/>
              <w:rPr>
                <w:sz w:val="20"/>
                <w:szCs w:val="20"/>
                <w:color w:val="auto"/>
              </w:rPr>
            </w:pPr>
            <w:r>
              <w:rPr>
                <w:rFonts w:ascii="Arial" w:cs="Arial" w:eastAsia="Arial" w:hAnsi="Arial"/>
                <w:sz w:val="14"/>
                <w:szCs w:val="14"/>
                <w:b w:val="1"/>
                <w:bCs w:val="1"/>
                <w:color w:val="auto"/>
                <w:w w:val="86"/>
              </w:rPr>
              <w:t>Description of investment including</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Borrower, Lessor,</w:t>
            </w:r>
          </w:p>
        </w:tc>
        <w:tc>
          <w:tcPr>
            <w:tcW w:w="220" w:type="dxa"/>
            <w:vAlign w:val="bottom"/>
          </w:tcPr>
          <w:p>
            <w:pPr>
              <w:spacing w:after="0"/>
              <w:rPr>
                <w:sz w:val="12"/>
                <w:szCs w:val="12"/>
                <w:color w:val="auto"/>
              </w:rPr>
            </w:pPr>
          </w:p>
        </w:tc>
        <w:tc>
          <w:tcPr>
            <w:tcW w:w="5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maturity date, rate of interest,</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or Similar Party</w:t>
            </w:r>
          </w:p>
        </w:tc>
        <w:tc>
          <w:tcPr>
            <w:tcW w:w="220" w:type="dxa"/>
            <w:vAlign w:val="bottom"/>
          </w:tcPr>
          <w:p>
            <w:pPr>
              <w:spacing w:after="0"/>
              <w:rPr>
                <w:sz w:val="15"/>
                <w:szCs w:val="15"/>
                <w:color w:val="auto"/>
              </w:rPr>
            </w:pPr>
          </w:p>
        </w:tc>
        <w:tc>
          <w:tcPr>
            <w:tcW w:w="5940" w:type="dxa"/>
            <w:vAlign w:val="bottom"/>
          </w:tcPr>
          <w:p>
            <w:pPr>
              <w:jc w:val="center"/>
              <w:spacing w:after="0"/>
              <w:rPr>
                <w:sz w:val="20"/>
                <w:szCs w:val="20"/>
                <w:color w:val="auto"/>
              </w:rPr>
            </w:pPr>
            <w:r>
              <w:rPr>
                <w:rFonts w:ascii="Arial" w:cs="Arial" w:eastAsia="Arial" w:hAnsi="Arial"/>
                <w:sz w:val="14"/>
                <w:szCs w:val="14"/>
                <w:b w:val="1"/>
                <w:bCs w:val="1"/>
                <w:color w:val="auto"/>
                <w:w w:val="88"/>
              </w:rPr>
              <w:t>collateral, par, or maturity value</w:t>
            </w:r>
          </w:p>
        </w:tc>
        <w:tc>
          <w:tcPr>
            <w:tcW w:w="20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Shares/Unit</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Current Value</w:t>
            </w:r>
          </w:p>
        </w:tc>
      </w:tr>
      <w:tr>
        <w:trPr>
          <w:trHeight w:val="201"/>
        </w:trPr>
        <w:tc>
          <w:tcPr>
            <w:tcW w:w="20" w:type="dxa"/>
            <w:vAlign w:val="bottom"/>
          </w:tcPr>
          <w:p>
            <w:pPr>
              <w:spacing w:after="0"/>
              <w:rPr>
                <w:sz w:val="17"/>
                <w:szCs w:val="17"/>
                <w:color w:val="auto"/>
              </w:rPr>
            </w:pPr>
          </w:p>
        </w:tc>
        <w:tc>
          <w:tcPr>
            <w:tcW w:w="306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Commingled funds held through Fidelity</w:t>
            </w:r>
          </w:p>
        </w:tc>
        <w:tc>
          <w:tcPr>
            <w:tcW w:w="220" w:type="dxa"/>
            <w:vAlign w:val="bottom"/>
            <w:shd w:val="clear" w:color="auto" w:fill="CCEEFF"/>
          </w:tcPr>
          <w:p>
            <w:pPr>
              <w:spacing w:after="0"/>
              <w:rPr>
                <w:sz w:val="17"/>
                <w:szCs w:val="17"/>
                <w:color w:val="auto"/>
              </w:rPr>
            </w:pPr>
          </w:p>
        </w:tc>
        <w:tc>
          <w:tcPr>
            <w:tcW w:w="5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19"/>
                <w:szCs w:val="19"/>
                <w:color w:val="auto"/>
              </w:rPr>
            </w:pPr>
          </w:p>
        </w:tc>
        <w:tc>
          <w:tcPr>
            <w:tcW w:w="5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Stable Value Fund (1)</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4,900,346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4,893,943</w:t>
            </w:r>
          </w:p>
        </w:tc>
      </w:tr>
      <w:tr>
        <w:trPr>
          <w:trHeight w:val="208"/>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held through Fidelity</w:t>
            </w: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19"/>
                <w:szCs w:val="19"/>
                <w:color w:val="auto"/>
              </w:rPr>
            </w:pPr>
          </w:p>
        </w:tc>
        <w:tc>
          <w:tcPr>
            <w:tcW w:w="5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 interest bearing</w:t>
            </w:r>
          </w:p>
        </w:tc>
        <w:tc>
          <w:tcPr>
            <w:tcW w:w="20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Leveraged Company Stock</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26,469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733,994</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High Income Adv</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22,638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204,196</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Strategic Income</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33,466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405,942</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Freedom 2010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32,877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346,199</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2020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105,269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1,136,905</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Freedom 2030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33,574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363,605</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2040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42,641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464,787</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Freedom Income</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9,049</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2005</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190,664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1,956,207</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Freedom 2015</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48,726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509,678</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2025</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69,341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717,674</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Freedom 2035</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66,985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683,919</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Fidelity Advisor Freedom 2045</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29,354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247,745</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Fidelity Advisor Freedom 2050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10,081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83,569</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Federated Bond Fund</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148,171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1,297,977</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Columbia Acorn USA</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17,131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384,260</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First American Midcap Value</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23,325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464,864</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Columbia Acorn International</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37,228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1,270,578</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Columbia Acorn Small Cap Val II</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35,044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383,035</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JP Morgan Equity Index</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88,855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2,249,811</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Columbia Acorn</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21,099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505,957</w:t>
            </w:r>
          </w:p>
        </w:tc>
      </w:tr>
      <w:tr>
        <w:trPr>
          <w:trHeight w:val="20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Goldman Sachs Large Cap Value</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60,331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638,301</w:t>
            </w: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Alliance Bernstein International Value</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45,429</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620,105</w:t>
            </w:r>
          </w:p>
        </w:tc>
      </w:tr>
      <w:tr>
        <w:trPr>
          <w:trHeight w:val="232"/>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 Rowe Price Growth Stock</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69,751</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1,890,952</w:t>
            </w:r>
          </w:p>
        </w:tc>
      </w:tr>
      <w:tr>
        <w:trPr>
          <w:trHeight w:val="208"/>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Common Stock held through Fidelity</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Casual Male Retail Group, Inc.</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180,479</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420,516</w:t>
            </w:r>
          </w:p>
        </w:tc>
      </w:tr>
      <w:tr>
        <w:trPr>
          <w:trHeight w:val="218"/>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Participant loans</w:t>
            </w:r>
          </w:p>
        </w:tc>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4.75% - 9.25%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854,632</w:t>
            </w: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23,739,611</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ind w:left="5620" w:right="2200" w:hanging="5612"/>
        <w:spacing w:after="0" w:line="433" w:lineRule="auto"/>
        <w:tabs>
          <w:tab w:leader="none" w:pos="4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$ 51,472 of non participant-directed, unallocated forfeitures for which historical cost approximates to current value. 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 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45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 401(k) Salary Savings plan</w:t>
      </w:r>
    </w:p>
    <w:p>
      <w:pPr>
        <w:spacing w:after="0" w:line="248"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4"/>
          <w:szCs w:val="14"/>
          <w:b w:val="1"/>
          <w:bCs w:val="1"/>
          <w:color w:val="auto"/>
        </w:rPr>
        <w:t>Dennis R. Hernreich,</w:t>
      </w:r>
    </w:p>
    <w:p>
      <w:pPr>
        <w:spacing w:after="0" w:line="2" w:lineRule="exact"/>
        <w:rPr>
          <w:sz w:val="20"/>
          <w:szCs w:val="20"/>
          <w:color w:val="auto"/>
        </w:rPr>
      </w:pPr>
    </w:p>
    <w:p>
      <w:pPr>
        <w:jc w:val="center"/>
        <w:ind w:left="6840"/>
        <w:spacing w:after="0"/>
        <w:rPr>
          <w:sz w:val="20"/>
          <w:szCs w:val="20"/>
          <w:color w:val="auto"/>
        </w:rPr>
      </w:pPr>
      <w:r>
        <w:rPr>
          <w:rFonts w:ascii="Arial" w:cs="Arial" w:eastAsia="Arial" w:hAnsi="Arial"/>
          <w:sz w:val="12"/>
          <w:szCs w:val="12"/>
          <w:b w:val="1"/>
          <w:bCs w:val="1"/>
          <w:color w:val="auto"/>
        </w:rPr>
        <w:t>Executive Vice President, Chief Financial Officer and Chief Operating Officer</w:t>
      </w:r>
    </w:p>
    <w:p>
      <w:pPr>
        <w:spacing w:after="0" w:line="10"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of Casual Male Retail Group, Inc., the Plan Administrator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June 29, 2010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Reg. No. 333-112218) of Casual Male Retail Group, Inc. of our report dated June 29, 2010, with respect to the financial statements and schedule of the Casual Male Retail Group, Inc. 401(k) Salaried Savings Plan included in this Annual Report (Form 11-K) for the year ended December 31, 2009.</w:t>
      </w:r>
    </w:p>
    <w:p>
      <w:pPr>
        <w:spacing w:after="0" w:line="18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Mayer Hoffman McCann CPAs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6"/>
          <w:szCs w:val="16"/>
          <w:color w:val="auto"/>
        </w:rPr>
        <w:t>(The New York Practice of Mayer Hoffman McCann P.C.)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2010</w:t>
      </w:r>
    </w:p>
    <w:p>
      <w:pPr>
        <w:sectPr>
          <w:pgSz w:w="11900" w:h="16838" w:orient="portrait"/>
          <w:cols w:equalWidth="0" w:num="1">
            <w:col w:w="11420"/>
          </w:cols>
          <w:pgMar w:left="240" w:top="13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Salaried Saving Plan (the “Plan”) for the period ending December 31, 2009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of Casual Male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Group, Inc., the Plan 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29, 2010</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2019-12-10T06:20:16Z</dcterms:created>
  <dcterms:modified xsi:type="dcterms:W3CDTF">2019-12-10T06:20:16Z</dcterms:modified>
</cp:coreProperties>
</file>