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August 6,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left="740" w:right="1779"/>
        <w:spacing w:after="0" w:line="268" w:lineRule="auto"/>
        <w:rPr>
          <w:sz w:val="20"/>
          <w:szCs w:val="20"/>
          <w:color w:val="auto"/>
        </w:rPr>
      </w:pPr>
      <w:r>
        <w:rPr>
          <w:rFonts w:ascii="Courier New" w:cs="Courier New" w:eastAsia="Courier New" w:hAnsi="Courier New"/>
          <w:sz w:val="16"/>
          <w:szCs w:val="16"/>
          <w:color w:val="auto"/>
        </w:rPr>
        <w:t>On August 6, 2004, Jewelcor Management Inc. ("JMI"), an affiliate of Seymour Holtzman, the Chairman of the Board of Casual Male Retail Group, Inc., terminated its previously established SEC Rule 10b5-1 pre-arranged stock trading plan. JMI's plan, which was originally adopted on April 9, 2004 and amended on June 9, 2004, provided for the sale by JMI of 150,000 shares of its common stock in the Company on, or within 30 days after, a specified day of each month, over a six month period, beginning</w:t>
      </w:r>
    </w:p>
    <w:p>
      <w:pPr>
        <w:ind w:left="740"/>
        <w:spacing w:after="0" w:line="234" w:lineRule="auto"/>
        <w:rPr>
          <w:sz w:val="20"/>
          <w:szCs w:val="20"/>
          <w:color w:val="auto"/>
        </w:rPr>
      </w:pPr>
      <w:r>
        <w:rPr>
          <w:rFonts w:ascii="Courier New" w:cs="Courier New" w:eastAsia="Courier New" w:hAnsi="Courier New"/>
          <w:sz w:val="18"/>
          <w:szCs w:val="18"/>
          <w:color w:val="auto"/>
        </w:rPr>
        <w:t>August 10, 2004, at times outside the control of JMI and Mr. Holtzman.</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and Chief Financial Officer</w:t>
      </w:r>
    </w:p>
    <w:p>
      <w:pPr>
        <w:spacing w:after="0" w:line="200" w:lineRule="exact"/>
        <w:rPr>
          <w:sz w:val="20"/>
          <w:szCs w:val="20"/>
          <w:color w:val="auto"/>
        </w:rPr>
      </w:pPr>
    </w:p>
    <w:p>
      <w:pPr>
        <w:spacing w:after="0" w:line="2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11, 2004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78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2019-12-19T22:04:25Z</dcterms:created>
  <dcterms:modified xsi:type="dcterms:W3CDTF">2019-12-19T22:04:25Z</dcterms:modified>
</cp:coreProperties>
</file>