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2011</w:t>
      </w:r>
    </w:p>
    <w:p>
      <w:pPr>
        <w:spacing w:after="0" w:line="171" w:lineRule="exact"/>
        <w:rPr>
          <w:sz w:val="24"/>
          <w:szCs w:val="24"/>
          <w:color w:val="auto"/>
        </w:rPr>
      </w:pPr>
    </w:p>
    <w:p>
      <w:pPr>
        <w:ind w:left="5600"/>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460"/>
        <w:spacing w:after="0"/>
        <w:tabs>
          <w:tab w:leader="none" w:pos="3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 401(K) SALARIED SAVINGS PLAN</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(Full title of the plan)</w:t>
      </w:r>
    </w:p>
    <w:p>
      <w:pPr>
        <w:spacing w:after="0" w:line="138"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CASUAL MALE RETAIL GROUP, INC.</w:t>
      </w:r>
    </w:p>
    <w:p>
      <w:pPr>
        <w:spacing w:after="0" w:line="2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555 Turnpike Street</w:t>
      </w:r>
    </w:p>
    <w:p>
      <w:pPr>
        <w:spacing w:after="0" w:line="1"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(Name of issuer of the securities held pursuant to the plan and the address</w:t>
      </w:r>
    </w:p>
    <w:p>
      <w:pPr>
        <w:spacing w:after="0" w:line="9" w:lineRule="exact"/>
        <w:rPr>
          <w:sz w:val="24"/>
          <w:szCs w:val="24"/>
          <w:color w:val="auto"/>
        </w:rPr>
      </w:pPr>
    </w:p>
    <w:p>
      <w:pPr>
        <w:jc w:val="center"/>
        <w:ind w:right="-619"/>
        <w:spacing w:after="0"/>
        <w:rPr>
          <w:sz w:val="20"/>
          <w:szCs w:val="20"/>
          <w:color w:val="auto"/>
        </w:rPr>
      </w:pPr>
      <w:r>
        <w:rPr>
          <w:rFonts w:ascii="Arial" w:cs="Arial" w:eastAsia="Arial" w:hAnsi="Arial"/>
          <w:sz w:val="18"/>
          <w:szCs w:val="18"/>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00"/>
          </w:cols>
          <w:pgMar w:left="240" w:top="230" w:right="8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Financial Statements and Supplemental Schedule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 ended December 31, 2011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60" w:type="dxa"/>
            <w:vAlign w:val="bottom"/>
            <w:gridSpan w:val="3"/>
          </w:tcPr>
          <w:p>
            <w:pPr>
              <w:ind w:left="18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19"/>
                <w:szCs w:val="19"/>
                <w:color w:val="auto"/>
              </w:rPr>
            </w:pPr>
          </w:p>
        </w:tc>
      </w:tr>
      <w:tr>
        <w:trPr>
          <w:trHeight w:val="184"/>
        </w:trPr>
        <w:tc>
          <w:tcPr>
            <w:tcW w:w="8980" w:type="dxa"/>
            <w:vAlign w:val="bottom"/>
            <w:gridSpan w:val="7"/>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3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80" w:type="dxa"/>
            <w:vAlign w:val="bottom"/>
            <w:gridSpan w:val="7"/>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2011 and 2010</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8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2011</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69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040" w:type="dxa"/>
            <w:vAlign w:val="bottom"/>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4-14</w:t>
            </w:r>
          </w:p>
        </w:tc>
      </w:tr>
      <w:tr>
        <w:trPr>
          <w:trHeight w:val="196"/>
        </w:trPr>
        <w:tc>
          <w:tcPr>
            <w:tcW w:w="21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Supplemental Schedule</w:t>
              </w:r>
            </w:hyperlink>
          </w:p>
        </w:tc>
        <w:tc>
          <w:tcPr>
            <w:tcW w:w="6880" w:type="dxa"/>
            <w:vAlign w:val="bottom"/>
            <w:gridSpan w:val="5"/>
          </w:tcPr>
          <w:p>
            <w:pPr>
              <w:spacing w:after="0"/>
              <w:rPr>
                <w:sz w:val="17"/>
                <w:szCs w:val="17"/>
                <w:color w:val="auto"/>
              </w:rPr>
            </w:pPr>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1660" w:type="dxa"/>
            <w:vAlign w:val="bottom"/>
            <w:shd w:val="clear" w:color="auto" w:fill="0000EE"/>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8980" w:type="dxa"/>
            <w:vAlign w:val="bottom"/>
            <w:gridSpan w:val="7"/>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Schedule H, Line 4i – Schedule of Assets (Held At End of Year)</w:t>
              </w:r>
            </w:hyperlink>
          </w:p>
        </w:tc>
        <w:tc>
          <w:tcPr>
            <w:tcW w:w="23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Plan Administrator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We have audited the accompanying statements of net assets available for benefits of the Casual Male Retail Group, Inc. 401(k) Salaried Savings Plan (the “Plan”) as of December 31, 2011 and 2010, and the related statement of changes in net assets available for benefits for the year ended December 31, 2011.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2011 and 2010, and the changes in net assets available for benefits for the year ended December 31, 2011, in conformity with U.S. generally accepted accounting principles.</w:t>
      </w:r>
    </w:p>
    <w:p>
      <w:pPr>
        <w:spacing w:after="0" w:line="14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Our audits were performed for the purpose of forming an opinion on the basic financial statements taken as a whole. The supplemental schedule, as listed in the accompanying index, is presented for the purpose of additional analysis and is not a required part of the basic financial statements, but is supplemental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the audits of the basic financial statements and, in our opinion, is fairly stated in all material respects in relation to the basic financial statements taken as a whole.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Mayer Hoffman McCann CPAs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New York Practice of Mayer Hoffman McCann P.C.)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December 31, 2011 and 2010</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tcPr>
          <w:p>
            <w:pPr>
              <w:spacing w:after="0"/>
              <w:rPr>
                <w:sz w:val="12"/>
                <w:szCs w:val="12"/>
                <w:color w:val="auto"/>
              </w:rPr>
            </w:pPr>
          </w:p>
        </w:tc>
        <w:tc>
          <w:tcPr>
            <w:tcW w:w="88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 (Notes 3, 4 and 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$26,546,125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$26,598,721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Receivables:</w:t>
            </w: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contributions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rPr>
              <w:t>Employer contributions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989,704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receivable from participants</w:t>
            </w:r>
          </w:p>
        </w:tc>
        <w:tc>
          <w:tcPr>
            <w:tcW w:w="4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1,842,124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assets reflecting investments at fair value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28,388,249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27,603,886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5920" w:type="dxa"/>
            <w:vAlign w:val="bottom"/>
          </w:tcPr>
          <w:p>
            <w:pPr>
              <w:ind w:left="420"/>
              <w:spacing w:after="0"/>
              <w:rPr>
                <w:sz w:val="20"/>
                <w:szCs w:val="20"/>
                <w:color w:val="auto"/>
              </w:rPr>
            </w:pPr>
            <w:r>
              <w:rPr>
                <w:rFonts w:ascii="Arial" w:cs="Arial" w:eastAsia="Arial" w:hAnsi="Arial"/>
                <w:sz w:val="18"/>
                <w:szCs w:val="18"/>
                <w:color w:val="auto"/>
                <w:w w:val="97"/>
              </w:rPr>
              <w:t>Adjustment from fair value to contract value for fully benefit-responsive</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620"/>
              <w:spacing w:after="0"/>
              <w:rPr>
                <w:sz w:val="20"/>
                <w:szCs w:val="20"/>
                <w:color w:val="auto"/>
              </w:rPr>
            </w:pPr>
            <w:r>
              <w:rPr>
                <w:rFonts w:ascii="Arial" w:cs="Arial" w:eastAsia="Arial" w:hAnsi="Arial"/>
                <w:sz w:val="18"/>
                <w:szCs w:val="18"/>
                <w:color w:val="auto"/>
              </w:rPr>
              <w:t>investment contracts</w:t>
            </w:r>
          </w:p>
        </w:tc>
        <w:tc>
          <w:tcPr>
            <w:tcW w:w="4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(165,700)</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(83,933)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28,222,549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27,519,953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080" w:right="360"/>
        <w:spacing w:after="0" w:line="310" w:lineRule="auto"/>
        <w:rPr>
          <w:sz w:val="20"/>
          <w:szCs w:val="20"/>
          <w:color w:val="auto"/>
        </w:rPr>
      </w:pPr>
      <w:r>
        <w:rPr>
          <w:rFonts w:ascii="Arial" w:cs="Arial" w:eastAsia="Arial" w:hAnsi="Arial"/>
          <w:sz w:val="16"/>
          <w:szCs w:val="16"/>
          <w:b w:val="1"/>
          <w:bCs w:val="1"/>
          <w:color w:val="auto"/>
        </w:rPr>
        <w:t>Casual Male Retail Group, Inc. 401(k) Salaried Savings Plan Statement of Changes in Net Assets Available for Benefits For the Year Ended December 31, 2011</w:t>
      </w:r>
    </w:p>
    <w:p>
      <w:pPr>
        <w:spacing w:after="0" w:line="138"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Additions to net assets attributed to:</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Interest and dividend income</w:t>
      </w:r>
    </w:p>
    <w:p>
      <w:pPr>
        <w:spacing w:after="0" w:line="2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Interest income on participant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5"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Contributions:</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283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5450" cy="28321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Employer</w:t>
      </w:r>
    </w:p>
    <w:p>
      <w:pPr>
        <w:spacing w:after="0" w:line="1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Rollovers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27940</wp:posOffset>
            </wp:positionV>
            <wp:extent cx="550545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Transfers into the Plan (Note 1)</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26"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Deductions from net assets attributed to:</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depreciation in fair value of investments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Benefits paid directly to participants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Administrative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283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5450" cy="28321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Transfers out of the Plan (Note 1)</w:t>
      </w:r>
    </w:p>
    <w:p>
      <w:pPr>
        <w:spacing w:after="0" w:line="4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Total deductions</w:t>
      </w:r>
    </w:p>
    <w:p>
      <w:pPr>
        <w:spacing w:after="0" w:line="36"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Net assets available for benefits at beginning of year</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Net assets available for benefits at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 w:hanging="317"/>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650,827</w:t>
      </w:r>
    </w:p>
    <w:p>
      <w:pPr>
        <w:spacing w:after="0" w:line="248"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5"/>
          <w:szCs w:val="15"/>
          <w:color w:val="auto"/>
        </w:rPr>
        <w:t>48,418</w:t>
      </w:r>
    </w:p>
    <w:p>
      <w:pPr>
        <w:spacing w:after="0" w:line="200" w:lineRule="exact"/>
        <w:rPr>
          <w:sz w:val="20"/>
          <w:szCs w:val="20"/>
          <w:color w:val="auto"/>
        </w:rPr>
      </w:pPr>
    </w:p>
    <w:p>
      <w:pPr>
        <w:spacing w:after="0" w:line="27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2,274,438</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1,003,908</w:t>
      </w:r>
    </w:p>
    <w:p>
      <w:pPr>
        <w:spacing w:after="0" w:line="1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357,145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657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3,635,491</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13,346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6985</wp:posOffset>
            </wp:positionV>
            <wp:extent cx="5657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0"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4,348,082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657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1,462,462</w:t>
      </w:r>
    </w:p>
    <w:p>
      <w:pPr>
        <w:spacing w:after="0" w:line="15"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1,963,530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29,130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190,364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5657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3"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3,645,486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10795</wp:posOffset>
            </wp:positionV>
            <wp:extent cx="5657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702,596</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5"/>
          <w:szCs w:val="15"/>
          <w:u w:val="single" w:color="auto"/>
          <w:color w:val="auto"/>
        </w:rPr>
        <w:t>27,519,953</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$28,222,549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42545</wp:posOffset>
            </wp:positionV>
            <wp:extent cx="5657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8340" w:space="720"/>
            <w:col w:w="115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u w:val="single" w:color="auto"/>
          <w:color w:val="auto"/>
        </w:rPr>
        <w:t>Description of the Plan</w:t>
      </w:r>
    </w:p>
    <w:p>
      <w:pPr>
        <w:spacing w:after="0" w:line="25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Casual Male Retail Group, Inc. (the “Company”). The Plan is subject to the provisions of the Employee Retirement Income Security Act of 1974 (ERISA).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All salaried employees of the Company who have completed six months of employment and are at least 21 years of age are eligible to participate in the Plan.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After completing age and service requirements, the employee can enter the Plan on the first day of any subsequent month.</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2011 were $190,364. Assets transferred from the Casual Male Retail Group, Inc. 401(k) Hourly Savings Plan during the year ended December 31, 2011 were $13,346.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Each year, participants may contribute from 1% to 80% of pretax annual compensation as defined in the Plan, subject to certain limitations prescribed by the Internal Revenue Code (the “Code”). Participants may also contribute amounts representing distributions from other qualified defined benefit or defined contribution plans.</w:t>
      </w:r>
    </w:p>
    <w:p>
      <w:pPr>
        <w:spacing w:after="0" w:line="140"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Effective January 1, 2011 the Company reinstituted the Safe Harbor Matching provisions permitted under the Pension Protection Act of 2006 and for the year ended December 31, 2011, contributed a match of 100% of the participant’s elective deferral for the first 1% of eligible compensation plus 50% of the participant’s elective deferral for the next 5% of eligible compensation. Additional amounts may be contributed at the discretion of the Company.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Automatic Enrollment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Each employee who has satisfied the eligibility requirements shall be automatically enrolled and shall have an amount equal to 5% of their compensation automatically deferred unless the employee affirmatively elects a different elective deferral contribution percentage (including a zero percent election). Unless an eligible employee affirmatively elects not to contribute or changes their deferral rate, the pre-tax deferral will increase annually by 1% not to exceed 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Each participant’s account is credited with the participant’s contributions, the Company’s matching and discretionary contribution, Plan earnings, and charged with an allocation of Plan expenses. Allocations are based on account balances. The benefit to which a participant is entitled is the benefit that can be provided from the participant’s vested account.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two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Amounts forfeited under the Plan are used to reduce future employer contributions and administrative expenses. At December 31, 2011 and 2010, forfeited non-vested accounts totaled $32,249 and $16,970 respectively. In March 2012, $31,000 of this balance was used to reduce employer contributions.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participants may direct their elective contribution and Company contributions into various investment options offered by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 / (from) the investment fund from / (to) the participant loans fund. Loans are secured by the balance in the participant’s account. Loan terms range from one to five years unless the loan is used to purchase a primary residence, in which case the loan may be repaid over a ten-year period. Other restrictions, as specified in the Plan agreement, may apply to a participant’s loan transaction. Interest rates range from 4.75% to 9.25% at December 31, 2011. Principal and interest is paid ratably through payroll deductions.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2011, there were no expenses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Distribution can be made if requested due to disability, retirement, or termination of employment. On termination of service for any reason, a participant may receive a lump 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143"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Beneficiaries may request a distribution of the vested account balance in the event of death. The account balance will continue to increase or decrease, as appropriate, based on the investment returns until it is distributed.</w:t>
      </w:r>
    </w:p>
    <w:p>
      <w:pPr>
        <w:spacing w:after="0" w:line="13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Distribution can be deferred to a later date, however, it cannot be postponed if the vested account balance is $5,000 or less; in which case the Plan Administrator will direct the Trustee that any amount exceeding $1,000 be distributed to an Individual Retirement Account or Annuity (“IRA”). If the vested account balance is $1,000 or less, the Plan Administrator will direct the Trustee to distribute it as a lump sum distribution without the participant’s consent. Prior to such distribution, participants still have the right to request that the amount be distributed directly to them in the form of a lump sum payment or to request that it be rolled-over to a different IRA provider or another retirement plan eligible to receive rollover contributions.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1-</w:t>
      </w:r>
      <w:r>
        <w:rPr>
          <w:rFonts w:ascii="Arial" w:cs="Arial" w:eastAsia="Arial" w:hAnsi="Arial"/>
          <w:sz w:val="18"/>
          <w:szCs w:val="18"/>
          <w:u w:val="single" w:color="auto"/>
          <w:color w:val="auto"/>
        </w:rPr>
        <w:t>Description of the Plan (continued)</w:t>
      </w:r>
    </w:p>
    <w:p>
      <w:pPr>
        <w:spacing w:after="0" w:line="15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If the participant fails to request a different treatment of an automatic distribution under the Plan’s cash-out provision, the distribution will be paid over to an IRA provider chosen by the Plan Administrator and invested in a product designed to preserve the principal of that distribution while still providing a reasonable rate of return and preserving liquidity. The fees assessed against this newly established IRA by its provider will be paid by the participant.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2-</w:t>
      </w:r>
      <w:r>
        <w:rPr>
          <w:rFonts w:ascii="Arial" w:cs="Arial" w:eastAsia="Arial" w:hAnsi="Arial"/>
          <w:sz w:val="18"/>
          <w:szCs w:val="18"/>
          <w:u w:val="single" w:color="auto"/>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Fidelity Advisor Stable Value Fund invests in fully benefit-responsive investment contracts which are reported at fair value (see Note 5); however, contract value is the relevant measurement attribute for that portion of the net assets available for benefits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investment contracts as well as the adjustment of the fully benefit-responsive investment contracts from fair value to contract value. The Statement of Changes in Net Assets Available for Benefits is prepared on a contract value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 and Income Recognition</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Investments are stated at fair value. Fair value is the price that would be received to sell an asset or paid to transfer a liability in an orderly transaction between market participants at the measurement date (an exit price). See Note 5 for further discussion of fair value measurements.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Note 2</w:t>
      </w:r>
      <w:r>
        <w:rPr>
          <w:rFonts w:ascii="Arial" w:cs="Arial" w:eastAsia="Arial" w:hAnsi="Arial"/>
          <w:sz w:val="18"/>
          <w:szCs w:val="18"/>
          <w:b w:val="1"/>
          <w:bCs w:val="1"/>
          <w:color w:val="auto"/>
        </w:rPr>
        <w:t>-</w:t>
      </w:r>
      <w:r>
        <w:rPr>
          <w:rFonts w:ascii="Arial" w:cs="Arial" w:eastAsia="Arial" w:hAnsi="Arial"/>
          <w:sz w:val="18"/>
          <w:szCs w:val="18"/>
          <w:u w:val="single" w:color="auto"/>
          <w:color w:val="auto"/>
        </w:rPr>
        <w:t>Summary of Significant Accounting Policies (continued)</w:t>
      </w:r>
    </w:p>
    <w:p>
      <w:pPr>
        <w:spacing w:after="0" w:line="24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Purchases and sales of securities are recorded on a trade-date basis. Interest income is recorded on the accrual basis. Dividends are recorded on the ex-dividend date. Net depreciation includes the plan’s gains and losses on investments bought and sold as well as held during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 from Participants</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Notes receivable from participants are measured at their unpaid principal balance plus accrued but unpaid interest. Delinquent participant loans are reclassified as distributions based upon the terms of the plan document.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 Values</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Individual participant accounts for the Fidelity Advisor Stable Value Fund, a common/collective trust fund, are maintained on a unit value basis. Participants do not have beneficial ownership in the specific underlying securities or other assets in the fund, but do have an interest therein represented by units valued daily. The fund earns dividends and interest which are automatically reinvested in additional units. Generally, contributions to and withdrawals from each fund are converted to units by dividing the amounts of such transactions by the unit values as last determined, and the participants’ accounts are charged or credited with the number of units properly attributable to each participant.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u w:val="single" w:color="auto"/>
          <w:color w:val="auto"/>
        </w:rPr>
        <w:t>Fair Value Disclosures</w:t>
      </w:r>
      <w:r>
        <w:rPr>
          <w:rFonts w:ascii="Arial" w:cs="Arial" w:eastAsia="Arial" w:hAnsi="Arial"/>
          <w:sz w:val="18"/>
          <w:szCs w:val="18"/>
          <w:color w:val="auto"/>
        </w:rPr>
        <w:t>-In January 2010, the Financial Accounting Standards Board (“FASB”) issued guidance which expanded the required disclosures about fair value measurements. This guidance requires information about purchases, sales, issuances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2-</w:t>
      </w:r>
      <w:r>
        <w:rPr>
          <w:rFonts w:ascii="Arial" w:cs="Arial" w:eastAsia="Arial" w:hAnsi="Arial"/>
          <w:sz w:val="18"/>
          <w:szCs w:val="18"/>
          <w:u w:val="single" w:color="auto"/>
          <w:color w:val="auto"/>
        </w:rPr>
        <w:t>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(continued)</w:t>
      </w:r>
    </w:p>
    <w:p>
      <w:pPr>
        <w:spacing w:after="0" w:line="90"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settlements to be presented separately in the reconciliation for Level 3 fair value measurements and is effective for fiscal years beginning after December 15, 2010. Net assets available for benefits and changes in net assets available for benefits of the Plan were not affected by the adoption of the new guidance.</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Fair Value Measurements</w:t>
      </w:r>
      <w:r>
        <w:rPr>
          <w:rFonts w:ascii="Arial" w:cs="Arial" w:eastAsia="Arial" w:hAnsi="Arial"/>
          <w:sz w:val="16"/>
          <w:szCs w:val="16"/>
          <w:color w:val="auto"/>
        </w:rPr>
        <w:t>-In May 2011, the FASB issued guidance which amends Accounting Standards Codification (“ASC”) 820. This guidance requires the categorization by level for items that are only required to be disclosed at fair value and information about transfers between Level 1 and Level 2. In addition, it provides guidance on measuring the fair value of financial instruments managed within a portfolio and the application of premiums and discounts on fair value measurements. The guidance requires additional disclosure for Level 3 measurements regarding the sensitivity of fair value to changes in unobservable inputs and any interrelationships between those inputs. The new guidance is effective for reporting periods beginning after December 15, 2011. The Company is currently evaluating the impact that this guidance will have on the Plan’s financial statement disclosures.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Note 3-</w:t>
      </w:r>
      <w:r>
        <w:rPr>
          <w:rFonts w:ascii="Arial" w:cs="Arial" w:eastAsia="Arial" w:hAnsi="Arial"/>
          <w:sz w:val="18"/>
          <w:szCs w:val="18"/>
          <w:u w:val="single" w:color="auto"/>
          <w:color w:val="auto"/>
        </w:rPr>
        <w:t>Investments</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During 2011, the Plan’s investments (including gains and losses on investments bought and sold, as well as held during the year) depreciated in fair value as follows: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5300" w:type="dxa"/>
            <w:vAlign w:val="bottom"/>
            <w:gridSpan w:val="4"/>
          </w:tcPr>
          <w:p>
            <w:pPr>
              <w:ind w:left="4200"/>
              <w:spacing w:after="0"/>
              <w:rPr>
                <w:sz w:val="20"/>
                <w:szCs w:val="20"/>
                <w:color w:val="auto"/>
              </w:rPr>
            </w:pPr>
            <w:r>
              <w:rPr>
                <w:rFonts w:ascii="Arial" w:cs="Arial" w:eastAsia="Arial" w:hAnsi="Arial"/>
                <w:sz w:val="14"/>
                <w:szCs w:val="14"/>
                <w:b w:val="1"/>
                <w:bCs w:val="1"/>
                <w:color w:val="auto"/>
                <w:w w:val="97"/>
              </w:rPr>
              <w:t>Net Depreciation</w:t>
            </w:r>
          </w:p>
        </w:tc>
        <w:tc>
          <w:tcPr>
            <w:tcW w:w="0" w:type="dxa"/>
            <w:vAlign w:val="bottom"/>
          </w:tcPr>
          <w:p>
            <w:pPr>
              <w:spacing w:after="0"/>
              <w:rPr>
                <w:sz w:val="1"/>
                <w:szCs w:val="1"/>
                <w:color w:val="auto"/>
              </w:rPr>
            </w:pPr>
          </w:p>
        </w:tc>
      </w:tr>
      <w:tr>
        <w:trPr>
          <w:trHeight w:val="149"/>
        </w:trPr>
        <w:tc>
          <w:tcPr>
            <w:tcW w:w="246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0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in Fair Value of</w:t>
            </w:r>
          </w:p>
        </w:tc>
        <w:tc>
          <w:tcPr>
            <w:tcW w:w="0" w:type="dxa"/>
            <w:vAlign w:val="bottom"/>
          </w:tcPr>
          <w:p>
            <w:pPr>
              <w:spacing w:after="0"/>
              <w:rPr>
                <w:sz w:val="1"/>
                <w:szCs w:val="1"/>
                <w:color w:val="auto"/>
              </w:rPr>
            </w:pPr>
          </w:p>
        </w:tc>
      </w:tr>
      <w:tr>
        <w:trPr>
          <w:trHeight w:val="161"/>
        </w:trPr>
        <w:tc>
          <w:tcPr>
            <w:tcW w:w="246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Mutual Funds</w:t>
            </w:r>
          </w:p>
        </w:tc>
        <w:tc>
          <w:tcPr>
            <w:tcW w:w="4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(1,210,693)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Common Stock</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(251,769)</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shd w:val="clear" w:color="auto" w:fill="CCEEFF"/>
          </w:tcPr>
          <w:p>
            <w:pPr>
              <w:spacing w:after="0"/>
              <w:rPr>
                <w:sz w:val="18"/>
                <w:szCs w:val="18"/>
                <w:color w:val="auto"/>
              </w:rPr>
            </w:pPr>
          </w:p>
        </w:tc>
        <w:tc>
          <w:tcPr>
            <w:tcW w:w="4320" w:type="dxa"/>
            <w:vAlign w:val="bottom"/>
            <w:gridSpan w:val="2"/>
            <w:shd w:val="clear" w:color="auto" w:fill="CCEEFF"/>
          </w:tcPr>
          <w:p>
            <w:pPr>
              <w:ind w:left="420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(1,462,462)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00" w:type="dxa"/>
            <w:vAlign w:val="bottom"/>
            <w:vMerge w:val="restart"/>
          </w:tcPr>
          <w:p>
            <w:pPr>
              <w:jc w:val="right"/>
              <w:ind w:right="2659"/>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4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3-</w:t>
      </w:r>
      <w:r>
        <w:rPr>
          <w:rFonts w:ascii="Arial" w:cs="Arial" w:eastAsia="Arial" w:hAnsi="Arial"/>
          <w:sz w:val="18"/>
          <w:szCs w:val="18"/>
          <w:u w:val="single" w:color="auto"/>
          <w:color w:val="auto"/>
        </w:rPr>
        <w:t>Investments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180" w:type="dxa"/>
            <w:vAlign w:val="bottom"/>
            <w:gridSpan w:val="5"/>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61"/>
        </w:trPr>
        <w:tc>
          <w:tcPr>
            <w:tcW w:w="8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2011</w:t>
            </w:r>
          </w:p>
        </w:tc>
        <w:tc>
          <w:tcPr>
            <w:tcW w:w="260" w:type="dxa"/>
            <w:vAlign w:val="bottom"/>
          </w:tcPr>
          <w:p>
            <w:pPr>
              <w:spacing w:after="0"/>
              <w:rPr>
                <w:sz w:val="14"/>
                <w:szCs w:val="14"/>
                <w:color w:val="auto"/>
              </w:rPr>
            </w:pPr>
          </w:p>
        </w:tc>
        <w:tc>
          <w:tcPr>
            <w:tcW w:w="1040" w:type="dxa"/>
            <w:vAlign w:val="bottom"/>
            <w:gridSpan w:val="2"/>
          </w:tcPr>
          <w:p>
            <w:pPr>
              <w:jc w:val="center"/>
              <w:ind w:left="175"/>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r>
      <w:tr>
        <w:trPr>
          <w:trHeight w:val="210"/>
        </w:trPr>
        <w:tc>
          <w:tcPr>
            <w:tcW w:w="8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Fidelity Advisor Stable Value Fund *</w:t>
            </w: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$5,024,696</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$4,404,264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JP Morgan Equity Index</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$2,380,736</w:t>
            </w:r>
          </w:p>
        </w:tc>
        <w:tc>
          <w:tcPr>
            <w:tcW w:w="104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$2,412,548</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New Insights</w:t>
            </w:r>
          </w:p>
        </w:tc>
        <w:tc>
          <w:tcPr>
            <w:tcW w:w="10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$2,313,480</w:t>
            </w:r>
          </w:p>
        </w:tc>
        <w:tc>
          <w:tcPr>
            <w:tcW w:w="1040" w:type="dxa"/>
            <w:vAlign w:val="bottom"/>
            <w:gridSpan w:val="2"/>
            <w:shd w:val="clear" w:color="auto" w:fill="CCEEFF"/>
          </w:tcPr>
          <w:p>
            <w:pPr>
              <w:jc w:val="center"/>
              <w:ind w:left="155"/>
              <w:spacing w:after="0"/>
              <w:rPr>
                <w:sz w:val="20"/>
                <w:szCs w:val="20"/>
                <w:color w:val="auto"/>
              </w:rPr>
            </w:pPr>
            <w:r>
              <w:rPr>
                <w:rFonts w:ascii="Arial" w:cs="Arial" w:eastAsia="Arial" w:hAnsi="Arial"/>
                <w:sz w:val="18"/>
                <w:szCs w:val="18"/>
                <w:color w:val="auto"/>
                <w:w w:val="88"/>
              </w:rPr>
              <w:t>$2,240,702</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Fidelity Advisor Freedom 2005</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$1,841,309</w:t>
            </w:r>
          </w:p>
        </w:tc>
        <w:tc>
          <w:tcPr>
            <w:tcW w:w="104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$2,018,426</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Federated Bond Fund</w:t>
            </w:r>
          </w:p>
        </w:tc>
        <w:tc>
          <w:tcPr>
            <w:tcW w:w="10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6"/>
              </w:rPr>
              <w:t>$1,626,502</w:t>
            </w:r>
          </w:p>
        </w:tc>
        <w:tc>
          <w:tcPr>
            <w:tcW w:w="104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Columbia Acorn International</w:t>
            </w: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$1,413,764</w:t>
            </w:r>
          </w:p>
        </w:tc>
        <w:tc>
          <w:tcPr>
            <w:tcW w:w="1040" w:type="dxa"/>
            <w:vAlign w:val="bottom"/>
            <w:gridSpan w:val="2"/>
          </w:tcPr>
          <w:p>
            <w:pPr>
              <w:jc w:val="center"/>
              <w:ind w:left="155"/>
              <w:spacing w:after="0"/>
              <w:rPr>
                <w:sz w:val="20"/>
                <w:szCs w:val="20"/>
                <w:color w:val="auto"/>
              </w:rPr>
            </w:pPr>
            <w:r>
              <w:rPr>
                <w:rFonts w:ascii="Arial" w:cs="Arial" w:eastAsia="Arial" w:hAnsi="Arial"/>
                <w:sz w:val="18"/>
                <w:szCs w:val="18"/>
                <w:color w:val="auto"/>
                <w:w w:val="88"/>
              </w:rPr>
              <w:t>$1,677,908</w:t>
            </w:r>
          </w:p>
        </w:tc>
        <w:tc>
          <w:tcPr>
            <w:tcW w:w="100" w:type="dxa"/>
            <w:vAlign w:val="bottom"/>
          </w:tcPr>
          <w:p>
            <w:pPr>
              <w:spacing w:after="0"/>
              <w:rPr>
                <w:sz w:val="18"/>
                <w:szCs w:val="18"/>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Fidelity Advisor Freedom 2020</w:t>
            </w:r>
          </w:p>
        </w:tc>
        <w:tc>
          <w:tcPr>
            <w:tcW w:w="78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155"/>
              <w:spacing w:after="0"/>
              <w:rPr>
                <w:sz w:val="20"/>
                <w:szCs w:val="20"/>
                <w:color w:val="auto"/>
              </w:rPr>
            </w:pPr>
            <w:r>
              <w:rPr>
                <w:rFonts w:ascii="Arial" w:cs="Arial" w:eastAsia="Arial" w:hAnsi="Arial"/>
                <w:sz w:val="18"/>
                <w:szCs w:val="18"/>
                <w:color w:val="auto"/>
                <w:w w:val="88"/>
              </w:rPr>
              <w:t>$1,633,533</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The amount represents contract value for this investment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Not applicable, investment amount is below 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Note 4-</w:t>
      </w:r>
      <w:r>
        <w:rPr>
          <w:rFonts w:ascii="Arial" w:cs="Arial" w:eastAsia="Arial" w:hAnsi="Arial"/>
          <w:sz w:val="18"/>
          <w:szCs w:val="18"/>
          <w:u w:val="single" w:color="auto"/>
          <w:color w:val="auto"/>
        </w:rPr>
        <w:t>Non Participant 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 participant directed investments is as follows: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00" w:type="dxa"/>
            <w:vAlign w:val="bottom"/>
            <w:gridSpan w:val="6"/>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9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Assets:</w:t>
            </w:r>
          </w:p>
        </w:tc>
        <w:tc>
          <w:tcPr>
            <w:tcW w:w="20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4940" w:type="dxa"/>
            <w:vAlign w:val="bottom"/>
          </w:tcPr>
          <w:p>
            <w:pPr>
              <w:ind w:left="440"/>
              <w:spacing w:after="0"/>
              <w:rPr>
                <w:sz w:val="20"/>
                <w:szCs w:val="20"/>
                <w:color w:val="auto"/>
              </w:rPr>
            </w:pPr>
            <w:r>
              <w:rPr>
                <w:rFonts w:ascii="Arial" w:cs="Arial" w:eastAsia="Arial" w:hAnsi="Arial"/>
                <w:sz w:val="18"/>
                <w:szCs w:val="18"/>
                <w:color w:val="auto"/>
              </w:rPr>
              <w:t>Fidelity Advisor Stable Value Fund</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$32,249</w:t>
            </w:r>
          </w:p>
        </w:tc>
        <w:tc>
          <w:tcPr>
            <w:tcW w:w="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$16,970</w:t>
            </w:r>
          </w:p>
        </w:tc>
        <w:tc>
          <w:tcPr>
            <w:tcW w:w="100" w:type="dxa"/>
            <w:vAlign w:val="bottom"/>
          </w:tcPr>
          <w:p>
            <w:pPr>
              <w:spacing w:after="0"/>
              <w:rPr>
                <w:sz w:val="19"/>
                <w:szCs w:val="19"/>
                <w:color w:val="auto"/>
              </w:rPr>
            </w:pPr>
          </w:p>
        </w:tc>
      </w:tr>
      <w:tr>
        <w:trPr>
          <w:trHeight w:val="332"/>
        </w:trPr>
        <w:tc>
          <w:tcPr>
            <w:tcW w:w="4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49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700" w:type="dxa"/>
            <w:vAlign w:val="bottom"/>
            <w:gridSpan w:val="6"/>
          </w:tcPr>
          <w:p>
            <w:pPr>
              <w:ind w:left="500"/>
              <w:spacing w:after="0"/>
              <w:rPr>
                <w:sz w:val="20"/>
                <w:szCs w:val="20"/>
                <w:color w:val="auto"/>
              </w:rPr>
            </w:pPr>
            <w:r>
              <w:rPr>
                <w:rFonts w:ascii="Arial" w:cs="Arial" w:eastAsia="Arial" w:hAnsi="Arial"/>
                <w:sz w:val="14"/>
                <w:szCs w:val="14"/>
                <w:b w:val="1"/>
                <w:bCs w:val="1"/>
                <w:color w:val="auto"/>
                <w:w w:val="93"/>
              </w:rPr>
              <w:t>December 31, 2011</w:t>
            </w:r>
          </w:p>
        </w:tc>
      </w:tr>
      <w:tr>
        <w:trPr>
          <w:trHeight w:val="196"/>
        </w:trPr>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Changes in Net Assets:</w:t>
            </w:r>
          </w:p>
        </w:tc>
        <w:tc>
          <w:tcPr>
            <w:tcW w:w="20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40" w:type="dxa"/>
            <w:vAlign w:val="bottom"/>
          </w:tcPr>
          <w:p>
            <w:pPr>
              <w:ind w:left="440"/>
              <w:spacing w:after="0"/>
              <w:rPr>
                <w:sz w:val="20"/>
                <w:szCs w:val="20"/>
                <w:color w:val="auto"/>
              </w:rPr>
            </w:pPr>
            <w:r>
              <w:rPr>
                <w:rFonts w:ascii="Arial" w:cs="Arial" w:eastAsia="Arial" w:hAnsi="Arial"/>
                <w:sz w:val="18"/>
                <w:szCs w:val="18"/>
                <w:color w:val="auto"/>
              </w:rPr>
              <w:t>Interest and dividend income</w:t>
            </w:r>
          </w:p>
        </w:tc>
        <w:tc>
          <w:tcPr>
            <w:tcW w:w="2680" w:type="dxa"/>
            <w:vAlign w:val="bottom"/>
            <w:gridSpan w:val="4"/>
          </w:tcPr>
          <w:p>
            <w:pPr>
              <w:ind w:left="25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year forfeitures</w:t>
            </w:r>
          </w:p>
        </w:tc>
        <w:tc>
          <w:tcPr>
            <w:tcW w:w="2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4940" w:type="dxa"/>
            <w:vAlign w:val="bottom"/>
          </w:tcPr>
          <w:p>
            <w:pPr>
              <w:ind w:left="440"/>
              <w:spacing w:after="0"/>
              <w:rPr>
                <w:sz w:val="20"/>
                <w:szCs w:val="20"/>
                <w:color w:val="auto"/>
              </w:rPr>
            </w:pPr>
            <w:r>
              <w:rPr>
                <w:rFonts w:ascii="Arial" w:cs="Arial" w:eastAsia="Arial" w:hAnsi="Arial"/>
                <w:sz w:val="18"/>
                <w:szCs w:val="18"/>
                <w:color w:val="auto"/>
              </w:rPr>
              <w:t>Contributions</w:t>
            </w:r>
          </w:p>
        </w:tc>
        <w:tc>
          <w:tcPr>
            <w:tcW w:w="2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14,899</w:t>
            </w:r>
          </w:p>
        </w:tc>
        <w:tc>
          <w:tcPr>
            <w:tcW w:w="10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18"/>
                <w:szCs w:val="18"/>
                <w:color w:val="auto"/>
              </w:rPr>
            </w:pPr>
          </w:p>
        </w:tc>
        <w:tc>
          <w:tcPr>
            <w:tcW w:w="2680" w:type="dxa"/>
            <w:vAlign w:val="bottom"/>
            <w:gridSpan w:val="4"/>
            <w:shd w:val="clear" w:color="auto" w:fill="CCEEFF"/>
          </w:tcPr>
          <w:p>
            <w:pPr>
              <w:ind w:left="2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15,279</w:t>
            </w:r>
          </w:p>
        </w:tc>
        <w:tc>
          <w:tcPr>
            <w:tcW w:w="100" w:type="dxa"/>
            <w:vAlign w:val="bottom"/>
            <w:shd w:val="clear" w:color="auto" w:fill="CCEEFF"/>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5-</w:t>
      </w:r>
      <w:r>
        <w:rPr>
          <w:rFonts w:ascii="Arial" w:cs="Arial" w:eastAsia="Arial" w:hAnsi="Arial"/>
          <w:sz w:val="18"/>
          <w:szCs w:val="18"/>
          <w:u w:val="single" w:color="auto"/>
          <w:color w:val="auto"/>
        </w:rPr>
        <w:t>Fair Value Measurements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The Plan measures fair value in accordance with FASB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5-</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under FASB ASC 820 are described as follows:</w:t>
      </w:r>
    </w:p>
    <w:p>
      <w:pPr>
        <w:spacing w:after="0" w:line="90" w:lineRule="exact"/>
        <w:rPr>
          <w:sz w:val="20"/>
          <w:szCs w:val="20"/>
          <w:color w:val="auto"/>
        </w:rPr>
      </w:pPr>
    </w:p>
    <w:p>
      <w:pPr>
        <w:ind w:left="1040" w:right="160" w:hanging="1025"/>
        <w:spacing w:after="0" w:line="268" w:lineRule="auto"/>
        <w:tabs>
          <w:tab w:leader="none" w:pos="10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to the valuation methodology are unadjusted quoted prices for identical assets or liabilities in active markets that the Plan has the ability to access.</w:t>
      </w:r>
    </w:p>
    <w:p>
      <w:pPr>
        <w:spacing w:after="0" w:line="5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to the valuation methodology include</w:t>
      </w:r>
    </w:p>
    <w:p>
      <w:pPr>
        <w:spacing w:after="0" w:line="90" w:lineRule="exact"/>
        <w:rPr>
          <w:sz w:val="20"/>
          <w:szCs w:val="20"/>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90" w:lineRule="exact"/>
        <w:rPr>
          <w:rFonts w:ascii="Arial" w:cs="Arial" w:eastAsia="Arial" w:hAnsi="Arial"/>
          <w:sz w:val="18"/>
          <w:szCs w:val="18"/>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w:t>
      </w:r>
    </w:p>
    <w:p>
      <w:pPr>
        <w:spacing w:after="0" w:line="90" w:lineRule="exact"/>
        <w:rPr>
          <w:rFonts w:ascii="Arial" w:cs="Arial" w:eastAsia="Arial" w:hAnsi="Arial"/>
          <w:sz w:val="18"/>
          <w:szCs w:val="18"/>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w:t>
      </w:r>
    </w:p>
    <w:p>
      <w:pPr>
        <w:spacing w:after="0" w:line="90" w:lineRule="exact"/>
        <w:rPr>
          <w:rFonts w:ascii="Arial" w:cs="Arial" w:eastAsia="Arial" w:hAnsi="Arial"/>
          <w:sz w:val="18"/>
          <w:szCs w:val="18"/>
          <w:color w:val="auto"/>
        </w:rPr>
      </w:pPr>
    </w:p>
    <w:p>
      <w:pPr>
        <w:ind w:left="1460" w:hanging="426"/>
        <w:spacing w:after="0"/>
        <w:tabs>
          <w:tab w:leader="none" w:pos="1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90"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If the asset or liability has a specified (contractual) term, the Level 2 input must be observable for substantially the full term of the asset or liability.</w:t>
      </w:r>
    </w:p>
    <w:p>
      <w:pPr>
        <w:spacing w:after="0" w:line="11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5"/>
          <w:szCs w:val="15"/>
          <w:color w:val="auto"/>
        </w:rPr>
        <w:t>Inputs to the valuation methodology are unobservable and significant to the fair value measurement.</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8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Following is a description of the valuation methodologies used for assets measured at fair value. There have been no changes in the methodologies used at December 31, 2011 and 2010.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Common stock: </w:t>
      </w:r>
      <w:r>
        <w:rPr>
          <w:rFonts w:ascii="Arial" w:cs="Arial" w:eastAsia="Arial" w:hAnsi="Arial"/>
          <w:sz w:val="18"/>
          <w:szCs w:val="18"/>
          <w:color w:val="auto"/>
        </w:rPr>
        <w:t>Valued at the closing price reported on the active market on which the individual securities are traded.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quoted net asset value (“NAV”) of shares held by the Plan at year end.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Common/collective trust fund: </w:t>
      </w:r>
      <w:r>
        <w:rPr>
          <w:rFonts w:ascii="Arial" w:cs="Arial" w:eastAsia="Arial" w:hAnsi="Arial"/>
          <w:sz w:val="18"/>
          <w:szCs w:val="18"/>
          <w:color w:val="auto"/>
        </w:rPr>
        <w:t>Valued at estimated fair value as determined by the issuer of the common/collective trust fund based on the fair market value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underlying investments.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5-</w:t>
      </w:r>
      <w:r>
        <w:rPr>
          <w:rFonts w:ascii="Arial" w:cs="Arial" w:eastAsia="Arial" w:hAnsi="Arial"/>
          <w:sz w:val="18"/>
          <w:szCs w:val="18"/>
          <w:u w:val="single" w:color="auto"/>
          <w:color w:val="auto"/>
        </w:rPr>
        <w:t>Fair Value Measurements (continued)</w:t>
      </w:r>
    </w:p>
    <w:p>
      <w:pPr>
        <w:spacing w:after="0" w:line="15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by level, within the fair value hierarchy, the Plan’s investments at fair value as of December 31, 2011 and 2010:</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Investments at Fair Value as of December 31, 2011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5,246,121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5,246,121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2,261,113</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2,261,113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829,745</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829,745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1,780,992</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1,780,992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7,775,938</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7,775,938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2,836,695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2,836,695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20,730,604</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20,730,604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Retail</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625,125</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625,125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4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5,190,396</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5,190,396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5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21,355,729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5,190,396</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26,546,125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62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Investments at Fair Value as of December 31, 2010</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4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Large cap stock funds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5,326,127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5,326,127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Mid cap stock funds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2,258,866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2,258,866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Small cap stock funds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868,834</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 stock funds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2,274,351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2,274,351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Target funds</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8,383,499</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8,383,499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funds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2,072,510</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2,072,510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vMerge w:val="restart"/>
          </w:tcPr>
          <w:p>
            <w:pPr>
              <w:ind w:left="860"/>
              <w:spacing w:after="0"/>
              <w:rPr>
                <w:sz w:val="20"/>
                <w:szCs w:val="20"/>
                <w:color w:val="auto"/>
              </w:rPr>
            </w:pPr>
            <w:r>
              <w:rPr>
                <w:rFonts w:ascii="Arial" w:cs="Arial" w:eastAsia="Arial" w:hAnsi="Arial"/>
                <w:sz w:val="18"/>
                <w:szCs w:val="18"/>
                <w:color w:val="auto"/>
              </w:rPr>
              <w:t>Total mutual funds</w:t>
            </w:r>
          </w:p>
        </w:tc>
        <w:tc>
          <w:tcPr>
            <w:tcW w:w="4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960" w:type="dxa"/>
            <w:vAlign w:val="bottom"/>
            <w:vMerge w:val="continue"/>
          </w:tcPr>
          <w:p>
            <w:pPr>
              <w:spacing w:after="0"/>
              <w:rPr>
                <w:sz w:val="19"/>
                <w:szCs w:val="19"/>
                <w:color w:val="auto"/>
              </w:rPr>
            </w:pPr>
          </w:p>
        </w:tc>
        <w:tc>
          <w:tcPr>
            <w:tcW w:w="4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21,184,187</w:t>
            </w:r>
          </w:p>
        </w:tc>
        <w:tc>
          <w:tcPr>
            <w:tcW w:w="80" w:type="dxa"/>
            <w:vAlign w:val="bottom"/>
          </w:tcPr>
          <w:p>
            <w:pPr>
              <w:spacing w:after="0"/>
              <w:rPr>
                <w:sz w:val="19"/>
                <w:szCs w:val="19"/>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21,184,187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Retail</w:t>
            </w:r>
          </w:p>
        </w:tc>
        <w:tc>
          <w:tcPr>
            <w:tcW w:w="4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926,337</w:t>
            </w:r>
          </w:p>
        </w:tc>
        <w:tc>
          <w:tcPr>
            <w:tcW w:w="80" w:type="dxa"/>
            <w:vAlign w:val="bottom"/>
          </w:tcPr>
          <w:p>
            <w:pPr>
              <w:spacing w:after="0"/>
              <w:rPr>
                <w:sz w:val="18"/>
                <w:szCs w:val="18"/>
                <w:color w:val="auto"/>
              </w:rPr>
            </w:pPr>
          </w:p>
        </w:tc>
        <w:tc>
          <w:tcPr>
            <w:tcW w:w="10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926,337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Common/collective trust fund:</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60" w:type="dxa"/>
            <w:vAlign w:val="bottom"/>
          </w:tcPr>
          <w:p>
            <w:pPr>
              <w:ind w:left="420"/>
              <w:spacing w:after="0"/>
              <w:rPr>
                <w:sz w:val="20"/>
                <w:szCs w:val="20"/>
                <w:color w:val="auto"/>
              </w:rPr>
            </w:pPr>
            <w:r>
              <w:rPr>
                <w:rFonts w:ascii="Arial" w:cs="Arial" w:eastAsia="Arial" w:hAnsi="Arial"/>
                <w:sz w:val="18"/>
                <w:szCs w:val="18"/>
                <w:color w:val="auto"/>
              </w:rPr>
              <w:t>Fixed income funds</w:t>
            </w:r>
          </w:p>
        </w:tc>
        <w:tc>
          <w:tcPr>
            <w:tcW w:w="4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4,488,197</w:t>
            </w:r>
          </w:p>
        </w:tc>
        <w:tc>
          <w:tcPr>
            <w:tcW w:w="3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4,488,197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56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22,110,524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4,488,197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26,598,721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20" w:type="dxa"/>
            <w:vAlign w:val="bottom"/>
            <w:vMerge w:val="restart"/>
          </w:tcPr>
          <w:p>
            <w:pPr>
              <w:jc w:val="right"/>
              <w:ind w:right="1512"/>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6-</w:t>
      </w:r>
      <w:r>
        <w:rPr>
          <w:rFonts w:ascii="Arial" w:cs="Arial" w:eastAsia="Arial" w:hAnsi="Arial"/>
          <w:sz w:val="18"/>
          <w:szCs w:val="18"/>
          <w:u w:val="single" w:color="auto"/>
          <w:color w:val="auto"/>
        </w:rPr>
        <w:t>Common/Collective Trust Fund</w:t>
      </w:r>
    </w:p>
    <w:p>
      <w:pPr>
        <w:spacing w:after="0" w:line="15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Fidelity Advisor Stable Value Fund is a common/collective trust fund that is considered to be a stable value fund with underlying investments in investment contracts and is valued at fair value and then adjusted by the issuer to contract value. Fair value of the stable value fund is the fair market value of its underlying investments and contract value is principal plus accrued interest. The Fidelity Advisor Stable Value Fund is a stable value fund that is an open-end commingled pool dedicated exclusively to the management of assets of defined contribution plans. The Fidelity Advisor Stable Value Fund’s investment objective is to seek preservation of capital and a competitive level of income over time. To achieve its investment objective, the Fidelity Advisor Stable Value Fund invests in underlying assets (typically fixed income securities or bond funds and may include derivative instruments such as futures contracts and swap agreements) and enters into a “wrapper” contract issued by a third party. Participants may ordinarily direct the withdrawal or transfer of all or a portion of their investment at contract value. Contract value represents contributions made to the fund, plus earnings, less participant withdrawals.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Note 7-</w:t>
      </w:r>
      <w:r>
        <w:rPr>
          <w:rFonts w:ascii="Arial" w:cs="Arial" w:eastAsia="Arial" w:hAnsi="Arial"/>
          <w:sz w:val="18"/>
          <w:szCs w:val="18"/>
          <w:u w:val="single" w:color="auto"/>
          <w:color w:val="auto"/>
        </w:rPr>
        <w:t>Related Party Transactions</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Plan owned 182,785 and 195,430 shares of Casual Male Retail Group, Inc. valued at $625,125 and $926,337 at December 31, 2011 and 2010, respectively. Additionally, certain plan investments are shares of mutual funds and units in the Fidelity Advisor Stable Fund managed by Fidelity Management Trust Company who is the Trustee as defined by the Plan, and therefore, these transactions qualify as party-in-interest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8-</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Note 9</w:t>
      </w:r>
      <w:r>
        <w:rPr>
          <w:rFonts w:ascii="Arial" w:cs="Arial" w:eastAsia="Arial" w:hAnsi="Arial"/>
          <w:sz w:val="18"/>
          <w:szCs w:val="18"/>
          <w:b w:val="1"/>
          <w:bCs w:val="1"/>
          <w:color w:val="auto"/>
        </w:rPr>
        <w:t>-</w:t>
      </w:r>
      <w:r>
        <w:rPr>
          <w:rFonts w:ascii="Arial" w:cs="Arial" w:eastAsia="Arial" w:hAnsi="Arial"/>
          <w:sz w:val="18"/>
          <w:szCs w:val="18"/>
          <w:u w:val="single" w:color="auto"/>
          <w:color w:val="auto"/>
        </w:rPr>
        <w:t>Income Tax Status</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The underlying non-standardized prototype plan has received an opinion letter from the Internal Revenue Service (IRS) dated March 31, 2008 stating that the form of the Plan is qualified under Section 401 of the Code and, therefore, the related trust is tax-exempt. In accordance with Revenue Procedure 2002-6 and Announcement 2001-77, the Plan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Note 9</w:t>
      </w:r>
      <w:r>
        <w:rPr>
          <w:rFonts w:ascii="Arial" w:cs="Arial" w:eastAsia="Arial" w:hAnsi="Arial"/>
          <w:sz w:val="18"/>
          <w:szCs w:val="18"/>
          <w:b w:val="1"/>
          <w:bCs w:val="1"/>
          <w:color w:val="auto"/>
        </w:rPr>
        <w:t>-</w:t>
      </w:r>
      <w:r>
        <w:rPr>
          <w:rFonts w:ascii="Arial" w:cs="Arial" w:eastAsia="Arial" w:hAnsi="Arial"/>
          <w:sz w:val="18"/>
          <w:szCs w:val="18"/>
          <w:u w:val="single" w:color="auto"/>
          <w:color w:val="auto"/>
        </w:rPr>
        <w:t>Income Tax Status (continued)</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Sponsor has determined that it is eligible to and has chosen to rely on the current IRS prototype plan opinion letter. Once qualified, the Plan is required to operate in conformity with the Code to maintain its qualification. The Plan has been amended since receiving the opinion letter. However, the Plan Administrator believes the Plan is being operated in compliance with the applicable requirements of the Code and, therefore, believes that the Plan is qualified and the related trust is tax-exempt.</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Accounting principles generally accepted in the United States of America require plan management to evaluate tax positions taken by the Plan and recognize a tax liability (or asset) if the Plan has taken an uncertain tax position that more likely than not would not be sustained upon examination by the taxing authorities. The Plan Administrator has analyzed the tax positions taken by the Plan, and has concluded that as of December 31, 2011, there are no uncertain positions taken or expected to be taken that would require recognition of a liability (or asset) or disclosure in the financial statements. The Plan is subject to routine audits by taxing jurisdictions. The Plan was examined by the IRS for the year ended December 31, 2008 and in March 2011, the IRS concluded that there were no changes necessary to the filed return. There are currently no other audits for any tax periods in progress. The plan administrator believes it is no longer subject to income tax examinations for 2008 and prior.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Note 10-</w:t>
      </w:r>
      <w:r>
        <w:rPr>
          <w:rFonts w:ascii="Arial" w:cs="Arial" w:eastAsia="Arial" w:hAnsi="Arial"/>
          <w:sz w:val="18"/>
          <w:szCs w:val="18"/>
          <w:u w:val="single" w:color="auto"/>
          <w:color w:val="auto"/>
        </w:rPr>
        <w:t>Reconciliation of Financial Statement to Form 5500</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net assets available for benefits according to the financial statements to Form 5500 as of December 31, 2011 and 2010:</w:t>
      </w:r>
    </w:p>
    <w:p>
      <w:pPr>
        <w:spacing w:after="0" w:line="32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1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2011</w:t>
            </w:r>
          </w:p>
        </w:tc>
        <w:tc>
          <w:tcPr>
            <w:tcW w:w="13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assets available for benefits per the financial statements</w:t>
            </w:r>
          </w:p>
        </w:tc>
        <w:tc>
          <w:tcPr>
            <w:tcW w:w="2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$28,222,549</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$27,519,953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3"/>
              </w:rPr>
              <w:t>Adjustment from fair value to contract value for fully benefit-responsive investment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120" w:type="dxa"/>
            <w:vAlign w:val="bottom"/>
          </w:tcPr>
          <w:p>
            <w:pPr>
              <w:ind w:left="20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165,700</w:t>
            </w:r>
          </w:p>
        </w:tc>
        <w:tc>
          <w:tcPr>
            <w:tcW w:w="4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83,933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per Form 5500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28,388,249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27,603,886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 reconciliation of net depreciation in fair value of investments, interest and dividend income, and interest income from participant loans for the year ended December 31, 2011 per the financial statements to Form 5500:</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208"/>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depreciation in fair value of investments, interest and dividend income, and interest income from</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participant loans per the financial statements</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$(763,217)</w:t>
            </w:r>
          </w:p>
        </w:tc>
        <w:tc>
          <w:tcPr>
            <w:tcW w:w="0" w:type="dxa"/>
            <w:vAlign w:val="bottom"/>
          </w:tcPr>
          <w:p>
            <w:pPr>
              <w:spacing w:after="0"/>
              <w:rPr>
                <w:sz w:val="1"/>
                <w:szCs w:val="1"/>
                <w:color w:val="auto"/>
              </w:rPr>
            </w:pPr>
          </w:p>
        </w:tc>
      </w:tr>
      <w:tr>
        <w:trPr>
          <w:trHeight w:val="208"/>
        </w:trPr>
        <w:tc>
          <w:tcPr>
            <w:tcW w:w="7500" w:type="dxa"/>
            <w:vAlign w:val="bottom"/>
          </w:tcPr>
          <w:p>
            <w:pPr>
              <w:spacing w:after="0"/>
              <w:rPr>
                <w:sz w:val="20"/>
                <w:szCs w:val="20"/>
                <w:color w:val="auto"/>
              </w:rPr>
            </w:pPr>
            <w:r>
              <w:rPr>
                <w:rFonts w:ascii="Arial" w:cs="Arial" w:eastAsia="Arial" w:hAnsi="Arial"/>
                <w:sz w:val="18"/>
                <w:szCs w:val="18"/>
                <w:color w:val="auto"/>
                <w:w w:val="94"/>
              </w:rPr>
              <w:t>Add: Adjustment from fair value to contract value for fully benefit-responsive investment contracts in</w:t>
            </w: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220"/>
              <w:spacing w:after="0"/>
              <w:rPr>
                <w:sz w:val="20"/>
                <w:szCs w:val="20"/>
                <w:color w:val="auto"/>
              </w:rPr>
            </w:pPr>
            <w:r>
              <w:rPr>
                <w:rFonts w:ascii="Arial" w:cs="Arial" w:eastAsia="Arial" w:hAnsi="Arial"/>
                <w:sz w:val="18"/>
                <w:szCs w:val="18"/>
                <w:color w:val="auto"/>
              </w:rPr>
              <w:t>2011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165,700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Adjustment from fair value to contract value for fully benefit-responsive investment contracts in</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(83,933)</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8"/>
                <w:szCs w:val="18"/>
                <w:color w:val="auto"/>
                <w:w w:val="93"/>
              </w:rPr>
              <w:t>Net depreciation in fair value of investments, interest and dividend income, and interest income from</w:t>
            </w:r>
          </w:p>
        </w:tc>
        <w:tc>
          <w:tcPr>
            <w:tcW w:w="34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00" w:type="dxa"/>
            <w:vAlign w:val="bottom"/>
          </w:tcPr>
          <w:p>
            <w:pPr>
              <w:ind w:left="220"/>
              <w:spacing w:after="0"/>
              <w:rPr>
                <w:sz w:val="20"/>
                <w:szCs w:val="20"/>
                <w:color w:val="auto"/>
              </w:rPr>
            </w:pPr>
            <w:r>
              <w:rPr>
                <w:rFonts w:ascii="Arial" w:cs="Arial" w:eastAsia="Arial" w:hAnsi="Arial"/>
                <w:sz w:val="18"/>
                <w:szCs w:val="18"/>
                <w:color w:val="auto"/>
              </w:rPr>
              <w:t>participant loans per Form 5500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(681,450)</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42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center"/>
        <w:ind w:right="-1220"/>
        <w:spacing w:after="0"/>
        <w:rPr>
          <w:sz w:val="20"/>
          <w:szCs w:val="20"/>
          <w:color w:val="auto"/>
        </w:rPr>
      </w:pPr>
      <w:r>
        <w:rPr>
          <w:rFonts w:ascii="Arial" w:cs="Arial" w:eastAsia="Arial" w:hAnsi="Arial"/>
          <w:sz w:val="28"/>
          <w:szCs w:val="28"/>
          <w:b w:val="1"/>
          <w:bCs w:val="1"/>
          <w:color w:val="auto"/>
        </w:rPr>
        <w:t>Supplemental Schedule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 401(k) Salaried Savings Plan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04-2623104/Plan Number: 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 – Schedule of Assets Held at End of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Identity of Issue,</w:t>
            </w:r>
          </w:p>
        </w:tc>
        <w:tc>
          <w:tcPr>
            <w:tcW w:w="120" w:type="dxa"/>
            <w:vAlign w:val="bottom"/>
          </w:tcPr>
          <w:p>
            <w:pPr>
              <w:spacing w:after="0"/>
              <w:rPr>
                <w:sz w:val="14"/>
                <w:szCs w:val="14"/>
                <w:color w:val="auto"/>
              </w:rPr>
            </w:pPr>
          </w:p>
        </w:tc>
        <w:tc>
          <w:tcPr>
            <w:tcW w:w="7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Description of investment including</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120" w:type="dxa"/>
            <w:vAlign w:val="bottom"/>
          </w:tcPr>
          <w:p>
            <w:pPr>
              <w:spacing w:after="0"/>
              <w:rPr>
                <w:sz w:val="12"/>
                <w:szCs w:val="12"/>
                <w:color w:val="auto"/>
              </w:rPr>
            </w:pPr>
          </w:p>
        </w:tc>
        <w:tc>
          <w:tcPr>
            <w:tcW w:w="72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collateral, par, or maturity value</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Shares/Units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Current Value</w:t>
            </w:r>
          </w:p>
        </w:tc>
      </w:tr>
      <w:tr>
        <w:trPr>
          <w:trHeight w:val="181"/>
        </w:trPr>
        <w:tc>
          <w:tcPr>
            <w:tcW w:w="20" w:type="dxa"/>
            <w:vAlign w:val="bottom"/>
          </w:tcPr>
          <w:p>
            <w:pPr>
              <w:spacing w:after="0"/>
              <w:rPr>
                <w:sz w:val="15"/>
                <w:szCs w:val="15"/>
                <w:color w:val="auto"/>
              </w:rPr>
            </w:pPr>
          </w:p>
        </w:tc>
        <w:tc>
          <w:tcPr>
            <w:tcW w:w="2000" w:type="dxa"/>
            <w:vAlign w:val="bottom"/>
            <w:tcBorders>
              <w:top w:val="single" w:sz="8" w:color="CCEEFF"/>
            </w:tcBorders>
            <w:gridSpan w:val="3"/>
            <w:shd w:val="clear" w:color="auto" w:fill="CCEEFF"/>
          </w:tcPr>
          <w:p>
            <w:pPr>
              <w:spacing w:after="0" w:line="182" w:lineRule="exact"/>
              <w:rPr>
                <w:sz w:val="20"/>
                <w:szCs w:val="20"/>
                <w:color w:val="auto"/>
              </w:rPr>
            </w:pPr>
            <w:r>
              <w:rPr>
                <w:rFonts w:ascii="Arial" w:cs="Arial" w:eastAsia="Arial" w:hAnsi="Arial"/>
                <w:sz w:val="18"/>
                <w:szCs w:val="18"/>
                <w:color w:val="auto"/>
              </w:rPr>
              <w:t>Commingled funds held</w:t>
            </w:r>
          </w:p>
        </w:tc>
        <w:tc>
          <w:tcPr>
            <w:tcW w:w="120" w:type="dxa"/>
            <w:vAlign w:val="bottom"/>
            <w:tcBorders>
              <w:top w:val="single" w:sz="8" w:color="CCEEFF"/>
            </w:tcBorders>
            <w:shd w:val="clear" w:color="auto" w:fill="CCEEFF"/>
          </w:tcPr>
          <w:p>
            <w:pPr>
              <w:spacing w:after="0"/>
              <w:rPr>
                <w:sz w:val="15"/>
                <w:szCs w:val="15"/>
                <w:color w:val="auto"/>
              </w:rPr>
            </w:pPr>
          </w:p>
        </w:tc>
        <w:tc>
          <w:tcPr>
            <w:tcW w:w="70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through Fidelity</w:t>
            </w:r>
          </w:p>
        </w:tc>
        <w:tc>
          <w:tcPr>
            <w:tcW w:w="1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Stable Value Fund (1)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5,024,696</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5,190,396</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Mutual funds held through</w:t>
            </w:r>
          </w:p>
        </w:tc>
        <w:tc>
          <w:tcPr>
            <w:tcW w:w="1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Fidelity Investments:</w:t>
            </w:r>
          </w:p>
        </w:tc>
        <w:tc>
          <w:tcPr>
            <w:tcW w:w="120" w:type="dxa"/>
            <w:vAlign w:val="bottom"/>
            <w:shd w:val="clear" w:color="auto" w:fill="CCEEFF"/>
          </w:tcPr>
          <w:p>
            <w:pPr>
              <w:spacing w:after="0"/>
              <w:rPr>
                <w:sz w:val="19"/>
                <w:szCs w:val="19"/>
                <w:color w:val="auto"/>
              </w:rPr>
            </w:pPr>
          </w:p>
        </w:tc>
        <w:tc>
          <w:tcPr>
            <w:tcW w:w="7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Cash – interest bearing</w:t>
            </w:r>
          </w:p>
        </w:tc>
        <w:tc>
          <w:tcPr>
            <w:tcW w:w="10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Leveraged Company Stock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920,123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High Income Adv</w:t>
            </w:r>
          </w:p>
        </w:tc>
        <w:tc>
          <w:tcPr>
            <w:tcW w:w="760" w:type="dxa"/>
            <w:vAlign w:val="bottom"/>
          </w:tcPr>
          <w:p>
            <w:pPr>
              <w:jc w:val="right"/>
              <w:spacing w:after="0"/>
              <w:rPr>
                <w:sz w:val="20"/>
                <w:szCs w:val="20"/>
                <w:color w:val="auto"/>
              </w:rPr>
            </w:pPr>
            <w:r>
              <w:rPr>
                <w:rFonts w:ascii="Arial" w:cs="Arial" w:eastAsia="Arial" w:hAnsi="Arial"/>
                <w:sz w:val="18"/>
                <w:szCs w:val="18"/>
                <w:color w:val="auto"/>
              </w:rPr>
              <w:t>25,467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236,845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Freedom 2010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Freedom 2020</w:t>
            </w:r>
          </w:p>
        </w:tc>
        <w:tc>
          <w:tcPr>
            <w:tcW w:w="760" w:type="dxa"/>
            <w:vAlign w:val="bottom"/>
          </w:tcPr>
          <w:p>
            <w:pPr>
              <w:jc w:val="right"/>
              <w:spacing w:after="0"/>
              <w:rPr>
                <w:sz w:val="20"/>
                <w:szCs w:val="20"/>
                <w:color w:val="auto"/>
              </w:rPr>
            </w:pPr>
            <w:r>
              <w:rPr>
                <w:rFonts w:ascii="Arial" w:cs="Arial" w:eastAsia="Arial" w:hAnsi="Arial"/>
                <w:sz w:val="18"/>
                <w:szCs w:val="18"/>
                <w:color w:val="auto"/>
              </w:rPr>
              <w:t>107,977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1,239,579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Freedom 2030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52,378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599,206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Freedom 2040</w:t>
            </w:r>
          </w:p>
        </w:tc>
        <w:tc>
          <w:tcPr>
            <w:tcW w:w="760" w:type="dxa"/>
            <w:vAlign w:val="bottom"/>
          </w:tcPr>
          <w:p>
            <w:pPr>
              <w:jc w:val="right"/>
              <w:spacing w:after="0"/>
              <w:rPr>
                <w:sz w:val="20"/>
                <w:szCs w:val="20"/>
                <w:color w:val="auto"/>
              </w:rPr>
            </w:pPr>
            <w:r>
              <w:rPr>
                <w:rFonts w:ascii="Arial" w:cs="Arial" w:eastAsia="Arial" w:hAnsi="Arial"/>
                <w:sz w:val="18"/>
                <w:szCs w:val="18"/>
                <w:color w:val="auto"/>
              </w:rPr>
              <w:t>53,323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608,954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Freedom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7,061</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New Insights</w:t>
            </w:r>
          </w:p>
        </w:tc>
        <w:tc>
          <w:tcPr>
            <w:tcW w:w="760" w:type="dxa"/>
            <w:vAlign w:val="bottom"/>
          </w:tcPr>
          <w:p>
            <w:pPr>
              <w:jc w:val="right"/>
              <w:spacing w:after="0"/>
              <w:rPr>
                <w:sz w:val="20"/>
                <w:szCs w:val="20"/>
                <w:color w:val="auto"/>
              </w:rPr>
            </w:pPr>
            <w:r>
              <w:rPr>
                <w:rFonts w:ascii="Arial" w:cs="Arial" w:eastAsia="Arial" w:hAnsi="Arial"/>
                <w:sz w:val="18"/>
                <w:szCs w:val="18"/>
                <w:color w:val="auto"/>
              </w:rPr>
              <w:t>117,316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2,313,480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Freedom 2005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1,841,309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Freedom 2015</w:t>
            </w:r>
          </w:p>
        </w:tc>
        <w:tc>
          <w:tcPr>
            <w:tcW w:w="760" w:type="dxa"/>
            <w:vAlign w:val="bottom"/>
          </w:tcPr>
          <w:p>
            <w:pPr>
              <w:jc w:val="right"/>
              <w:spacing w:after="0"/>
              <w:rPr>
                <w:sz w:val="20"/>
                <w:szCs w:val="20"/>
                <w:color w:val="auto"/>
              </w:rPr>
            </w:pPr>
            <w:r>
              <w:rPr>
                <w:rFonts w:ascii="Arial" w:cs="Arial" w:eastAsia="Arial" w:hAnsi="Arial"/>
                <w:sz w:val="18"/>
                <w:szCs w:val="18"/>
                <w:color w:val="auto"/>
              </w:rPr>
              <w:t>55,783</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619,746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Freedom 2025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765,502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Freedom 2035</w:t>
            </w:r>
          </w:p>
        </w:tc>
        <w:tc>
          <w:tcPr>
            <w:tcW w:w="760" w:type="dxa"/>
            <w:vAlign w:val="bottom"/>
          </w:tcPr>
          <w:p>
            <w:pPr>
              <w:jc w:val="right"/>
              <w:spacing w:after="0"/>
              <w:rPr>
                <w:sz w:val="20"/>
                <w:szCs w:val="20"/>
                <w:color w:val="auto"/>
              </w:rPr>
            </w:pPr>
            <w:r>
              <w:rPr>
                <w:rFonts w:ascii="Arial" w:cs="Arial" w:eastAsia="Arial" w:hAnsi="Arial"/>
                <w:sz w:val="18"/>
                <w:szCs w:val="18"/>
                <w:color w:val="auto"/>
              </w:rPr>
              <w:t>113,007</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1,210,302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Fidelity Advisor Freedom 2045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45,154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 Fidelity Advisor Freedom 2050</w:t>
            </w:r>
          </w:p>
        </w:tc>
        <w:tc>
          <w:tcPr>
            <w:tcW w:w="760" w:type="dxa"/>
            <w:vAlign w:val="bottom"/>
          </w:tcPr>
          <w:p>
            <w:pPr>
              <w:jc w:val="right"/>
              <w:spacing w:after="0"/>
              <w:rPr>
                <w:sz w:val="20"/>
                <w:szCs w:val="20"/>
                <w:color w:val="auto"/>
              </w:rPr>
            </w:pPr>
            <w:r>
              <w:rPr>
                <w:rFonts w:ascii="Arial" w:cs="Arial" w:eastAsia="Arial" w:hAnsi="Arial"/>
                <w:sz w:val="18"/>
                <w:szCs w:val="18"/>
                <w:color w:val="auto"/>
              </w:rPr>
              <w:t>18,001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155,892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Templeton Global Bond Fund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Federated Bond Fund</w:t>
            </w:r>
          </w:p>
        </w:tc>
        <w:tc>
          <w:tcPr>
            <w:tcW w:w="760" w:type="dxa"/>
            <w:vAlign w:val="bottom"/>
          </w:tcPr>
          <w:p>
            <w:pPr>
              <w:jc w:val="right"/>
              <w:spacing w:after="0"/>
              <w:rPr>
                <w:sz w:val="20"/>
                <w:szCs w:val="20"/>
                <w:color w:val="auto"/>
              </w:rPr>
            </w:pPr>
            <w:r>
              <w:rPr>
                <w:rFonts w:ascii="Arial" w:cs="Arial" w:eastAsia="Arial" w:hAnsi="Arial"/>
                <w:sz w:val="18"/>
                <w:szCs w:val="18"/>
                <w:color w:val="auto"/>
              </w:rPr>
              <w:t>177,372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1,626,502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Columbia Acorn USA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Columbia Acorn International</w:t>
            </w:r>
          </w:p>
        </w:tc>
        <w:tc>
          <w:tcPr>
            <w:tcW w:w="760" w:type="dxa"/>
            <w:vAlign w:val="bottom"/>
          </w:tcPr>
          <w:p>
            <w:pPr>
              <w:jc w:val="right"/>
              <w:spacing w:after="0"/>
              <w:rPr>
                <w:sz w:val="20"/>
                <w:szCs w:val="20"/>
                <w:color w:val="auto"/>
              </w:rPr>
            </w:pPr>
            <w:r>
              <w:rPr>
                <w:rFonts w:ascii="Arial" w:cs="Arial" w:eastAsia="Arial" w:hAnsi="Arial"/>
                <w:sz w:val="18"/>
                <w:szCs w:val="18"/>
                <w:color w:val="auto"/>
              </w:rPr>
              <w:t>41,399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1,413,764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Allianz NFJ International Value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American Century Investment Mid Cap Value</w:t>
            </w:r>
          </w:p>
        </w:tc>
        <w:tc>
          <w:tcPr>
            <w:tcW w:w="760" w:type="dxa"/>
            <w:vAlign w:val="bottom"/>
          </w:tcPr>
          <w:p>
            <w:pPr>
              <w:jc w:val="right"/>
              <w:spacing w:after="0"/>
              <w:rPr>
                <w:sz w:val="20"/>
                <w:szCs w:val="20"/>
                <w:color w:val="auto"/>
              </w:rPr>
            </w:pPr>
            <w:r>
              <w:rPr>
                <w:rFonts w:ascii="Arial" w:cs="Arial" w:eastAsia="Arial" w:hAnsi="Arial"/>
                <w:sz w:val="18"/>
                <w:szCs w:val="18"/>
                <w:color w:val="auto"/>
              </w:rPr>
              <w:t>55,115</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644,290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JP Morgan Equity Index</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2,380,736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Columbia Acorn</w:t>
            </w:r>
          </w:p>
        </w:tc>
        <w:tc>
          <w:tcPr>
            <w:tcW w:w="760" w:type="dxa"/>
            <w:vAlign w:val="bottom"/>
          </w:tcPr>
          <w:p>
            <w:pPr>
              <w:jc w:val="right"/>
              <w:spacing w:after="0"/>
              <w:rPr>
                <w:sz w:val="20"/>
                <w:szCs w:val="20"/>
                <w:color w:val="auto"/>
              </w:rPr>
            </w:pPr>
            <w:r>
              <w:rPr>
                <w:rFonts w:ascii="Arial" w:cs="Arial" w:eastAsia="Arial" w:hAnsi="Arial"/>
                <w:sz w:val="18"/>
                <w:szCs w:val="18"/>
                <w:color w:val="auto"/>
              </w:rPr>
              <w:t>26,162</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696,701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Goldman Sachs Large Cap Value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Perkins Small Cap Value</w:t>
            </w:r>
          </w:p>
        </w:tc>
        <w:tc>
          <w:tcPr>
            <w:tcW w:w="760" w:type="dxa"/>
            <w:vAlign w:val="bottom"/>
          </w:tcPr>
          <w:p>
            <w:pPr>
              <w:jc w:val="right"/>
              <w:spacing w:after="0"/>
              <w:rPr>
                <w:sz w:val="20"/>
                <w:szCs w:val="20"/>
                <w:color w:val="auto"/>
              </w:rPr>
            </w:pPr>
            <w:r>
              <w:rPr>
                <w:rFonts w:ascii="Arial" w:cs="Arial" w:eastAsia="Arial" w:hAnsi="Arial"/>
                <w:sz w:val="18"/>
                <w:szCs w:val="18"/>
                <w:color w:val="auto"/>
              </w:rPr>
              <w:t>20,969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425,255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Franklin Strategic Income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340" w:type="dxa"/>
            <w:vAlign w:val="bottom"/>
            <w:gridSpan w:val="3"/>
          </w:tcPr>
          <w:p>
            <w:pPr>
              <w:ind w:left="120"/>
              <w:spacing w:after="0"/>
              <w:rPr>
                <w:sz w:val="20"/>
                <w:szCs w:val="20"/>
                <w:color w:val="auto"/>
              </w:rPr>
            </w:pPr>
            <w:r>
              <w:rPr>
                <w:rFonts w:ascii="Arial" w:cs="Arial" w:eastAsia="Arial" w:hAnsi="Arial"/>
                <w:sz w:val="18"/>
                <w:szCs w:val="18"/>
                <w:color w:val="auto"/>
              </w:rPr>
              <w:t>Black Rock Inflation Protected Bond Fund</w:t>
            </w:r>
          </w:p>
        </w:tc>
        <w:tc>
          <w:tcPr>
            <w:tcW w:w="760" w:type="dxa"/>
            <w:vAlign w:val="bottom"/>
          </w:tcPr>
          <w:p>
            <w:pPr>
              <w:jc w:val="right"/>
              <w:spacing w:after="0"/>
              <w:rPr>
                <w:sz w:val="20"/>
                <w:szCs w:val="20"/>
                <w:color w:val="auto"/>
              </w:rPr>
            </w:pPr>
            <w:r>
              <w:rPr>
                <w:rFonts w:ascii="Arial" w:cs="Arial" w:eastAsia="Arial" w:hAnsi="Arial"/>
                <w:sz w:val="18"/>
                <w:szCs w:val="18"/>
                <w:color w:val="auto"/>
              </w:rPr>
              <w:t>33,219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384,010</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held</w:t>
            </w:r>
          </w:p>
        </w:tc>
        <w:tc>
          <w:tcPr>
            <w:tcW w:w="1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through Fidelity</w:t>
            </w:r>
          </w:p>
        </w:tc>
        <w:tc>
          <w:tcPr>
            <w:tcW w:w="1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73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Casual Male Retail Group, Inc.</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182,785</w:t>
            </w: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625,125</w:t>
            </w:r>
          </w:p>
        </w:tc>
        <w:tc>
          <w:tcPr>
            <w:tcW w:w="100" w:type="dxa"/>
            <w:vAlign w:val="bottom"/>
            <w:shd w:val="clear" w:color="auto" w:fill="CCEEFF"/>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26,546,125</w:t>
            </w:r>
          </w:p>
        </w:tc>
        <w:tc>
          <w:tcPr>
            <w:tcW w:w="10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Notes receivable from</w:t>
            </w:r>
          </w:p>
        </w:tc>
        <w:tc>
          <w:tcPr>
            <w:tcW w:w="120" w:type="dxa"/>
            <w:vAlign w:val="bottom"/>
            <w:shd w:val="clear" w:color="auto" w:fill="CCEEFF"/>
          </w:tcPr>
          <w:p>
            <w:pPr>
              <w:spacing w:after="0"/>
              <w:rPr>
                <w:sz w:val="18"/>
                <w:szCs w:val="18"/>
                <w:color w:val="auto"/>
              </w:rPr>
            </w:pPr>
          </w:p>
        </w:tc>
        <w:tc>
          <w:tcPr>
            <w:tcW w:w="7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0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participants</w:t>
            </w:r>
          </w:p>
        </w:tc>
        <w:tc>
          <w:tcPr>
            <w:tcW w:w="7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4.75% - 9.25%</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851,000</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27,397,125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*Indicates party-in-interest to the Plan.</w:t>
      </w:r>
    </w:p>
    <w:p>
      <w:pPr>
        <w:spacing w:after="0" w:line="15" w:lineRule="exact"/>
        <w:rPr>
          <w:sz w:val="20"/>
          <w:szCs w:val="20"/>
          <w:color w:val="auto"/>
        </w:rPr>
      </w:pPr>
    </w:p>
    <w:p>
      <w:pPr>
        <w:ind w:left="5620" w:right="2580" w:hanging="5612"/>
        <w:spacing w:after="0" w:line="433"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$32,249 of non participant- directed, unallocated forfeitures for which historical cost approximates current value. 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8940" w:type="dxa"/>
            <w:vAlign w:val="bottom"/>
          </w:tcPr>
          <w:p>
            <w:pPr>
              <w:jc w:val="center"/>
              <w:ind w:left="932"/>
              <w:spacing w:after="0"/>
              <w:rPr>
                <w:sz w:val="20"/>
                <w:szCs w:val="20"/>
                <w:color w:val="auto"/>
              </w:rPr>
            </w:pPr>
            <w:r>
              <w:rPr>
                <w:rFonts w:ascii="Arial" w:cs="Arial" w:eastAsia="Arial" w:hAnsi="Arial"/>
                <w:sz w:val="18"/>
                <w:szCs w:val="18"/>
                <w:b w:val="1"/>
                <w:bCs w:val="1"/>
                <w:color w:val="auto"/>
                <w:w w:val="88"/>
              </w:rPr>
              <w:t>Index to Exhibits</w:t>
            </w:r>
          </w:p>
        </w:tc>
      </w:tr>
      <w:tr>
        <w:trPr>
          <w:trHeight w:val="527"/>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23.1</w:t>
            </w:r>
          </w:p>
        </w:tc>
        <w:tc>
          <w:tcPr>
            <w:tcW w:w="894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24"/>
        </w:trPr>
        <w:tc>
          <w:tcPr>
            <w:tcW w:w="740" w:type="dxa"/>
            <w:vAlign w:val="bottom"/>
          </w:tcPr>
          <w:p>
            <w:pPr>
              <w:jc w:val="right"/>
              <w:ind w:right="332"/>
              <w:spacing w:after="0"/>
              <w:rPr>
                <w:sz w:val="20"/>
                <w:szCs w:val="20"/>
                <w:color w:val="auto"/>
              </w:rPr>
            </w:pPr>
            <w:r>
              <w:rPr>
                <w:rFonts w:ascii="Arial" w:cs="Arial" w:eastAsia="Arial" w:hAnsi="Arial"/>
                <w:sz w:val="18"/>
                <w:szCs w:val="18"/>
                <w:color w:val="auto"/>
                <w:w w:val="85"/>
              </w:rPr>
              <w:t>32.1</w:t>
            </w:r>
          </w:p>
        </w:tc>
        <w:tc>
          <w:tcPr>
            <w:tcW w:w="8940" w:type="dxa"/>
            <w:vAlign w:val="bottom"/>
          </w:tcPr>
          <w:p>
            <w:pPr>
              <w:ind w:left="42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 –Oxley Act of 2002</w:t>
            </w:r>
          </w:p>
        </w:tc>
      </w:tr>
      <w:tr>
        <w:trPr>
          <w:trHeight w:val="365"/>
        </w:trPr>
        <w:tc>
          <w:tcPr>
            <w:tcW w:w="740" w:type="dxa"/>
            <w:vAlign w:val="bottom"/>
          </w:tcPr>
          <w:p>
            <w:pPr>
              <w:spacing w:after="0"/>
              <w:rPr>
                <w:sz w:val="24"/>
                <w:szCs w:val="24"/>
                <w:color w:val="auto"/>
              </w:rPr>
            </w:pPr>
          </w:p>
        </w:tc>
        <w:tc>
          <w:tcPr>
            <w:tcW w:w="8940" w:type="dxa"/>
            <w:vAlign w:val="bottom"/>
          </w:tcPr>
          <w:p>
            <w:pPr>
              <w:jc w:val="right"/>
              <w:ind w:right="3792"/>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0219"/>
          </w:cols>
          <w:pgMar w:left="240" w:top="45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5"/>
          <w:szCs w:val="15"/>
          <w:color w:val="auto"/>
        </w:rPr>
        <w:t>Casual Male Retail Group, Inc. 401(k) Salaried Savings plan</w:t>
      </w:r>
    </w:p>
    <w:p>
      <w:pPr>
        <w:spacing w:after="0" w:line="26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 Executive Vice President, Chief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Chief Operating Officer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the Plan Administrator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240" w:top="459" w:right="5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consent to the incorporation by reference in the Registration Statement (No. 333-112218) on Form S-8 of our report dated June 28, 2012, relating to the statements of net assets available for benefits of Casual Male Retail Group, Inc. 401(k) Salaried Savings Plan as of December 31, 2011, and 2010, the related statements of changes in net assets available for benefits for the year ended December 31, 2011, and the related supplemental schedule as of December 31, 2011, which report appears in the December 31, 2011 annual report on Form 11-K of Casual Male Retail Group, Inc. 401(k) Salaried Savings Plan.</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Mayer Hoffman McCann CPAs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New York Practice of Mayer Hoffman McCann P.C.)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Salaried Saving Plan (the “Plan”) for the period ending December 31, 2011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1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15(d) of the Securities Exchange Act of 1934, as amended (the “Exchange Act”); and</w:t>
      </w:r>
    </w:p>
    <w:p>
      <w:pPr>
        <w:spacing w:after="0" w:line="50" w:lineRule="exact"/>
        <w:rPr>
          <w:rFonts w:ascii="Arial" w:cs="Arial" w:eastAsia="Arial" w:hAnsi="Arial"/>
          <w:sz w:val="18"/>
          <w:szCs w:val="18"/>
          <w:color w:val="auto"/>
        </w:rPr>
      </w:pPr>
    </w:p>
    <w:p>
      <w:pPr>
        <w:ind w:left="1480" w:hanging="567"/>
        <w:spacing w:after="0" w:line="268"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22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28,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2019-12-09T09:21:11Z</dcterms:created>
  <dcterms:modified xsi:type="dcterms:W3CDTF">2019-12-09T09:21:11Z</dcterms:modified>
</cp:coreProperties>
</file>