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2007</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(Date of Event which Requires Filing</w:t>
      </w:r>
    </w:p>
    <w:p>
      <w:pPr>
        <w:jc w:val="center"/>
        <w:ind w:right="1779"/>
        <w:spacing w:after="0" w:line="237" w:lineRule="auto"/>
        <w:rPr>
          <w:sz w:val="20"/>
          <w:szCs w:val="20"/>
          <w:color w:val="auto"/>
        </w:rPr>
      </w:pPr>
      <w:r>
        <w:rPr>
          <w:rFonts w:ascii="Courier New" w:cs="Courier New" w:eastAsia="Courier New" w:hAnsi="Courier New"/>
          <w:sz w:val="18"/>
          <w:szCs w:val="18"/>
          <w:color w:val="auto"/>
        </w:rPr>
        <w:t>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ind w:left="2860" w:hanging="956"/>
        <w:spacing w:after="0" w:line="238" w:lineRule="auto"/>
        <w:tabs>
          <w:tab w:leader="none" w:pos="2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7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tcPr>
          <w:p>
            <w:pPr>
              <w:spacing w:after="0"/>
              <w:rPr>
                <w:sz w:val="17"/>
                <w:szCs w:val="17"/>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13G</w:t>
            </w:r>
          </w:p>
        </w:tc>
        <w:tc>
          <w:tcPr>
            <w:tcW w:w="3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 2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tcPr>
          <w:p>
            <w:pPr>
              <w:spacing w:after="0"/>
              <w:rPr>
                <w:sz w:val="17"/>
                <w:szCs w:val="17"/>
                <w:color w:val="auto"/>
              </w:rPr>
            </w:pP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spacing w:after="0" w:line="4" w:lineRule="exact"/>
        <w:rPr>
          <w:rFonts w:ascii="Courier New" w:cs="Courier New" w:eastAsia="Courier New" w:hAnsi="Courier New"/>
          <w:sz w:val="16"/>
          <w:szCs w:val="16"/>
          <w:color w:val="auto"/>
        </w:rPr>
      </w:pPr>
    </w:p>
    <w:p>
      <w:pPr>
        <w:ind w:left="1160" w:right="47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S.A.C. Capital Advisors,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280" w:hanging="425"/>
        <w:spacing w:after="0" w:line="238" w:lineRule="auto"/>
        <w:tabs>
          <w:tab w:leader="none" w:pos="72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280" w:hanging="425"/>
        <w:spacing w:after="0" w:line="238" w:lineRule="auto"/>
        <w:tabs>
          <w:tab w:leader="none" w:pos="72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0</w:t>
      </w:r>
    </w:p>
    <w:p>
      <w:pPr>
        <w:ind w:left="2960" w:hanging="634"/>
        <w:spacing w:after="0" w:line="238" w:lineRule="auto"/>
        <w:tabs>
          <w:tab w:leader="none" w:pos="2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  SHARED VOTING POWER</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78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780" w:type="dxa"/>
            <w:vAlign w:val="bottom"/>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6,000 (see Item 4)</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bl>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0</w:t>
      </w:r>
    </w:p>
    <w:p>
      <w:pPr>
        <w:ind w:left="2960" w:hanging="634"/>
        <w:spacing w:after="0" w:line="238" w:lineRule="auto"/>
        <w:tabs>
          <w:tab w:leader="none" w:pos="2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6,000 (see Item 4)</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6,000 (see Item 4)</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1380" w:hanging="213"/>
        <w:spacing w:after="0"/>
        <w:tabs>
          <w:tab w:leader="none" w:pos="13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0.01% (see Item 4)</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 of 8</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7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tcPr>
          <w:p>
            <w:pPr>
              <w:spacing w:after="0"/>
              <w:rPr>
                <w:sz w:val="17"/>
                <w:szCs w:val="17"/>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13G</w:t>
            </w:r>
          </w:p>
        </w:tc>
        <w:tc>
          <w:tcPr>
            <w:tcW w:w="3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 3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tcPr>
          <w:p>
            <w:pPr>
              <w:spacing w:after="0"/>
              <w:rPr>
                <w:sz w:val="17"/>
                <w:szCs w:val="17"/>
                <w:color w:val="auto"/>
              </w:rPr>
            </w:pP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spacing w:after="0" w:line="4" w:lineRule="exact"/>
        <w:rPr>
          <w:rFonts w:ascii="Courier New" w:cs="Courier New" w:eastAsia="Courier New" w:hAnsi="Courier New"/>
          <w:sz w:val="16"/>
          <w:szCs w:val="16"/>
          <w:color w:val="auto"/>
        </w:rPr>
      </w:pPr>
    </w:p>
    <w:p>
      <w:pPr>
        <w:ind w:left="1160" w:right="47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S.A.C. Capital Management,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280" w:hanging="425"/>
        <w:spacing w:after="0" w:line="238" w:lineRule="auto"/>
        <w:tabs>
          <w:tab w:leader="none" w:pos="728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280" w:hanging="425"/>
        <w:spacing w:after="0" w:line="238" w:lineRule="auto"/>
        <w:tabs>
          <w:tab w:leader="none" w:pos="728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203"/>
        </w:trPr>
        <w:tc>
          <w:tcPr>
            <w:tcW w:w="2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78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780" w:type="dxa"/>
            <w:vAlign w:val="bottom"/>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6,000 (see Item 4)</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bl>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0</w:t>
      </w:r>
    </w:p>
    <w:p>
      <w:pPr>
        <w:ind w:left="2960" w:hanging="634"/>
        <w:spacing w:after="0" w:line="238" w:lineRule="auto"/>
        <w:tabs>
          <w:tab w:leader="none" w:pos="2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6,000 (see Item 4)</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6,000 (see Item 4)</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1380" w:hanging="213"/>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0.01% (see Item 4)</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8</w:t>
      </w:r>
    </w:p>
    <w:p>
      <w:pPr>
        <w:sectPr>
          <w:pgSz w:w="11900" w:h="16838" w:orient="portrait"/>
          <w:cols w:equalWidth="0" w:num="1">
            <w:col w:w="10219"/>
          </w:cols>
          <w:pgMar w:left="240" w:top="112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7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tcPr>
          <w:p>
            <w:pPr>
              <w:spacing w:after="0"/>
              <w:rPr>
                <w:sz w:val="17"/>
                <w:szCs w:val="17"/>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13G</w:t>
            </w:r>
          </w:p>
        </w:tc>
        <w:tc>
          <w:tcPr>
            <w:tcW w:w="3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 4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tcPr>
          <w:p>
            <w:pPr>
              <w:spacing w:after="0"/>
              <w:rPr>
                <w:sz w:val="17"/>
                <w:szCs w:val="17"/>
                <w:color w:val="auto"/>
              </w:rPr>
            </w:pP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spacing w:after="0" w:line="4" w:lineRule="exact"/>
        <w:rPr>
          <w:rFonts w:ascii="Courier New" w:cs="Courier New" w:eastAsia="Courier New" w:hAnsi="Courier New"/>
          <w:sz w:val="16"/>
          <w:szCs w:val="16"/>
          <w:color w:val="auto"/>
        </w:rPr>
      </w:pPr>
    </w:p>
    <w:p>
      <w:pPr>
        <w:ind w:left="1160" w:right="47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Steven A. Cohen</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280" w:hanging="425"/>
        <w:spacing w:after="0" w:line="238" w:lineRule="auto"/>
        <w:tabs>
          <w:tab w:leader="none" w:pos="72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280" w:hanging="425"/>
        <w:spacing w:after="0" w:line="238" w:lineRule="auto"/>
        <w:tabs>
          <w:tab w:leader="none" w:pos="72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203"/>
        </w:trPr>
        <w:tc>
          <w:tcPr>
            <w:tcW w:w="2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78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780" w:type="dxa"/>
            <w:vAlign w:val="bottom"/>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6,000 (see Item 4)</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bl>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0</w:t>
      </w:r>
    </w:p>
    <w:p>
      <w:pPr>
        <w:ind w:left="2960" w:hanging="634"/>
        <w:spacing w:after="0" w:line="238" w:lineRule="auto"/>
        <w:tabs>
          <w:tab w:leader="none" w:pos="2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6,000 (see Item 4)</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6,000 (see Item 4)</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1380" w:hanging="213"/>
        <w:spacing w:after="0"/>
        <w:tabs>
          <w:tab w:leader="none" w:pos="13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0.01% (see Item 4)</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8</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1128" w:right="1440" w:bottom="1440" w:gutter="0" w:footer="0" w:header="0"/>
        </w:sectPr>
      </w:pPr>
    </w:p>
    <w:p>
      <w:pPr>
        <w:spacing w:after="0" w:line="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Casual Male Retail Group, Inc.</w:t>
      </w:r>
    </w:p>
    <w:p>
      <w:pPr>
        <w:sectPr>
          <w:pgSz w:w="11900" w:h="16838" w:orient="portrait"/>
          <w:cols w:equalWidth="0" w:num="1">
            <w:col w:w="10219"/>
          </w:cols>
          <w:pgMar w:left="240" w:top="1128"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400" w:space="720"/>
            <w:col w:w="8099"/>
          </w:cols>
          <w:pgMar w:left="240" w:top="1128" w:right="1440" w:bottom="1440" w:gutter="0" w:footer="0" w:header="0"/>
          <w:type w:val="continuous"/>
        </w:sectPr>
      </w:pP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555 Turnpike Street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Canton, MA 02021</w:t>
      </w:r>
    </w:p>
    <w:p>
      <w:pPr>
        <w:sectPr>
          <w:pgSz w:w="11900" w:h="16838" w:orient="portrait"/>
          <w:cols w:equalWidth="0" w:num="1">
            <w:col w:w="10219"/>
          </w:cols>
          <w:pgMar w:left="240" w:top="1128"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Items 2(a)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1128" w:right="1440" w:bottom="1440" w:gutter="0" w:footer="0" w:header="0"/>
          <w:type w:val="continuous"/>
        </w:sectPr>
      </w:pPr>
    </w:p>
    <w:p>
      <w:pPr>
        <w:spacing w:after="0" w:line="7" w:lineRule="exact"/>
        <w:rPr>
          <w:sz w:val="20"/>
          <w:szCs w:val="20"/>
          <w:color w:val="auto"/>
        </w:rPr>
      </w:pPr>
    </w:p>
    <w:p>
      <w:pPr>
        <w:ind w:left="2120" w:right="1779"/>
        <w:spacing w:after="0" w:line="237" w:lineRule="auto"/>
        <w:rPr>
          <w:sz w:val="20"/>
          <w:szCs w:val="20"/>
          <w:color w:val="auto"/>
        </w:rPr>
      </w:pPr>
      <w:r>
        <w:rPr>
          <w:rFonts w:ascii="Courier New" w:cs="Courier New" w:eastAsia="Courier New" w:hAnsi="Courier New"/>
          <w:sz w:val="18"/>
          <w:szCs w:val="18"/>
          <w:color w:val="auto"/>
        </w:rPr>
        <w:t>This statement is filed by: (i) S.A.C. Capital Advisors, LLC ("SAC Capital Advisors") with respect to shares of common stock ("Shares"), of the Issuer beneficially owned by S.A.C. MultiQuant Fund, LLC ("SAC MultiQuant Fund"); (ii) S.A.C. Capital Management, LLC ("SAC Capital Management") with respect to Shares beneficially owned by SAC MultiQuant Fund; and (iii) Steven A. Cohen with respect to Shares beneficially owned by SAC Capital Advisors, SAC Capital Management and SAC MultiQuant Fund.</w:t>
      </w:r>
    </w:p>
    <w:p>
      <w:pPr>
        <w:sectPr>
          <w:pgSz w:w="11900" w:h="16838" w:orient="portrait"/>
          <w:cols w:equalWidth="0" w:num="1">
            <w:col w:w="10219"/>
          </w:cols>
          <w:pgMar w:left="240" w:top="1128" w:right="1440"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1128" w:right="1440" w:bottom="1440" w:gutter="0" w:footer="0" w:header="0"/>
          <w:type w:val="continuous"/>
        </w:sectPr>
      </w:pPr>
    </w:p>
    <w:p>
      <w:pPr>
        <w:spacing w:after="0" w:line="7" w:lineRule="exact"/>
        <w:rPr>
          <w:sz w:val="20"/>
          <w:szCs w:val="20"/>
          <w:color w:val="auto"/>
        </w:rPr>
      </w:pPr>
    </w:p>
    <w:p>
      <w:pPr>
        <w:ind w:left="2120" w:right="1779"/>
        <w:spacing w:after="0" w:line="275" w:lineRule="auto"/>
        <w:rPr>
          <w:sz w:val="20"/>
          <w:szCs w:val="20"/>
          <w:color w:val="auto"/>
        </w:rPr>
      </w:pPr>
      <w:r>
        <w:rPr>
          <w:rFonts w:ascii="Courier New" w:cs="Courier New" w:eastAsia="Courier New" w:hAnsi="Courier New"/>
          <w:sz w:val="16"/>
          <w:szCs w:val="16"/>
          <w:color w:val="auto"/>
        </w:rPr>
        <w:t>The address of the principal business office of (i) SAC Capital Advisors and Mr. Cohen is 72 Cummings Point Road, Stamford, Connecticut 06902, and (ii) SAC Capital Management is 540 Madison Avenue, New York, New York 10022.</w:t>
      </w:r>
    </w:p>
    <w:p>
      <w:pPr>
        <w:sectPr>
          <w:pgSz w:w="11900" w:h="16838" w:orient="portrait"/>
          <w:cols w:equalWidth="0" w:num="1">
            <w:col w:w="10219"/>
          </w:cols>
          <w:pgMar w:left="240" w:top="1128" w:right="1440"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1128" w:right="1440" w:bottom="1440" w:gutter="0" w:footer="0" w:header="0"/>
          <w:type w:val="continuous"/>
        </w:sectPr>
      </w:pPr>
    </w:p>
    <w:p>
      <w:pPr>
        <w:spacing w:after="0" w:line="7" w:lineRule="exact"/>
        <w:rPr>
          <w:sz w:val="20"/>
          <w:szCs w:val="20"/>
          <w:color w:val="auto"/>
        </w:rPr>
      </w:pPr>
    </w:p>
    <w:p>
      <w:pPr>
        <w:ind w:left="2120" w:right="1779"/>
        <w:spacing w:after="0" w:line="236" w:lineRule="auto"/>
        <w:rPr>
          <w:sz w:val="20"/>
          <w:szCs w:val="20"/>
          <w:color w:val="auto"/>
        </w:rPr>
      </w:pPr>
      <w:r>
        <w:rPr>
          <w:rFonts w:ascii="Courier New" w:cs="Courier New" w:eastAsia="Courier New" w:hAnsi="Courier New"/>
          <w:sz w:val="18"/>
          <w:szCs w:val="18"/>
          <w:color w:val="auto"/>
        </w:rPr>
        <w:t>SAC Capital Advisors and SAC Capital Management are Delaware limited liability companies. Mr. Cohen is a United States citizen.</w:t>
      </w:r>
    </w:p>
    <w:p>
      <w:pPr>
        <w:sectPr>
          <w:pgSz w:w="11900" w:h="16838" w:orient="portrait"/>
          <w:cols w:equalWidth="0" w:num="1">
            <w:col w:w="10219"/>
          </w:cols>
          <w:pgMar w:left="240" w:top="1128"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1128" w:right="1440" w:bottom="1440" w:gutter="0" w:footer="0" w:header="0"/>
          <w:type w:val="continuous"/>
        </w:sectPr>
      </w:pPr>
    </w:p>
    <w:p>
      <w:pPr>
        <w:spacing w:after="0" w:line="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1128"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1128" w:right="1440" w:bottom="1440" w:gutter="0" w:footer="0" w:header="0"/>
          <w:type w:val="continuous"/>
        </w:sectPr>
      </w:pPr>
    </w:p>
    <w:p>
      <w:pPr>
        <w:spacing w:after="0" w:line="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148711104</w:t>
      </w:r>
    </w:p>
    <w:p>
      <w:pPr>
        <w:sectPr>
          <w:pgSz w:w="11900" w:h="16838" w:orient="portrait"/>
          <w:cols w:equalWidth="0" w:num="1">
            <w:col w:w="10219"/>
          </w:cols>
          <w:pgMar w:left="240" w:top="1128"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1400" w:space="720"/>
            <w:col w:w="8099"/>
          </w:cols>
          <w:pgMar w:left="240" w:top="1128" w:right="1440" w:bottom="1440" w:gutter="0" w:footer="0" w:header="0"/>
          <w:type w:val="continuous"/>
        </w:sectPr>
      </w:pPr>
    </w:p>
    <w:p>
      <w:pPr>
        <w:spacing w:after="0" w:line="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5 of 8</w:t>
      </w:r>
    </w:p>
    <w:p>
      <w:pPr>
        <w:sectPr>
          <w:pgSz w:w="11900" w:h="16838" w:orient="portrait"/>
          <w:cols w:equalWidth="0" w:num="1">
            <w:col w:w="10219"/>
          </w:cols>
          <w:pgMar w:left="240" w:top="1128"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360" w:type="dxa"/>
            <w:vAlign w:val="bottom"/>
          </w:tcPr>
          <w:p>
            <w:pPr>
              <w:ind w:left="740"/>
              <w:spacing w:after="0"/>
              <w:rPr>
                <w:sz w:val="20"/>
                <w:szCs w:val="20"/>
                <w:color w:val="auto"/>
              </w:rPr>
            </w:pPr>
            <w:r>
              <w:rPr>
                <w:rFonts w:ascii="Courier New" w:cs="Courier New" w:eastAsia="Courier New" w:hAnsi="Courier New"/>
                <w:sz w:val="18"/>
                <w:szCs w:val="18"/>
                <w:color w:val="auto"/>
              </w:rPr>
              <w:t>Ownership:</w:t>
            </w:r>
          </w:p>
        </w:tc>
        <w:tc>
          <w:tcPr>
            <w:tcW w:w="3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23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3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2360" w:type="dxa"/>
            <w:vAlign w:val="bottom"/>
          </w:tcPr>
          <w:p>
            <w:pPr>
              <w:ind w:left="740"/>
              <w:spacing w:after="0"/>
              <w:rPr>
                <w:sz w:val="20"/>
                <w:szCs w:val="20"/>
                <w:color w:val="auto"/>
              </w:rPr>
            </w:pPr>
            <w:r>
              <w:rPr>
                <w:rFonts w:ascii="Courier New" w:cs="Courier New" w:eastAsia="Courier New" w:hAnsi="Courier New"/>
                <w:sz w:val="18"/>
                <w:szCs w:val="18"/>
                <w:color w:val="auto"/>
                <w:w w:val="98"/>
              </w:rPr>
              <w:t>The percentages</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used herein are calculated based</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upon the</w:t>
            </w:r>
          </w:p>
        </w:tc>
      </w:tr>
      <w:tr>
        <w:trPr>
          <w:trHeight w:val="203"/>
        </w:trPr>
        <w:tc>
          <w:tcPr>
            <w:tcW w:w="1380" w:type="dxa"/>
            <w:vAlign w:val="bottom"/>
          </w:tcPr>
          <w:p>
            <w:pPr>
              <w:spacing w:after="0"/>
              <w:rPr>
                <w:sz w:val="17"/>
                <w:szCs w:val="17"/>
                <w:color w:val="auto"/>
              </w:rPr>
            </w:pPr>
          </w:p>
        </w:tc>
        <w:tc>
          <w:tcPr>
            <w:tcW w:w="5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Shares issued and outstanding as of November 23,</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2007 as</w:t>
            </w:r>
          </w:p>
        </w:tc>
      </w:tr>
      <w:tr>
        <w:trPr>
          <w:trHeight w:val="203"/>
        </w:trPr>
        <w:tc>
          <w:tcPr>
            <w:tcW w:w="1380" w:type="dxa"/>
            <w:vAlign w:val="bottom"/>
          </w:tcPr>
          <w:p>
            <w:pPr>
              <w:spacing w:after="0"/>
              <w:rPr>
                <w:sz w:val="17"/>
                <w:szCs w:val="17"/>
                <w:color w:val="auto"/>
              </w:rPr>
            </w:pPr>
          </w:p>
        </w:tc>
        <w:tc>
          <w:tcPr>
            <w:tcW w:w="23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8"/>
              </w:rPr>
              <w:t>reported on the</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Issuer's quarterly report on Form 10-Q filed</w:t>
            </w:r>
          </w:p>
        </w:tc>
      </w:tr>
      <w:tr>
        <w:trPr>
          <w:trHeight w:val="203"/>
        </w:trPr>
        <w:tc>
          <w:tcPr>
            <w:tcW w:w="1380" w:type="dxa"/>
            <w:vAlign w:val="bottom"/>
          </w:tcPr>
          <w:p>
            <w:pPr>
              <w:spacing w:after="0"/>
              <w:rPr>
                <w:sz w:val="17"/>
                <w:szCs w:val="17"/>
                <w:color w:val="auto"/>
              </w:rPr>
            </w:pPr>
          </w:p>
        </w:tc>
        <w:tc>
          <w:tcPr>
            <w:tcW w:w="70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with the Securities and Exchange Commission by the Issuer</w:t>
            </w:r>
          </w:p>
        </w:tc>
      </w:tr>
      <w:tr>
        <w:trPr>
          <w:trHeight w:val="203"/>
        </w:trPr>
        <w:tc>
          <w:tcPr>
            <w:tcW w:w="1380" w:type="dxa"/>
            <w:vAlign w:val="bottom"/>
          </w:tcPr>
          <w:p>
            <w:pPr>
              <w:spacing w:after="0"/>
              <w:rPr>
                <w:sz w:val="17"/>
                <w:szCs w:val="17"/>
                <w:color w:val="auto"/>
              </w:rPr>
            </w:pPr>
          </w:p>
        </w:tc>
        <w:tc>
          <w:tcPr>
            <w:tcW w:w="5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for the quarterly period ended November 3, 2007.</w:t>
            </w:r>
          </w:p>
        </w:tc>
        <w:tc>
          <w:tcPr>
            <w:tcW w:w="116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2360" w:type="dxa"/>
            <w:vAlign w:val="bottom"/>
          </w:tcPr>
          <w:p>
            <w:pPr>
              <w:ind w:left="740"/>
              <w:spacing w:after="0"/>
              <w:rPr>
                <w:sz w:val="20"/>
                <w:szCs w:val="20"/>
                <w:color w:val="auto"/>
              </w:rPr>
            </w:pPr>
            <w:r>
              <w:rPr>
                <w:rFonts w:ascii="Courier New" w:cs="Courier New" w:eastAsia="Courier New" w:hAnsi="Courier New"/>
                <w:sz w:val="18"/>
                <w:szCs w:val="18"/>
                <w:color w:val="auto"/>
                <w:w w:val="98"/>
              </w:rPr>
              <w:t>As of the close</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w w:val="97"/>
              </w:rPr>
              <w:t>of business on December 31, 2007:</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 S.A.C. Capital Advisors, LLC</w:t>
      </w:r>
    </w:p>
    <w:p>
      <w:pPr>
        <w:ind w:left="2860" w:hanging="745"/>
        <w:spacing w:after="0" w:line="238" w:lineRule="auto"/>
        <w:tabs>
          <w:tab w:leader="none" w:pos="2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6,000</w:t>
      </w:r>
    </w:p>
    <w:p>
      <w:pPr>
        <w:ind w:left="2860" w:hanging="745"/>
        <w:spacing w:after="0" w:line="238" w:lineRule="auto"/>
        <w:tabs>
          <w:tab w:leader="none" w:pos="2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0.01%</w:t>
      </w:r>
    </w:p>
    <w:p>
      <w:pPr>
        <w:ind w:left="2120"/>
        <w:spacing w:after="0"/>
        <w:rPr>
          <w:sz w:val="20"/>
          <w:szCs w:val="20"/>
          <w:color w:val="auto"/>
        </w:rPr>
      </w:pPr>
      <w:r>
        <w:rPr>
          <w:rFonts w:ascii="Courier New" w:cs="Courier New" w:eastAsia="Courier New" w:hAnsi="Courier New"/>
          <w:sz w:val="18"/>
          <w:szCs w:val="18"/>
          <w:color w:val="auto"/>
        </w:rPr>
        <w:t>(c)(i) Sole power to vote or direct the vote: -0-</w:t>
      </w:r>
    </w:p>
    <w:p>
      <w:pPr>
        <w:ind w:left="2860" w:hanging="745"/>
        <w:spacing w:after="0" w:line="237" w:lineRule="auto"/>
        <w:tabs>
          <w:tab w:leader="none" w:pos="2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6,000</w:t>
      </w:r>
    </w:p>
    <w:p>
      <w:pPr>
        <w:spacing w:after="0" w:line="4" w:lineRule="exact"/>
        <w:rPr>
          <w:rFonts w:ascii="Courier New" w:cs="Courier New" w:eastAsia="Courier New" w:hAnsi="Courier New"/>
          <w:sz w:val="18"/>
          <w:szCs w:val="18"/>
          <w:color w:val="auto"/>
        </w:rPr>
      </w:pPr>
    </w:p>
    <w:p>
      <w:pPr>
        <w:ind w:left="2860" w:hanging="745"/>
        <w:spacing w:after="0"/>
        <w:tabs>
          <w:tab w:leader="none" w:pos="28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direct the disposition: -0-</w:t>
      </w:r>
    </w:p>
    <w:p>
      <w:pPr>
        <w:spacing w:after="0" w:line="21" w:lineRule="exact"/>
        <w:rPr>
          <w:rFonts w:ascii="Courier New" w:cs="Courier New" w:eastAsia="Courier New" w:hAnsi="Courier New"/>
          <w:sz w:val="16"/>
          <w:szCs w:val="16"/>
          <w:color w:val="auto"/>
        </w:rPr>
      </w:pPr>
    </w:p>
    <w:p>
      <w:pPr>
        <w:ind w:left="2860" w:right="2099" w:hanging="745"/>
        <w:spacing w:after="0" w:line="235" w:lineRule="auto"/>
        <w:tabs>
          <w:tab w:leader="none" w:pos="2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6,000</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 S.A.C. Capital Management, LLC</w:t>
      </w:r>
    </w:p>
    <w:p>
      <w:pPr>
        <w:ind w:left="2860" w:hanging="745"/>
        <w:spacing w:after="0" w:line="238" w:lineRule="auto"/>
        <w:tabs>
          <w:tab w:leader="none" w:pos="2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6,000</w:t>
      </w:r>
    </w:p>
    <w:p>
      <w:pPr>
        <w:ind w:left="2860" w:hanging="745"/>
        <w:spacing w:after="0" w:line="238" w:lineRule="auto"/>
        <w:tabs>
          <w:tab w:leader="none" w:pos="2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0.01%</w:t>
      </w:r>
    </w:p>
    <w:p>
      <w:pPr>
        <w:ind w:left="2120"/>
        <w:spacing w:after="0"/>
        <w:rPr>
          <w:sz w:val="20"/>
          <w:szCs w:val="20"/>
          <w:color w:val="auto"/>
        </w:rPr>
      </w:pPr>
      <w:r>
        <w:rPr>
          <w:rFonts w:ascii="Courier New" w:cs="Courier New" w:eastAsia="Courier New" w:hAnsi="Courier New"/>
          <w:sz w:val="18"/>
          <w:szCs w:val="18"/>
          <w:color w:val="auto"/>
        </w:rPr>
        <w:t>(c)(i) Sole power to vote or direct the vote: -0-</w:t>
      </w:r>
    </w:p>
    <w:p>
      <w:pPr>
        <w:ind w:left="2860" w:hanging="745"/>
        <w:spacing w:after="0" w:line="237" w:lineRule="auto"/>
        <w:tabs>
          <w:tab w:leader="none" w:pos="2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6,000</w:t>
      </w:r>
    </w:p>
    <w:p>
      <w:pPr>
        <w:spacing w:after="0" w:line="4" w:lineRule="exact"/>
        <w:rPr>
          <w:rFonts w:ascii="Courier New" w:cs="Courier New" w:eastAsia="Courier New" w:hAnsi="Courier New"/>
          <w:sz w:val="18"/>
          <w:szCs w:val="18"/>
          <w:color w:val="auto"/>
        </w:rPr>
      </w:pPr>
    </w:p>
    <w:p>
      <w:pPr>
        <w:ind w:left="2860" w:hanging="745"/>
        <w:spacing w:after="0"/>
        <w:tabs>
          <w:tab w:leader="none" w:pos="28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direct the disposition: -0-</w:t>
      </w:r>
    </w:p>
    <w:p>
      <w:pPr>
        <w:spacing w:after="0" w:line="21" w:lineRule="exact"/>
        <w:rPr>
          <w:rFonts w:ascii="Courier New" w:cs="Courier New" w:eastAsia="Courier New" w:hAnsi="Courier New"/>
          <w:sz w:val="16"/>
          <w:szCs w:val="16"/>
          <w:color w:val="auto"/>
        </w:rPr>
      </w:pPr>
    </w:p>
    <w:p>
      <w:pPr>
        <w:ind w:left="2860" w:right="2099" w:hanging="745"/>
        <w:spacing w:after="0" w:line="235" w:lineRule="auto"/>
        <w:tabs>
          <w:tab w:leader="none" w:pos="2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6,000</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 Steven A. Cohen</w:t>
      </w:r>
    </w:p>
    <w:p>
      <w:pPr>
        <w:ind w:left="2860" w:hanging="745"/>
        <w:spacing w:after="0" w:line="238" w:lineRule="auto"/>
        <w:tabs>
          <w:tab w:leader="none" w:pos="2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6,000</w:t>
      </w:r>
    </w:p>
    <w:p>
      <w:pPr>
        <w:ind w:left="2860" w:hanging="745"/>
        <w:spacing w:after="0" w:line="238" w:lineRule="auto"/>
        <w:tabs>
          <w:tab w:leader="none" w:pos="2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0.01%</w:t>
      </w:r>
    </w:p>
    <w:p>
      <w:pPr>
        <w:ind w:left="2120"/>
        <w:spacing w:after="0"/>
        <w:rPr>
          <w:sz w:val="20"/>
          <w:szCs w:val="20"/>
          <w:color w:val="auto"/>
        </w:rPr>
      </w:pPr>
      <w:r>
        <w:rPr>
          <w:rFonts w:ascii="Courier New" w:cs="Courier New" w:eastAsia="Courier New" w:hAnsi="Courier New"/>
          <w:sz w:val="18"/>
          <w:szCs w:val="18"/>
          <w:color w:val="auto"/>
        </w:rPr>
        <w:t>(c)(i) Sole power to vote or direct the vote: -0-</w:t>
      </w:r>
    </w:p>
    <w:p>
      <w:pPr>
        <w:ind w:left="2860" w:hanging="745"/>
        <w:spacing w:after="0" w:line="237" w:lineRule="auto"/>
        <w:tabs>
          <w:tab w:leader="none" w:pos="2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6,000</w:t>
      </w:r>
    </w:p>
    <w:p>
      <w:pPr>
        <w:spacing w:after="0" w:line="4" w:lineRule="exact"/>
        <w:rPr>
          <w:rFonts w:ascii="Courier New" w:cs="Courier New" w:eastAsia="Courier New" w:hAnsi="Courier New"/>
          <w:sz w:val="18"/>
          <w:szCs w:val="18"/>
          <w:color w:val="auto"/>
        </w:rPr>
      </w:pPr>
    </w:p>
    <w:p>
      <w:pPr>
        <w:ind w:left="2860" w:hanging="745"/>
        <w:spacing w:after="0"/>
        <w:tabs>
          <w:tab w:leader="none" w:pos="28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direct the disposition: -0-</w:t>
      </w:r>
    </w:p>
    <w:p>
      <w:pPr>
        <w:spacing w:after="0" w:line="21" w:lineRule="exact"/>
        <w:rPr>
          <w:rFonts w:ascii="Courier New" w:cs="Courier New" w:eastAsia="Courier New" w:hAnsi="Courier New"/>
          <w:sz w:val="16"/>
          <w:szCs w:val="16"/>
          <w:color w:val="auto"/>
        </w:rPr>
      </w:pPr>
    </w:p>
    <w:p>
      <w:pPr>
        <w:ind w:left="2860" w:right="2099" w:hanging="745"/>
        <w:spacing w:after="0" w:line="235" w:lineRule="auto"/>
        <w:tabs>
          <w:tab w:leader="none" w:pos="2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6,000</w:t>
      </w:r>
    </w:p>
    <w:p>
      <w:pPr>
        <w:spacing w:after="0" w:line="208" w:lineRule="exact"/>
        <w:rPr>
          <w:sz w:val="20"/>
          <w:szCs w:val="20"/>
          <w:color w:val="auto"/>
        </w:rPr>
      </w:pPr>
    </w:p>
    <w:p>
      <w:pPr>
        <w:ind w:left="2120" w:right="1779"/>
        <w:spacing w:after="0" w:line="238" w:lineRule="auto"/>
        <w:rPr>
          <w:sz w:val="20"/>
          <w:szCs w:val="20"/>
          <w:color w:val="auto"/>
        </w:rPr>
      </w:pPr>
      <w:r>
        <w:rPr>
          <w:rFonts w:ascii="Courier New" w:cs="Courier New" w:eastAsia="Courier New" w:hAnsi="Courier New"/>
          <w:sz w:val="18"/>
          <w:szCs w:val="18"/>
          <w:color w:val="auto"/>
        </w:rPr>
        <w:t>SAC Capital Advisors, SAC Capital Management and Mr. Cohen own directly no Shares. Pursuant to investment management agreements, each of SAC Capital Advisors and SAC Capital Management share all investment and voting power with respect to the securities held by SAC MultiQuant Fund. Mr. Cohen controls each of SAC Capital Advisors and SAC Capital Management. By reason of the provisions of Rule 13d-3 of the Securities Exchange Act of 1934, as amended, each of SAC Capital Advisors, SAC Capital Management and Mr. Cohen may be deemed to own beneficially 6,000 Shares (constituting 0.01% of the Shares outstanding). Each of SAC Capital Advisors, SAC Capital</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8</w:t>
      </w:r>
    </w:p>
    <w:p>
      <w:pPr>
        <w:sectPr>
          <w:pgSz w:w="11900" w:h="16838" w:orient="portrait"/>
          <w:cols w:equalWidth="0" w:num="1">
            <w:col w:w="10219"/>
          </w:cols>
          <w:pgMar w:left="240" w:top="717" w:right="1440" w:bottom="1440" w:gutter="0" w:footer="0" w:header="0"/>
        </w:sectPr>
      </w:pPr>
    </w:p>
    <w:bookmarkStart w:id="6" w:name="page7"/>
    <w:bookmarkEnd w:id="6"/>
    <w:p>
      <w:pPr>
        <w:ind w:left="2120" w:right="2099"/>
        <w:spacing w:after="0" w:line="235" w:lineRule="auto"/>
        <w:rPr>
          <w:sz w:val="20"/>
          <w:szCs w:val="20"/>
          <w:color w:val="auto"/>
        </w:rPr>
      </w:pPr>
      <w:r>
        <w:rPr>
          <w:rFonts w:ascii="Courier New" w:cs="Courier New" w:eastAsia="Courier New" w:hAnsi="Courier New"/>
          <w:sz w:val="18"/>
          <w:szCs w:val="18"/>
          <w:color w:val="auto"/>
        </w:rPr>
        <w:t>Management and Mr. Cohen disclaim beneficial ownership of any of the securities covered by this statement.</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24" w:lineRule="exact"/>
        <w:rPr>
          <w:sz w:val="20"/>
          <w:szCs w:val="20"/>
          <w:color w:val="auto"/>
        </w:rPr>
      </w:pPr>
    </w:p>
    <w:p>
      <w:pPr>
        <w:ind w:left="212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the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Reported on By the Parent Holding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Group: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signing below the signatory certifies that, to the best of his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8</w:t>
      </w:r>
    </w:p>
    <w:p>
      <w:pPr>
        <w:sectPr>
          <w:pgSz w:w="11900" w:h="16838" w:orient="portrait"/>
          <w:cols w:equalWidth="0" w:num="1">
            <w:col w:w="10219"/>
          </w:cols>
          <w:pgMar w:left="240" w:top="723" w:right="1440" w:bottom="1440" w:gutter="0" w:footer="0" w:header="0"/>
          <w:type w:val="continuous"/>
        </w:sectPr>
      </w:pPr>
    </w:p>
    <w:bookmarkStart w:id="7" w:name="page8"/>
    <w:bookmarkEnd w:id="7"/>
    <w:p>
      <w:pPr>
        <w:ind w:left="3800"/>
        <w:spacing w:after="0"/>
        <w:rPr>
          <w:sz w:val="20"/>
          <w:szCs w:val="20"/>
          <w:color w:val="auto"/>
        </w:rPr>
      </w:pPr>
      <w:r>
        <w:rPr>
          <w:rFonts w:ascii="Courier New" w:cs="Courier New" w:eastAsia="Courier New" w:hAnsi="Courier New"/>
          <w:sz w:val="18"/>
          <w:szCs w:val="18"/>
          <w:color w:val="auto"/>
        </w:rPr>
        <w:t>SIGNATURE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S.A.C. CAPITAL ADVISORS, LLC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Peter Nussbaum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Nussbaum</w:t>
      </w:r>
    </w:p>
    <w:p>
      <w:pPr>
        <w:spacing w:after="0" w:line="238" w:lineRule="auto"/>
        <w:rPr>
          <w:sz w:val="20"/>
          <w:szCs w:val="20"/>
          <w:color w:val="auto"/>
        </w:rPr>
      </w:pPr>
      <w:r>
        <w:rPr>
          <w:rFonts w:ascii="Courier New" w:cs="Courier New" w:eastAsia="Courier New" w:hAnsi="Courier New"/>
          <w:sz w:val="18"/>
          <w:szCs w:val="18"/>
          <w:color w:val="auto"/>
        </w:rPr>
        <w:t>Authorized Person</w:t>
      </w:r>
    </w:p>
    <w:p>
      <w:pPr>
        <w:spacing w:after="0" w:line="200" w:lineRule="exact"/>
        <w:rPr>
          <w:sz w:val="20"/>
          <w:szCs w:val="20"/>
          <w:color w:val="auto"/>
        </w:rPr>
      </w:pPr>
    </w:p>
    <w:p>
      <w:pPr>
        <w:sectPr>
          <w:pgSz w:w="11900" w:h="16838" w:orient="portrait"/>
          <w:cols w:equalWidth="0" w:num="2">
            <w:col w:w="640" w:space="220"/>
            <w:col w:w="9359"/>
          </w:cols>
          <w:pgMar w:left="240" w:top="919"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S.A.C. CAPITAL MANAGEMENT, LLC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Peter Nussbaum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Nussbaum</w:t>
      </w:r>
    </w:p>
    <w:p>
      <w:pPr>
        <w:spacing w:after="0" w:line="238" w:lineRule="auto"/>
        <w:rPr>
          <w:sz w:val="20"/>
          <w:szCs w:val="20"/>
          <w:color w:val="auto"/>
        </w:rPr>
      </w:pPr>
      <w:r>
        <w:rPr>
          <w:rFonts w:ascii="Courier New" w:cs="Courier New" w:eastAsia="Courier New" w:hAnsi="Courier New"/>
          <w:sz w:val="18"/>
          <w:szCs w:val="18"/>
          <w:color w:val="auto"/>
        </w:rPr>
        <w:t>Authorized Person</w:t>
      </w:r>
    </w:p>
    <w:p>
      <w:pPr>
        <w:spacing w:after="0" w:line="200" w:lineRule="exact"/>
        <w:rPr>
          <w:sz w:val="20"/>
          <w:szCs w:val="20"/>
          <w:color w:val="auto"/>
        </w:rPr>
      </w:pPr>
    </w:p>
    <w:p>
      <w:pPr>
        <w:sectPr>
          <w:pgSz w:w="11900" w:h="16838" w:orient="portrait"/>
          <w:cols w:equalWidth="0" w:num="2">
            <w:col w:w="640" w:space="220"/>
            <w:col w:w="9359"/>
          </w:cols>
          <w:pgMar w:left="240" w:top="919"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A. COHEN</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Peter Nussbaum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Nussbaum</w:t>
      </w:r>
    </w:p>
    <w:p>
      <w:pPr>
        <w:spacing w:after="0" w:line="238" w:lineRule="auto"/>
        <w:rPr>
          <w:sz w:val="20"/>
          <w:szCs w:val="20"/>
          <w:color w:val="auto"/>
        </w:rPr>
      </w:pPr>
      <w:r>
        <w:rPr>
          <w:rFonts w:ascii="Courier New" w:cs="Courier New" w:eastAsia="Courier New" w:hAnsi="Courier New"/>
          <w:sz w:val="18"/>
          <w:szCs w:val="18"/>
          <w:color w:val="auto"/>
        </w:rPr>
        <w:t>Authorized Person</w:t>
      </w:r>
    </w:p>
    <w:p>
      <w:pPr>
        <w:spacing w:after="0" w:line="200" w:lineRule="exact"/>
        <w:rPr>
          <w:sz w:val="20"/>
          <w:szCs w:val="20"/>
          <w:color w:val="auto"/>
        </w:rPr>
      </w:pPr>
    </w:p>
    <w:p>
      <w:pPr>
        <w:sectPr>
          <w:pgSz w:w="11900" w:h="16838" w:orient="portrait"/>
          <w:cols w:equalWidth="0" w:num="2">
            <w:col w:w="640" w:space="220"/>
            <w:col w:w="9359"/>
          </w:cols>
          <w:pgMar w:left="240" w:top="919" w:right="1440" w:bottom="1440" w:gutter="0" w:footer="0" w:header="0"/>
          <w:type w:val="continuous"/>
        </w:sectPr>
      </w:pPr>
    </w:p>
    <w:p>
      <w:pPr>
        <w:spacing w:after="0" w:line="210"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8 of 8</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upperLetter"/>
      <w:start w:val="24"/>
    </w:lvl>
  </w:abstractNum>
  <w:abstractNum w:abstractNumId="3">
    <w:nsid w:val="7C83E45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lvl w:ilvl="1">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lvl w:ilvl="1">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lvl w:ilvl="1">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Roman"/>
      <w:start w:val="2"/>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Roman"/>
      <w:start w:val="2"/>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2019-12-11T14:39:53Z</dcterms:created>
  <dcterms:modified xsi:type="dcterms:W3CDTF">2019-12-11T14:39:53Z</dcterms:modified>
</cp:coreProperties>
</file>