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14a-101)</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Proxy Statement Pursuant to Section 14(a) of the</w:t>
      </w: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6580" w:type="dxa"/>
            <w:vAlign w:val="bottom"/>
            <w:gridSpan w:val="3"/>
          </w:tcPr>
          <w:p>
            <w:pPr>
              <w:jc w:val="center"/>
              <w:ind w:right="1672"/>
              <w:spacing w:after="0" w:line="170" w:lineRule="exact"/>
              <w:rPr>
                <w:sz w:val="20"/>
                <w:szCs w:val="20"/>
                <w:color w:val="auto"/>
              </w:rPr>
            </w:pPr>
            <w:r>
              <w:rPr>
                <w:rFonts w:ascii="Courier New" w:cs="Courier New" w:eastAsia="Courier New" w:hAnsi="Courier New"/>
                <w:sz w:val="18"/>
                <w:szCs w:val="18"/>
                <w:color w:val="auto"/>
                <w:w w:val="97"/>
              </w:rPr>
              <w:t>Securities Exchange Act of 1934</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(Amendment No.</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Filed by the Registrant | |</w:t>
            </w:r>
          </w:p>
        </w:tc>
        <w:tc>
          <w:tcPr>
            <w:tcW w:w="1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60" w:type="dxa"/>
            <w:vAlign w:val="bottom"/>
            <w:gridSpan w:val="3"/>
          </w:tcPr>
          <w:p>
            <w:pPr>
              <w:spacing w:after="0"/>
              <w:rPr>
                <w:sz w:val="20"/>
                <w:szCs w:val="20"/>
                <w:color w:val="auto"/>
              </w:rPr>
            </w:pPr>
            <w:r>
              <w:rPr>
                <w:rFonts w:ascii="Courier New" w:cs="Courier New" w:eastAsia="Courier New" w:hAnsi="Courier New"/>
                <w:sz w:val="18"/>
                <w:szCs w:val="18"/>
                <w:color w:val="auto"/>
                <w:w w:val="99"/>
              </w:rPr>
              <w:t>Filed by a party other than the Registrant |X|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Check the appropriate box:</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|_|</w:t>
            </w:r>
          </w:p>
        </w:tc>
        <w:tc>
          <w:tcPr>
            <w:tcW w:w="3480" w:type="dxa"/>
            <w:vAlign w:val="bottom"/>
            <w:vMerge w:val="restart"/>
          </w:tcPr>
          <w:p>
            <w:pPr>
              <w:spacing w:after="0"/>
              <w:rPr>
                <w:sz w:val="20"/>
                <w:szCs w:val="20"/>
                <w:color w:val="auto"/>
              </w:rPr>
            </w:pPr>
            <w:r>
              <w:rPr>
                <w:rFonts w:ascii="Courier New" w:cs="Courier New" w:eastAsia="Courier New" w:hAnsi="Courier New"/>
                <w:sz w:val="18"/>
                <w:szCs w:val="18"/>
                <w:color w:val="auto"/>
              </w:rPr>
              <w:t>Confidential, for Use of the</w:t>
            </w:r>
          </w:p>
        </w:tc>
        <w:tc>
          <w:tcPr>
            <w:tcW w:w="0" w:type="dxa"/>
            <w:vAlign w:val="bottom"/>
          </w:tcPr>
          <w:p>
            <w:pPr>
              <w:spacing w:after="0"/>
              <w:rPr>
                <w:sz w:val="1"/>
                <w:szCs w:val="1"/>
                <w:color w:val="auto"/>
              </w:rPr>
            </w:pP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|X| Preliminary proxy statement</w:t>
            </w:r>
          </w:p>
        </w:tc>
        <w:tc>
          <w:tcPr>
            <w:tcW w:w="1640" w:type="dxa"/>
            <w:vAlign w:val="bottom"/>
            <w:vMerge w:val="continue"/>
          </w:tcPr>
          <w:p>
            <w:pPr>
              <w:spacing w:after="0"/>
              <w:rPr>
                <w:sz w:val="17"/>
                <w:szCs w:val="17"/>
                <w:color w:val="auto"/>
              </w:rPr>
            </w:pPr>
          </w:p>
        </w:tc>
        <w:tc>
          <w:tcPr>
            <w:tcW w:w="3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 Only (as permitted by</w:t>
            </w:r>
          </w:p>
        </w:tc>
        <w:tc>
          <w:tcPr>
            <w:tcW w:w="0" w:type="dxa"/>
            <w:vAlign w:val="bottom"/>
          </w:tcPr>
          <w:p>
            <w:pPr>
              <w:spacing w:after="0"/>
              <w:rPr>
                <w:sz w:val="1"/>
                <w:szCs w:val="1"/>
                <w:color w:val="auto"/>
              </w:rPr>
            </w:pPr>
          </w:p>
        </w:tc>
      </w:tr>
      <w:tr>
        <w:trPr>
          <w:trHeight w:val="296"/>
        </w:trPr>
        <w:tc>
          <w:tcPr>
            <w:tcW w:w="33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|_| Definitive proxy statement</w:t>
            </w:r>
          </w:p>
        </w:tc>
        <w:tc>
          <w:tcPr>
            <w:tcW w:w="164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Rule 14a-6(e)(2))</w:t>
            </w:r>
          </w:p>
        </w:tc>
        <w:tc>
          <w:tcPr>
            <w:tcW w:w="0" w:type="dxa"/>
            <w:vAlign w:val="bottom"/>
          </w:tcPr>
          <w:p>
            <w:pPr>
              <w:spacing w:after="0"/>
              <w:rPr>
                <w:sz w:val="1"/>
                <w:szCs w:val="1"/>
                <w:color w:val="auto"/>
              </w:rPr>
            </w:pPr>
          </w:p>
        </w:tc>
      </w:tr>
      <w:tr>
        <w:trPr>
          <w:trHeight w:val="109"/>
        </w:trPr>
        <w:tc>
          <w:tcPr>
            <w:tcW w:w="3320" w:type="dxa"/>
            <w:vAlign w:val="bottom"/>
            <w:gridSpan w:val="2"/>
            <w:vMerge w:val="continue"/>
          </w:tcPr>
          <w:p>
            <w:pPr>
              <w:spacing w:after="0"/>
              <w:rPr>
                <w:sz w:val="9"/>
                <w:szCs w:val="9"/>
                <w:color w:val="auto"/>
              </w:rPr>
            </w:pPr>
          </w:p>
        </w:tc>
        <w:tc>
          <w:tcPr>
            <w:tcW w:w="1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 Definitive additional materials</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440" w:type="dxa"/>
            <w:vAlign w:val="bottom"/>
            <w:gridSpan w:val="4"/>
          </w:tcPr>
          <w:p>
            <w:pPr>
              <w:spacing w:after="0"/>
              <w:rPr>
                <w:sz w:val="20"/>
                <w:szCs w:val="20"/>
                <w:color w:val="auto"/>
              </w:rPr>
            </w:pPr>
            <w:r>
              <w:rPr>
                <w:rFonts w:ascii="Courier New" w:cs="Courier New" w:eastAsia="Courier New" w:hAnsi="Courier New"/>
                <w:sz w:val="18"/>
                <w:szCs w:val="18"/>
                <w:color w:val="auto"/>
              </w:rPr>
              <w:t>|_| Soliciting material pursuant to Rule 14a-11(c) or Rule 14a-12</w:t>
            </w:r>
          </w:p>
        </w:tc>
        <w:tc>
          <w:tcPr>
            <w:tcW w:w="0" w:type="dxa"/>
            <w:vAlign w:val="bottom"/>
          </w:tcPr>
          <w:p>
            <w:pPr>
              <w:spacing w:after="0"/>
              <w:rPr>
                <w:sz w:val="1"/>
                <w:szCs w:val="1"/>
                <w:color w:val="auto"/>
              </w:rPr>
            </w:pPr>
          </w:p>
        </w:tc>
      </w:tr>
      <w:tr>
        <w:trPr>
          <w:trHeight w:val="405"/>
        </w:trPr>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DESIGNS,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gridSpan w:val="4"/>
          </w:tcPr>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tc>
        <w:tc>
          <w:tcPr>
            <w:tcW w:w="0" w:type="dxa"/>
            <w:vAlign w:val="bottom"/>
          </w:tcPr>
          <w:p>
            <w:pPr>
              <w:spacing w:after="0"/>
              <w:rPr>
                <w:sz w:val="1"/>
                <w:szCs w:val="1"/>
                <w:color w:val="auto"/>
              </w:rPr>
            </w:pPr>
          </w:p>
        </w:tc>
      </w:tr>
      <w:tr>
        <w:trPr>
          <w:trHeight w:val="311"/>
        </w:trPr>
        <w:tc>
          <w:tcPr>
            <w:tcW w:w="1860" w:type="dxa"/>
            <w:vAlign w:val="bottom"/>
          </w:tcPr>
          <w:p>
            <w:pPr>
              <w:spacing w:after="0"/>
              <w:rPr>
                <w:sz w:val="24"/>
                <w:szCs w:val="24"/>
                <w:color w:val="auto"/>
              </w:rPr>
            </w:pPr>
          </w:p>
        </w:tc>
        <w:tc>
          <w:tcPr>
            <w:tcW w:w="6580" w:type="dxa"/>
            <w:vAlign w:val="bottom"/>
            <w:gridSpan w:val="3"/>
          </w:tcPr>
          <w:p>
            <w:pPr>
              <w:jc w:val="center"/>
              <w:ind w:right="1652"/>
              <w:spacing w:after="0"/>
              <w:rPr>
                <w:sz w:val="20"/>
                <w:szCs w:val="20"/>
                <w:color w:val="auto"/>
              </w:rPr>
            </w:pPr>
            <w:r>
              <w:rPr>
                <w:rFonts w:ascii="Courier New" w:cs="Courier New" w:eastAsia="Courier New" w:hAnsi="Courier New"/>
                <w:sz w:val="18"/>
                <w:szCs w:val="18"/>
                <w:color w:val="auto"/>
                <w:w w:val="97"/>
              </w:rPr>
              <w:t>JEWELCOR MANAGEMENT, INC.</w:t>
            </w:r>
          </w:p>
        </w:tc>
        <w:tc>
          <w:tcPr>
            <w:tcW w:w="0" w:type="dxa"/>
            <w:vAlign w:val="bottom"/>
          </w:tcPr>
          <w:p>
            <w:pPr>
              <w:spacing w:after="0"/>
              <w:rPr>
                <w:sz w:val="1"/>
                <w:szCs w:val="1"/>
                <w:color w:val="auto"/>
              </w:rPr>
            </w:pPr>
          </w:p>
        </w:tc>
      </w:tr>
      <w:tr>
        <w:trPr>
          <w:trHeight w:val="296"/>
        </w:trPr>
        <w:tc>
          <w:tcPr>
            <w:tcW w:w="844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tc>
        <w:tc>
          <w:tcPr>
            <w:tcW w:w="0" w:type="dxa"/>
            <w:vAlign w:val="bottom"/>
          </w:tcPr>
          <w:p>
            <w:pPr>
              <w:spacing w:after="0"/>
              <w:rPr>
                <w:sz w:val="1"/>
                <w:szCs w:val="1"/>
                <w:color w:val="auto"/>
              </w:rPr>
            </w:pPr>
          </w:p>
        </w:tc>
      </w:tr>
      <w:tr>
        <w:trPr>
          <w:trHeight w:val="311"/>
        </w:trPr>
        <w:tc>
          <w:tcPr>
            <w:tcW w:w="1860" w:type="dxa"/>
            <w:vAlign w:val="bottom"/>
          </w:tcPr>
          <w:p>
            <w:pPr>
              <w:spacing w:after="0"/>
              <w:rPr>
                <w:sz w:val="20"/>
                <w:szCs w:val="20"/>
                <w:color w:val="auto"/>
              </w:rPr>
            </w:pPr>
            <w:r>
              <w:rPr>
                <w:rFonts w:ascii="Courier New" w:cs="Courier New" w:eastAsia="Courier New" w:hAnsi="Courier New"/>
                <w:sz w:val="18"/>
                <w:szCs w:val="18"/>
                <w:color w:val="auto"/>
              </w:rPr>
              <w:t>Payment of filing</w:t>
            </w:r>
          </w:p>
        </w:tc>
        <w:tc>
          <w:tcPr>
            <w:tcW w:w="65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fee (Check the appropriate box):</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|X|</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 fee required.</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|_|</w:t>
            </w:r>
          </w:p>
        </w:tc>
        <w:tc>
          <w:tcPr>
            <w:tcW w:w="6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Fee computed on table below per Exchange Act Rules 14a-6(i)(1)</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rPr>
              <w:t>and 0-11.</w:t>
            </w:r>
          </w:p>
        </w:tc>
        <w:tc>
          <w:tcPr>
            <w:tcW w:w="1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1900" w:right="1779" w:hanging="944"/>
        <w:spacing w:after="0" w:line="34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18"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1900" w:right="1779" w:hanging="944"/>
        <w:spacing w:after="0" w:line="34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18"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jc w:val="both"/>
        <w:ind w:left="1900" w:right="1779" w:hanging="947"/>
        <w:spacing w:after="0" w:line="265" w:lineRule="auto"/>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0" w:lineRule="exact"/>
        <w:rPr>
          <w:sz w:val="24"/>
          <w:szCs w:val="24"/>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ectPr>
          <w:pgSz w:w="11900" w:h="16838" w:orient="portrait"/>
          <w:cols w:equalWidth="0" w:num="1">
            <w:col w:w="10219"/>
          </w:cols>
          <w:pgMar w:left="240" w:top="420"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ANNUAL MEETING OF STOCKHOLDERS</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 DESIGNS, INC.</w:t>
      </w:r>
    </w:p>
    <w:p>
      <w:pPr>
        <w:jc w:val="center"/>
        <w:ind w:right="1779"/>
        <w:spacing w:after="0"/>
        <w:rPr>
          <w:sz w:val="20"/>
          <w:szCs w:val="20"/>
          <w:color w:val="auto"/>
        </w:rPr>
      </w:pPr>
      <w:r>
        <w:rPr>
          <w:rFonts w:ascii="Courier New" w:cs="Courier New" w:eastAsia="Courier New" w:hAnsi="Courier New"/>
          <w:sz w:val="18"/>
          <w:szCs w:val="18"/>
          <w:color w:val="auto"/>
        </w:rPr>
        <w:t>TO BE HELD ON SEPTEMBER 22, 1999</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PROXY STATEMENT OF</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ind w:left="2000"/>
        <w:spacing w:after="0" w:line="238" w:lineRule="auto"/>
        <w:rPr>
          <w:sz w:val="20"/>
          <w:szCs w:val="20"/>
          <w:color w:val="auto"/>
        </w:rPr>
      </w:pPr>
      <w:r>
        <w:rPr>
          <w:rFonts w:ascii="Courier New" w:cs="Courier New" w:eastAsia="Courier New" w:hAnsi="Courier New"/>
          <w:sz w:val="18"/>
          <w:szCs w:val="18"/>
          <w:color w:val="auto"/>
        </w:rPr>
        <w:t>IN OPPOSITION TO THE BOARD OF DIRECTORS OF</w:t>
      </w:r>
    </w:p>
    <w:p>
      <w:pPr>
        <w:ind w:left="3580"/>
        <w:spacing w:after="0"/>
        <w:rPr>
          <w:sz w:val="20"/>
          <w:szCs w:val="20"/>
          <w:color w:val="auto"/>
        </w:rPr>
      </w:pPr>
      <w:r>
        <w:rPr>
          <w:rFonts w:ascii="Courier New" w:cs="Courier New" w:eastAsia="Courier New" w:hAnsi="Courier New"/>
          <w:sz w:val="18"/>
          <w:szCs w:val="18"/>
          <w:color w:val="auto"/>
        </w:rPr>
        <w:t>DESIGNS, INC.</w:t>
      </w:r>
    </w:p>
    <w:p>
      <w:pPr>
        <w:ind w:left="1480"/>
        <w:spacing w:after="0"/>
        <w:rPr>
          <w:sz w:val="20"/>
          <w:szCs w:val="20"/>
          <w:color w:val="auto"/>
        </w:rPr>
      </w:pPr>
      <w:r>
        <w:rPr>
          <w:rFonts w:ascii="Courier New" w:cs="Courier New" w:eastAsia="Courier New" w:hAnsi="Courier New"/>
          <w:sz w:val="18"/>
          <w:szCs w:val="18"/>
          <w:color w:val="auto"/>
        </w:rPr>
        <w:t>AND IN SUPPORT OF PROPOSAL TO TERMINATE "POISON PILL"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ALL STOCKHOLDERS OF DESIGNS, INC.:</w:t>
      </w:r>
    </w:p>
    <w:p>
      <w:pPr>
        <w:spacing w:after="0" w:line="201" w:lineRule="exact"/>
        <w:rPr>
          <w:sz w:val="20"/>
          <w:szCs w:val="20"/>
          <w:color w:val="auto"/>
        </w:rPr>
      </w:pPr>
    </w:p>
    <w:p>
      <w:pPr>
        <w:jc w:val="both"/>
        <w:ind w:right="1779" w:firstLine="1896"/>
        <w:spacing w:after="0" w:line="253" w:lineRule="auto"/>
        <w:rPr>
          <w:sz w:val="20"/>
          <w:szCs w:val="20"/>
          <w:color w:val="auto"/>
        </w:rPr>
      </w:pPr>
      <w:r>
        <w:rPr>
          <w:rFonts w:ascii="Courier New" w:cs="Courier New" w:eastAsia="Courier New" w:hAnsi="Courier New"/>
          <w:sz w:val="18"/>
          <w:szCs w:val="18"/>
          <w:color w:val="auto"/>
        </w:rPr>
        <w:t>This Proxy Statement and the accompanying WHITE PROXY CARD are being furnished by Jewelcor Management, Inc., a Nevada corporation ("JMI"), to the stockholders of Designs, Inc., a Delaware corporation (the "Company"), in connection with the solicitation of proxies to be used at the 1999 annual meeting of the stockholders of the Company and any adjournments or postponements thereof (the "Annual Meeting"). JMI understands that the Company plans to hold the Annual Meeting on September 22, 1999 at 1:00 P.M. local time at One Post Office Square, Boston, Massachusetts 02019.</w:t>
      </w:r>
    </w:p>
    <w:p>
      <w:pPr>
        <w:spacing w:after="0" w:line="104" w:lineRule="exact"/>
        <w:rPr>
          <w:sz w:val="20"/>
          <w:szCs w:val="20"/>
          <w:color w:val="auto"/>
        </w:rPr>
      </w:pPr>
    </w:p>
    <w:p>
      <w:pPr>
        <w:jc w:val="both"/>
        <w:ind w:right="1779" w:firstLine="1896"/>
        <w:spacing w:after="0" w:line="246" w:lineRule="auto"/>
        <w:rPr>
          <w:sz w:val="20"/>
          <w:szCs w:val="20"/>
          <w:color w:val="auto"/>
        </w:rPr>
      </w:pPr>
      <w:r>
        <w:rPr>
          <w:rFonts w:ascii="Courier New" w:cs="Courier New" w:eastAsia="Courier New" w:hAnsi="Courier New"/>
          <w:sz w:val="18"/>
          <w:szCs w:val="18"/>
          <w:color w:val="auto"/>
        </w:rPr>
        <w:t>JMI is soliciting your proxy (i) to elect John J. Schultz, Jeremiah P. Murphy, Jr., Joseph Pennacchio, Robert L. Patron and Jesse H. Choper, and (the "JMI Nominees") to the Board of Directors of the Company at the Annual Meeting and (ii) to adopt JMI's proposal to terminate the Company's Shareholder Rights Agreement, commonly known as a "Poison Pill," dated as of May 1, 1995, and all amendments thereto (the "Poison Pill"). JMI is proposing a slate of nominees for the Board of Directors because it believes a new Board is needed to seek to reverse the Company's decline and pursue ways to enhance shareholder value. It believes termination of the Company's Poison Pill is in the best interest of shareholders, among other things because, in JMI's opinion, many institutional investors may view a poison pill as having a negative effect on the price of stock. Each director of the Company will be elected for a term of one (1) year expiring at the 2000 annual meeting, each until their successors are duly elected and qualified.</w:t>
      </w:r>
    </w:p>
    <w:p>
      <w:pPr>
        <w:spacing w:after="0" w:line="113" w:lineRule="exact"/>
        <w:rPr>
          <w:sz w:val="20"/>
          <w:szCs w:val="20"/>
          <w:color w:val="auto"/>
        </w:rPr>
      </w:pPr>
    </w:p>
    <w:p>
      <w:pPr>
        <w:jc w:val="both"/>
        <w:ind w:right="1779" w:firstLine="1896"/>
        <w:spacing w:after="0" w:line="265" w:lineRule="auto"/>
        <w:rPr>
          <w:sz w:val="20"/>
          <w:szCs w:val="20"/>
          <w:color w:val="auto"/>
        </w:rPr>
      </w:pPr>
      <w:r>
        <w:rPr>
          <w:rFonts w:ascii="Courier New" w:cs="Courier New" w:eastAsia="Courier New" w:hAnsi="Courier New"/>
          <w:sz w:val="18"/>
          <w:szCs w:val="18"/>
          <w:color w:val="auto"/>
        </w:rPr>
        <w:t>According to the preliminary proxy statement filed by the Company's management, the current Board of Directors has determined that the Board of Directors to be elected at the Annual Meeting, which previously included six members, shall consist of only five members, and that one of the present directors, Stanley Berger, will not be nominated for re-election.</w:t>
      </w:r>
    </w:p>
    <w:p>
      <w:pPr>
        <w:spacing w:after="0" w:line="90"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If they are elected to the Board, the five current JMI Nominees intend to vote to expand the Board to six members and elect Peter R. McMullin to fill the resulting vacancy. In addition, if they are elected to the Board, the JMI Nominees intend to contact Mr. Berger</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691" w:right="1440" w:bottom="1440" w:gutter="0" w:footer="0" w:header="0"/>
        </w:sectPr>
      </w:pPr>
    </w:p>
    <w:bookmarkStart w:id="2" w:name="page3"/>
    <w:bookmarkEnd w:id="2"/>
    <w:p>
      <w:pPr>
        <w:jc w:val="both"/>
        <w:ind w:right="1779"/>
        <w:spacing w:after="0" w:line="306" w:lineRule="auto"/>
        <w:rPr>
          <w:sz w:val="20"/>
          <w:szCs w:val="20"/>
          <w:color w:val="auto"/>
        </w:rPr>
      </w:pPr>
      <w:r>
        <w:rPr>
          <w:rFonts w:ascii="Courier New" w:cs="Courier New" w:eastAsia="Courier New" w:hAnsi="Courier New"/>
          <w:sz w:val="16"/>
          <w:szCs w:val="16"/>
          <w:color w:val="auto"/>
        </w:rPr>
        <w:t>and seek to invite him to join the Board. Mr. Berger is the Founder, current Chairman of the Board of Directors and former Chief Executive Officer of the Company. Although there can be no assurance that Mr. Berger would agree to serve as a member of the Board of Directors if asked, JMI believes that Mr. Berger's continued involvement with the Company would benefit the shareholders.</w:t>
      </w:r>
    </w:p>
    <w:p>
      <w:pPr>
        <w:spacing w:after="0" w:line="60" w:lineRule="exact"/>
        <w:rPr>
          <w:sz w:val="20"/>
          <w:szCs w:val="20"/>
          <w:color w:val="auto"/>
        </w:rPr>
      </w:pPr>
    </w:p>
    <w:p>
      <w:pPr>
        <w:jc w:val="both"/>
        <w:ind w:right="1779" w:firstLine="1896"/>
        <w:spacing w:after="0" w:line="265" w:lineRule="auto"/>
        <w:rPr>
          <w:sz w:val="20"/>
          <w:szCs w:val="20"/>
          <w:color w:val="auto"/>
        </w:rPr>
      </w:pPr>
      <w:r>
        <w:rPr>
          <w:rFonts w:ascii="Courier New" w:cs="Courier New" w:eastAsia="Courier New" w:hAnsi="Courier New"/>
          <w:sz w:val="18"/>
          <w:szCs w:val="18"/>
          <w:color w:val="auto"/>
        </w:rPr>
        <w:t>JMI understands that the Company has fixed August 5, 1999 as the record date (the "Record Date") for the determination of stockholders entitled to notice of, and to vote at, the Annual Meeting. According to the information supplied by the Company's transfer agent, as of the Record Date there were 15,977,952 shares of Common Stock outstanding.</w:t>
      </w:r>
    </w:p>
    <w:p>
      <w:pPr>
        <w:spacing w:after="0" w:line="29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YOUR VOTE IS IMPORTANT - VOTE FOR EACH OF JMI's PROPOSALS</w:t>
      </w:r>
    </w:p>
    <w:p>
      <w:pPr>
        <w:spacing w:after="0" w:line="201" w:lineRule="exact"/>
        <w:rPr>
          <w:sz w:val="20"/>
          <w:szCs w:val="20"/>
          <w:color w:val="auto"/>
        </w:rPr>
      </w:pPr>
    </w:p>
    <w:p>
      <w:pPr>
        <w:jc w:val="both"/>
        <w:ind w:right="1779" w:firstLine="1896"/>
        <w:spacing w:after="0" w:line="260" w:lineRule="auto"/>
        <w:rPr>
          <w:sz w:val="20"/>
          <w:szCs w:val="20"/>
          <w:color w:val="auto"/>
        </w:rPr>
      </w:pPr>
      <w:r>
        <w:rPr>
          <w:rFonts w:ascii="Courier New" w:cs="Courier New" w:eastAsia="Courier New" w:hAnsi="Courier New"/>
          <w:sz w:val="18"/>
          <w:szCs w:val="18"/>
          <w:color w:val="auto"/>
        </w:rPr>
        <w:t>Carefully review this Proxy Statement and the enclosed WHITE PROXY CARD. No matter how many or how few shares of Common Stock you own, YOUR VOTE IS IMPORTANT. Please vote FOR the election of the JMI Nominees to the Board of Directors and FOR the proposal to terminate the Poison Pill by so indicating and by signing, dating and promptly mailing the WHITE PROXY CARD in the enclosed postage-paid envelope.</w:t>
      </w:r>
    </w:p>
    <w:p>
      <w:pPr>
        <w:spacing w:after="0" w:line="93" w:lineRule="exact"/>
        <w:rPr>
          <w:sz w:val="20"/>
          <w:szCs w:val="20"/>
          <w:color w:val="auto"/>
        </w:rPr>
      </w:pPr>
    </w:p>
    <w:p>
      <w:pPr>
        <w:jc w:val="both"/>
        <w:ind w:right="1779" w:firstLine="1896"/>
        <w:spacing w:after="0" w:line="256" w:lineRule="auto"/>
        <w:rPr>
          <w:sz w:val="20"/>
          <w:szCs w:val="20"/>
          <w:color w:val="auto"/>
        </w:rPr>
      </w:pPr>
      <w:r>
        <w:rPr>
          <w:rFonts w:ascii="Courier New" w:cs="Courier New" w:eastAsia="Courier New" w:hAnsi="Courier New"/>
          <w:sz w:val="18"/>
          <w:szCs w:val="18"/>
          <w:color w:val="auto"/>
        </w:rPr>
        <w:t>No Proxy Card will be furnished by JMI until such time as a definitive form of the Proxy Statement has been filed with the Securities and Exchange Commission. This Proxy Statement is first being sent or given to holders of the Company's Common Stock on or about August __, 1999. This Proxy Statement has been filed in preliminary form with the Securities and Exchange Commission on August __, 1999, and such preliminary form may thereafter be furnished to stockholders of the Company.</w:t>
      </w:r>
    </w:p>
    <w:p>
      <w:pPr>
        <w:spacing w:after="0" w:line="3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IMPORTANT</w:t>
      </w:r>
    </w:p>
    <w:p>
      <w:pPr>
        <w:spacing w:after="0" w:line="201" w:lineRule="exact"/>
        <w:rPr>
          <w:sz w:val="20"/>
          <w:szCs w:val="20"/>
          <w:color w:val="auto"/>
        </w:rPr>
      </w:pPr>
    </w:p>
    <w:p>
      <w:pPr>
        <w:jc w:val="both"/>
        <w:ind w:right="1779" w:firstLine="1896"/>
        <w:spacing w:after="0" w:line="306" w:lineRule="auto"/>
        <w:rPr>
          <w:sz w:val="20"/>
          <w:szCs w:val="20"/>
          <w:color w:val="auto"/>
        </w:rPr>
      </w:pPr>
      <w:r>
        <w:rPr>
          <w:rFonts w:ascii="Courier New" w:cs="Courier New" w:eastAsia="Courier New" w:hAnsi="Courier New"/>
          <w:sz w:val="16"/>
          <w:szCs w:val="16"/>
          <w:color w:val="auto"/>
        </w:rPr>
        <w:t>JMI REQUESTS THAT YOU DO NOT VOTE ON OR RETURN TO THE COMPANY ANY PROXY CARD PROVIDED TO YOU BY THE COMPANY, EVEN TO VOTE AGAINST THE INCUMBENT MEMBERS OF THE BOARD OF DIRECTORS. RETURNING ANY PROXY CARD PROVIDED TO YOU BY THE COMPANY COULD REVOKE THE PROXY CARD THAT YOU SIGN, DATE AND SEND TO JMI. REMEMBER - ONLY YOUR LATEST DATED PROXY CARD WILL COUNT AT THE MEETING!</w:t>
      </w:r>
    </w:p>
    <w:p>
      <w:pPr>
        <w:spacing w:after="0" w:line="26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DO NOT SEND ANY PROXY CARD TO THE COMPANY!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691" w:right="1440" w:bottom="1440" w:gutter="0" w:footer="0" w:header="0"/>
        </w:sectPr>
      </w:pPr>
    </w:p>
    <w:bookmarkStart w:id="3" w:name="page4"/>
    <w:bookmarkEnd w:id="3"/>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If you own shares of Common Stock and the stock certificate is in your name, please vote FOR the election of the JMI Nominees to the Board of Directors and FOR the proposal to terminate the Poison Pill by marking, signing, dating and mailing the WHITE PROXY CARD only.</w:t>
      </w:r>
    </w:p>
    <w:p>
      <w:pPr>
        <w:spacing w:after="0" w:line="82" w:lineRule="exact"/>
        <w:rPr>
          <w:sz w:val="20"/>
          <w:szCs w:val="20"/>
          <w:color w:val="auto"/>
        </w:rPr>
      </w:pPr>
    </w:p>
    <w:p>
      <w:pPr>
        <w:jc w:val="both"/>
        <w:ind w:right="1779" w:firstLine="1896"/>
        <w:spacing w:after="0" w:line="244" w:lineRule="auto"/>
        <w:rPr>
          <w:sz w:val="20"/>
          <w:szCs w:val="20"/>
          <w:color w:val="auto"/>
        </w:rPr>
      </w:pPr>
      <w:r>
        <w:rPr>
          <w:rFonts w:ascii="Courier New" w:cs="Courier New" w:eastAsia="Courier New" w:hAnsi="Courier New"/>
          <w:sz w:val="18"/>
          <w:szCs w:val="18"/>
          <w:color w:val="auto"/>
        </w:rPr>
        <w:t>If you own shares of Common Stock, but your stock certificate is held for you by a brokerage firm, bank or other institution, it is very likely that the stock certificate is actually in the name of that brokerage firm, bank or other institution. If so, only that entity can execute a Proxy Card and vote your shares of Common Stock. The brokerage firm, bank, or other institution holding the shares of Common Stock for you is required to forward proxy materials to you and to solicit your instructions with respect to the granting of proxies. It cannot vote your shares of Common Stock unless it receives your instructions. IF A BROKERAGE FIRM, BANK, OR OTHER INSTITUTION IS HOLDING SHARES OF COMMON STOCK FOR YOU, PLEASE INSTRUCT THAT ENTITY TO VOTE SUCH SHARES FOR THE ELECTION OF THE JMI NOMINEES TO THE BOARD OF DIRECTORS AND FOR THE PROPOSAL TO TERMINATE THE POISON PILL BY SIGNING, DATING AND MAILING TO JMI ON YOUR BEHALF THE WHITE PROXY CARD PROMPTLY. JMI URGES YOU TO CONFIRM IN WRITING YOUR INSTRUCTIONS TO THE PERSON RESPONSIBLE FOR YOUR ACCOUNT AND TO PROVIDE A COPY OF THOSE INSTRUCTIONS TO JMI IN CARE OF D.F. KING &amp; CO., INC. ("D.F.KING") AT THE ADDRESS SET FORTH BELOW SO THAT JMI WILL BE AWARE OF ALL INSTRUCTIONS GIVEN AND CAN ATTEMPT TO ENSURE THAT SUCH INSTRUCTIONS ARE FOLLOWED.</w:t>
      </w:r>
    </w:p>
    <w:p>
      <w:pPr>
        <w:spacing w:after="0" w:line="117" w:lineRule="exact"/>
        <w:rPr>
          <w:sz w:val="20"/>
          <w:szCs w:val="20"/>
          <w:color w:val="auto"/>
        </w:rPr>
      </w:pPr>
    </w:p>
    <w:p>
      <w:pPr>
        <w:jc w:val="both"/>
        <w:ind w:right="1779" w:firstLine="1896"/>
        <w:spacing w:after="0" w:line="265" w:lineRule="auto"/>
        <w:rPr>
          <w:sz w:val="20"/>
          <w:szCs w:val="20"/>
          <w:color w:val="auto"/>
        </w:rPr>
      </w:pPr>
      <w:r>
        <w:rPr>
          <w:rFonts w:ascii="Courier New" w:cs="Courier New" w:eastAsia="Courier New" w:hAnsi="Courier New"/>
          <w:sz w:val="18"/>
          <w:szCs w:val="18"/>
          <w:color w:val="auto"/>
        </w:rPr>
        <w:t>Any stockholder giving a proxy may revoke it at any time before it is voted by attending the Annual Meeting and voting his or her shares of Common Stock in person, by giving written notice to the Secretary of the Company at 66 B Street, Needham, Massachusetts 02194 stating that the proxy has been revoked, or by delivery of a proxy bearing a later date.</w:t>
      </w:r>
    </w:p>
    <w:p>
      <w:pPr>
        <w:spacing w:after="0" w:line="90" w:lineRule="exact"/>
        <w:rPr>
          <w:sz w:val="20"/>
          <w:szCs w:val="20"/>
          <w:color w:val="auto"/>
        </w:rPr>
      </w:pPr>
    </w:p>
    <w:p>
      <w:pPr>
        <w:jc w:val="both"/>
        <w:ind w:right="1779" w:firstLine="1896"/>
        <w:spacing w:after="0" w:line="292" w:lineRule="auto"/>
        <w:rPr>
          <w:sz w:val="20"/>
          <w:szCs w:val="20"/>
          <w:color w:val="auto"/>
        </w:rPr>
      </w:pPr>
      <w:r>
        <w:rPr>
          <w:rFonts w:ascii="Courier New" w:cs="Courier New" w:eastAsia="Courier New" w:hAnsi="Courier New"/>
          <w:sz w:val="18"/>
          <w:szCs w:val="18"/>
          <w:color w:val="auto"/>
        </w:rPr>
        <w:t>IF YOU HAVE ALREADY RETURNED THE PROXY CARD SUPPLIED BY THE COMPANY'S BOARD OF DIRECTORS, YOU HAVE EVERY RIGHT TO CHANGE YOUR VOTE BY SIGNING, DATING AND RETURNING THE WHITE PROXY CARD.</w:t>
      </w:r>
    </w:p>
    <w:p>
      <w:pPr>
        <w:spacing w:after="0" w:line="66" w:lineRule="exact"/>
        <w:rPr>
          <w:sz w:val="20"/>
          <w:szCs w:val="20"/>
          <w:color w:val="auto"/>
        </w:rPr>
      </w:pPr>
    </w:p>
    <w:p>
      <w:pPr>
        <w:jc w:val="both"/>
        <w:ind w:right="1779" w:firstLine="1896"/>
        <w:spacing w:after="0" w:line="347" w:lineRule="auto"/>
        <w:rPr>
          <w:sz w:val="20"/>
          <w:szCs w:val="20"/>
          <w:color w:val="auto"/>
        </w:rPr>
      </w:pPr>
      <w:r>
        <w:rPr>
          <w:rFonts w:ascii="Courier New" w:cs="Courier New" w:eastAsia="Courier New" w:hAnsi="Courier New"/>
          <w:sz w:val="18"/>
          <w:szCs w:val="18"/>
          <w:color w:val="auto"/>
        </w:rPr>
        <w:t>If you have any questions about executing your WHITE PROXY CARD or require assistance, please contact:</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77 Water Street, 20th Floor</w:t>
      </w:r>
    </w:p>
    <w:p>
      <w:pPr>
        <w:ind w:left="3280"/>
        <w:spacing w:after="0" w:line="238" w:lineRule="auto"/>
        <w:rPr>
          <w:sz w:val="20"/>
          <w:szCs w:val="20"/>
          <w:color w:val="auto"/>
        </w:rPr>
      </w:pPr>
      <w:r>
        <w:rPr>
          <w:rFonts w:ascii="Courier New" w:cs="Courier New" w:eastAsia="Courier New" w:hAnsi="Courier New"/>
          <w:sz w:val="18"/>
          <w:szCs w:val="18"/>
          <w:color w:val="auto"/>
        </w:rPr>
        <w:t>New York, NY 10005</w:t>
      </w:r>
    </w:p>
    <w:p>
      <w:pPr>
        <w:ind w:left="2960"/>
        <w:spacing w:after="0"/>
        <w:rPr>
          <w:sz w:val="20"/>
          <w:szCs w:val="20"/>
          <w:color w:val="auto"/>
        </w:rPr>
      </w:pPr>
      <w:r>
        <w:rPr>
          <w:rFonts w:ascii="Courier New" w:cs="Courier New" w:eastAsia="Courier New" w:hAnsi="Courier New"/>
          <w:sz w:val="18"/>
          <w:szCs w:val="18"/>
          <w:color w:val="auto"/>
        </w:rPr>
        <w:t>Toll Free: (800) 290-6424</w:t>
      </w:r>
    </w:p>
    <w:p>
      <w:pPr>
        <w:ind w:left="1800"/>
        <w:spacing w:after="0"/>
        <w:rPr>
          <w:sz w:val="20"/>
          <w:szCs w:val="20"/>
          <w:color w:val="auto"/>
        </w:rPr>
      </w:pPr>
      <w:r>
        <w:rPr>
          <w:rFonts w:ascii="Courier New" w:cs="Courier New" w:eastAsia="Courier New" w:hAnsi="Courier New"/>
          <w:sz w:val="18"/>
          <w:szCs w:val="18"/>
          <w:color w:val="auto"/>
        </w:rPr>
        <w:t>Banks and Brokers call collect: (212) 269-5550</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691" w:right="1440" w:bottom="144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INFORMATION ABOUT JMI</w:t>
      </w:r>
    </w:p>
    <w:p>
      <w:pPr>
        <w:spacing w:after="0" w:line="201" w:lineRule="exact"/>
        <w:rPr>
          <w:sz w:val="20"/>
          <w:szCs w:val="20"/>
          <w:color w:val="auto"/>
        </w:rPr>
      </w:pPr>
    </w:p>
    <w:p>
      <w:pPr>
        <w:jc w:val="both"/>
        <w:ind w:right="1779" w:firstLine="1896"/>
        <w:spacing w:after="0" w:line="265" w:lineRule="auto"/>
        <w:rPr>
          <w:sz w:val="20"/>
          <w:szCs w:val="20"/>
          <w:color w:val="auto"/>
        </w:rPr>
      </w:pPr>
      <w:r>
        <w:rPr>
          <w:rFonts w:ascii="Courier New" w:cs="Courier New" w:eastAsia="Courier New" w:hAnsi="Courier New"/>
          <w:sz w:val="18"/>
          <w:szCs w:val="18"/>
          <w:color w:val="auto"/>
        </w:rPr>
        <w:t>JMI is a major stockholder of the Company which, as of the date of this Proxy Statement, is the beneficial owner of 1,570,200 shares of the Company's Common Stock (or approximately 9.9% of the shares issued and outstanding). It intends to vote its shares FOR the election of the JMI Nominees and FOR the proposal to terminate the Poison Pill.</w:t>
      </w:r>
    </w:p>
    <w:p>
      <w:pPr>
        <w:spacing w:after="0" w:line="90" w:lineRule="exact"/>
        <w:rPr>
          <w:sz w:val="20"/>
          <w:szCs w:val="20"/>
          <w:color w:val="auto"/>
        </w:rPr>
      </w:pPr>
    </w:p>
    <w:p>
      <w:pPr>
        <w:jc w:val="both"/>
        <w:ind w:right="1779" w:firstLine="1896"/>
        <w:spacing w:after="0" w:line="250" w:lineRule="auto"/>
        <w:rPr>
          <w:sz w:val="20"/>
          <w:szCs w:val="20"/>
          <w:color w:val="auto"/>
        </w:rPr>
      </w:pPr>
      <w:r>
        <w:rPr>
          <w:rFonts w:ascii="Courier New" w:cs="Courier New" w:eastAsia="Courier New" w:hAnsi="Courier New"/>
          <w:sz w:val="18"/>
          <w:szCs w:val="18"/>
          <w:color w:val="auto"/>
        </w:rPr>
        <w:t>JMI is a wholly-owned subsidiary of Jewelcor, Inc., a Pennsylvania corporation ("JI"), which is a wholly-owned subsidiary of S.H. Holdings, Inc. ("SH"). Seymour Holtzman and Evelyn Holtzman, husband and wife, own, as tenants by the entirety, a controlling interest of SH. The principal businesses of JMI and its related companies are the ownership and operation of upscale retail jewelry stores, the ownership of commercial real estate and investment and management services. Mr. Holtzman is the Chairman of the Board and Chief Executive Officer of each of JMI, JI and SH. The business address and the address of the principal executive offices of JMI is 100 North Wilkes-Barre Blvd., 4th Floor, Wilkes-Barre, Pennsylvania 18702.</w:t>
      </w:r>
    </w:p>
    <w:p>
      <w:pPr>
        <w:spacing w:after="0" w:line="104" w:lineRule="exact"/>
        <w:rPr>
          <w:sz w:val="20"/>
          <w:szCs w:val="20"/>
          <w:color w:val="auto"/>
        </w:rPr>
      </w:pPr>
    </w:p>
    <w:p>
      <w:pPr>
        <w:jc w:val="both"/>
        <w:ind w:right="1779" w:firstLine="1896"/>
        <w:spacing w:after="0" w:line="288" w:lineRule="auto"/>
        <w:rPr>
          <w:sz w:val="20"/>
          <w:szCs w:val="20"/>
          <w:color w:val="auto"/>
        </w:rPr>
      </w:pPr>
      <w:r>
        <w:rPr>
          <w:rFonts w:ascii="Courier New" w:cs="Courier New" w:eastAsia="Courier New" w:hAnsi="Courier New"/>
          <w:sz w:val="16"/>
          <w:szCs w:val="16"/>
          <w:color w:val="auto"/>
        </w:rPr>
        <w:t>Seymour Holtzman was originally among the individuals nominated by JMI for election to the Board of Director at the Annual Meeting. In order to reduce the potential for distraction from what JMI sees as the major problems facing the Company, JMI took the step of withdrawing Mr. Holtzman's name as a nominee and instead nominated Jesse H. Choper, a distinguished professor of law already named in JMI's proxy material as a proposed addition to the Board following the Annual Meeting. Mr. Holtzman remains a participant in the solicitation and certain information regarding Mr. Holtzman appears under "Certain Other Information Regarding JMI and the JMI Nominees" below.</w:t>
      </w:r>
    </w:p>
    <w:p>
      <w:pPr>
        <w:spacing w:after="0" w:line="286" w:lineRule="exact"/>
        <w:rPr>
          <w:sz w:val="20"/>
          <w:szCs w:val="20"/>
          <w:color w:val="auto"/>
        </w:rPr>
      </w:pPr>
    </w:p>
    <w:p>
      <w:pPr>
        <w:jc w:val="both"/>
        <w:ind w:right="1779" w:firstLine="1896"/>
        <w:spacing w:after="0" w:line="292" w:lineRule="auto"/>
        <w:rPr>
          <w:sz w:val="20"/>
          <w:szCs w:val="20"/>
          <w:color w:val="auto"/>
        </w:rPr>
      </w:pPr>
      <w:r>
        <w:rPr>
          <w:rFonts w:ascii="Courier New" w:cs="Courier New" w:eastAsia="Courier New" w:hAnsi="Courier New"/>
          <w:sz w:val="18"/>
          <w:szCs w:val="18"/>
          <w:color w:val="auto"/>
        </w:rPr>
        <w:t>Additional information about JMI and the JMI Nominees is set forth under the heading "Certain Other Information Regarding JMI and The JMI Nominees" below and in Annex A attached to this Proxy Statement.</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REASONS FOR THIS SOLICITATION</w:t>
      </w:r>
    </w:p>
    <w:p>
      <w:pPr>
        <w:spacing w:after="0" w:line="201" w:lineRule="exact"/>
        <w:rPr>
          <w:sz w:val="20"/>
          <w:szCs w:val="20"/>
          <w:color w:val="auto"/>
        </w:rPr>
      </w:pPr>
    </w:p>
    <w:p>
      <w:pPr>
        <w:jc w:val="both"/>
        <w:ind w:right="1779" w:firstLine="1896"/>
        <w:spacing w:after="0" w:line="292" w:lineRule="auto"/>
        <w:rPr>
          <w:sz w:val="20"/>
          <w:szCs w:val="20"/>
          <w:color w:val="auto"/>
        </w:rPr>
      </w:pPr>
      <w:r>
        <w:rPr>
          <w:rFonts w:ascii="Courier New" w:cs="Courier New" w:eastAsia="Courier New" w:hAnsi="Courier New"/>
          <w:sz w:val="18"/>
          <w:szCs w:val="18"/>
          <w:color w:val="auto"/>
        </w:rPr>
        <w:t>Since Joel Reichman took over as President and CEO of the Company in December 1994, shareholders have watched the value of their investment in the Company</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691" w:right="1440" w:bottom="1440" w:gutter="0" w:footer="0" w:header="0"/>
        </w:sectPr>
      </w:pPr>
    </w:p>
    <w:bookmarkStart w:id="5" w:name="page6"/>
    <w:bookmarkEnd w:id="5"/>
    <w:p>
      <w:pPr>
        <w:jc w:val="both"/>
        <w:ind w:right="1779"/>
        <w:spacing w:after="0" w:line="249" w:lineRule="auto"/>
        <w:rPr>
          <w:sz w:val="20"/>
          <w:szCs w:val="20"/>
          <w:color w:val="auto"/>
        </w:rPr>
      </w:pPr>
      <w:r>
        <w:rPr>
          <w:rFonts w:ascii="Courier New" w:cs="Courier New" w:eastAsia="Courier New" w:hAnsi="Courier New"/>
          <w:sz w:val="18"/>
          <w:szCs w:val="18"/>
          <w:color w:val="auto"/>
        </w:rPr>
        <w:t>steadily erode. Under the leadership of Joel Reichman and the current members of the Board of Directors, the Company has suffered approximately $77 million in operating losses and alarming decreases in both comparable store sales and stock price. The Company belongs to you, the stockholders, and you must decide who should lead it. Don't let the Company's management distract you with unfulfilled promises and personal attacks on stockholders who question management's performance. JMI believes that the real issue is the 79% decline in the Company's stock price since January 1995 and the Company's losses totalling approximately $77 million over the last two and a quarter years. In JMI's opinion Joel Reichman and the current Board of Directors should be held responsible for the performance of the Company under their management.</w:t>
      </w:r>
    </w:p>
    <w:p>
      <w:pPr>
        <w:spacing w:after="0" w:line="104" w:lineRule="exact"/>
        <w:rPr>
          <w:sz w:val="20"/>
          <w:szCs w:val="20"/>
          <w:color w:val="auto"/>
        </w:rPr>
      </w:pPr>
    </w:p>
    <w:p>
      <w:pPr>
        <w:jc w:val="both"/>
        <w:ind w:right="1779" w:firstLine="1896"/>
        <w:spacing w:after="0" w:line="344" w:lineRule="auto"/>
        <w:rPr>
          <w:sz w:val="20"/>
          <w:szCs w:val="20"/>
          <w:color w:val="auto"/>
        </w:rPr>
      </w:pPr>
      <w:r>
        <w:rPr>
          <w:rFonts w:ascii="Courier New" w:cs="Courier New" w:eastAsia="Courier New" w:hAnsi="Courier New"/>
          <w:sz w:val="16"/>
          <w:szCs w:val="16"/>
          <w:color w:val="auto"/>
        </w:rPr>
        <w:t>Do you want to keep the current Board of Directors and executive management with the following performance record, as publicly reported in the Company's public filings and statements? We don't think you should.</w:t>
      </w:r>
    </w:p>
    <w:p>
      <w:pPr>
        <w:spacing w:after="0" w:line="23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0"/>
          <w:szCs w:val="20"/>
          <w:color w:val="auto"/>
        </w:rPr>
      </w:pPr>
    </w:p>
    <w:p>
      <w:pPr>
        <w:spacing w:after="0" w:line="204" w:lineRule="exact"/>
        <w:rPr>
          <w:sz w:val="20"/>
          <w:szCs w:val="20"/>
          <w:color w:val="auto"/>
        </w:rPr>
      </w:pPr>
    </w:p>
    <w:p>
      <w:pPr>
        <w:ind w:left="1900" w:right="2319"/>
        <w:spacing w:after="0" w:line="347" w:lineRule="auto"/>
        <w:rPr>
          <w:sz w:val="20"/>
          <w:szCs w:val="20"/>
          <w:color w:val="auto"/>
        </w:rPr>
      </w:pPr>
      <w:r>
        <w:rPr>
          <w:rFonts w:ascii="Courier New" w:cs="Courier New" w:eastAsia="Courier New" w:hAnsi="Courier New"/>
          <w:sz w:val="18"/>
          <w:szCs w:val="18"/>
          <w:color w:val="auto"/>
        </w:rPr>
        <w:t>$52 MILLION DETERIORATION IN CASH POSITION SINCE JOEL REICHMAN TOOK OVER</w:t>
      </w:r>
    </w:p>
    <w:p>
      <w:pPr>
        <w:spacing w:after="0" w:line="18" w:lineRule="exact"/>
        <w:rPr>
          <w:sz w:val="20"/>
          <w:szCs w:val="20"/>
          <w:color w:val="auto"/>
        </w:rPr>
      </w:pPr>
    </w:p>
    <w:p>
      <w:pPr>
        <w:jc w:val="both"/>
        <w:ind w:left="1900" w:right="1779" w:hanging="944"/>
        <w:spacing w:after="0" w:line="256"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Joel Reichman replaced Stanley Berger as President, the Company had approximately $38 million in cash and investments and no bank debt. Now, under the reign of Joel Reichman, the Company has no cash and over $14 million in bank debt (including $2.3 million borrowed just three months ago to fund a trust to provide potential future payments for Joel Reichman and other members of senior management).</w:t>
      </w:r>
    </w:p>
    <w:p>
      <w:pPr>
        <w:spacing w:after="0" w:line="98"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HUGE OPERATING LOSSES</w:t>
      </w:r>
    </w:p>
    <w:p>
      <w:pPr>
        <w:spacing w:after="0" w:line="201" w:lineRule="exact"/>
        <w:rPr>
          <w:rFonts w:ascii="Courier New" w:cs="Courier New" w:eastAsia="Courier New" w:hAnsi="Courier New"/>
          <w:sz w:val="18"/>
          <w:szCs w:val="18"/>
          <w:color w:val="auto"/>
        </w:rPr>
      </w:pPr>
    </w:p>
    <w:p>
      <w:pPr>
        <w:jc w:val="both"/>
        <w:ind w:left="1900" w:right="1779" w:hanging="944"/>
        <w:spacing w:after="0" w:line="26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the last two fiscal years and the first fiscal quarter of 1999, the Company has suffered enormous operating losses totalling approximately $77 million, or $4.82 per share. The Company has sustained operating losses for nine straight quarters and these losses are continuing.</w:t>
      </w:r>
    </w:p>
    <w:p>
      <w:pPr>
        <w:spacing w:after="0" w:line="2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STOCK PRICE PLUMMETS</w:t>
      </w:r>
    </w:p>
    <w:p>
      <w:pPr>
        <w:spacing w:after="0" w:line="201" w:lineRule="exact"/>
        <w:rPr>
          <w:sz w:val="20"/>
          <w:szCs w:val="20"/>
          <w:color w:val="auto"/>
        </w:rPr>
      </w:pPr>
    </w:p>
    <w:p>
      <w:pPr>
        <w:jc w:val="both"/>
        <w:ind w:left="1900" w:right="1779" w:hanging="944"/>
        <w:spacing w:after="0" w:line="292"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Joel Reichman became President and CEO, the Company's stock price has dropped from $7.75 on January 28, 1995, to $1.56 at the close of business</w:t>
      </w:r>
    </w:p>
    <w:p>
      <w:pPr>
        <w:spacing w:after="0" w:line="66"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ectPr>
          <w:pgSz w:w="11900" w:h="16838" w:orient="portrait"/>
          <w:cols w:equalWidth="0" w:num="1">
            <w:col w:w="10219"/>
          </w:cols>
          <w:pgMar w:left="240" w:top="691" w:right="1440" w:bottom="1440" w:gutter="0" w:footer="0" w:header="0"/>
        </w:sectPr>
      </w:pPr>
    </w:p>
    <w:bookmarkStart w:id="6" w:name="page7"/>
    <w:bookmarkEnd w:id="6"/>
    <w:p>
      <w:pPr>
        <w:jc w:val="both"/>
        <w:ind w:left="944" w:right="1779"/>
        <w:spacing w:after="0" w:line="292" w:lineRule="auto"/>
        <w:rPr>
          <w:sz w:val="20"/>
          <w:szCs w:val="20"/>
          <w:color w:val="auto"/>
        </w:rPr>
      </w:pPr>
      <w:r>
        <w:rPr>
          <w:rFonts w:ascii="Courier New" w:cs="Courier New" w:eastAsia="Courier New" w:hAnsi="Courier New"/>
          <w:sz w:val="18"/>
          <w:szCs w:val="18"/>
          <w:color w:val="auto"/>
        </w:rPr>
        <w:t>on August 11, 1999, a decline of approximately 80%. This decline occurred during a period in which the stock market generally has achieved unprecedented increases in value.</w:t>
      </w:r>
    </w:p>
    <w:p>
      <w:pPr>
        <w:spacing w:after="0" w:line="269" w:lineRule="exact"/>
        <w:rPr>
          <w:sz w:val="20"/>
          <w:szCs w:val="20"/>
          <w:color w:val="auto"/>
        </w:rPr>
      </w:pPr>
    </w:p>
    <w:p>
      <w:pPr>
        <w:ind w:left="2424"/>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0"/>
          <w:szCs w:val="20"/>
          <w:color w:val="auto"/>
        </w:rPr>
      </w:pPr>
    </w:p>
    <w:p>
      <w:pPr>
        <w:spacing w:after="0" w:line="204"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GROSS MARGINS FALL SIGNIFICANTLY</w:t>
      </w:r>
    </w:p>
    <w:p>
      <w:pPr>
        <w:spacing w:after="0" w:line="201" w:lineRule="exact"/>
        <w:rPr>
          <w:sz w:val="20"/>
          <w:szCs w:val="20"/>
          <w:color w:val="auto"/>
        </w:rPr>
      </w:pPr>
    </w:p>
    <w:p>
      <w:pPr>
        <w:jc w:val="both"/>
        <w:ind w:left="944" w:right="1779" w:hanging="944"/>
        <w:spacing w:after="0" w:line="265" w:lineRule="auto"/>
        <w:tabs>
          <w:tab w:leader="none" w:pos="9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Joel Reichman became President and CEO, the Company has experienced a substantial erosion in its gross margins. For the fiscal year ended January 28, 1995, the Company's gross margin was 31.6%, compared to 21% for the fiscal year ended January 30, 1999, a decrease of 33%.</w:t>
      </w:r>
    </w:p>
    <w:p>
      <w:pPr>
        <w:spacing w:after="0" w:line="292" w:lineRule="exact"/>
        <w:rPr>
          <w:rFonts w:ascii="Courier New" w:cs="Courier New" w:eastAsia="Courier New" w:hAnsi="Courier New"/>
          <w:sz w:val="18"/>
          <w:szCs w:val="18"/>
          <w:color w:val="auto"/>
        </w:rPr>
      </w:pPr>
    </w:p>
    <w:p>
      <w:pPr>
        <w:ind w:left="94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SALES DECLINE DRAMATICALLY</w:t>
      </w:r>
    </w:p>
    <w:p>
      <w:pPr>
        <w:spacing w:after="0" w:line="201" w:lineRule="exact"/>
        <w:rPr>
          <w:rFonts w:ascii="Courier New" w:cs="Courier New" w:eastAsia="Courier New" w:hAnsi="Courier New"/>
          <w:sz w:val="18"/>
          <w:szCs w:val="18"/>
          <w:color w:val="auto"/>
        </w:rPr>
      </w:pPr>
    </w:p>
    <w:p>
      <w:pPr>
        <w:jc w:val="both"/>
        <w:ind w:left="944" w:right="1779" w:hanging="944"/>
        <w:spacing w:after="0" w:line="260" w:lineRule="auto"/>
        <w:tabs>
          <w:tab w:leader="none" w:pos="9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February 3, 1996, the Company's annual sales have fallen precipitously from $301,074,000 to $201,634,000, a 33% decline during one of the most robust periods of economic growth in recent history, and comparable store sales within the Company have also decreased. The losing trend continues - the Company's comparable store sales were:</w:t>
      </w:r>
    </w:p>
    <w:p>
      <w:pPr>
        <w:spacing w:after="0" w:line="92" w:lineRule="exact"/>
        <w:rPr>
          <w:rFonts w:ascii="Courier New" w:cs="Courier New" w:eastAsia="Courier New" w:hAnsi="Courier New"/>
          <w:sz w:val="18"/>
          <w:szCs w:val="18"/>
          <w:color w:val="auto"/>
        </w:rPr>
      </w:pPr>
    </w:p>
    <w:p>
      <w:pPr>
        <w:ind w:left="94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down 10% in April 1999,</w:t>
      </w:r>
    </w:p>
    <w:p>
      <w:pPr>
        <w:spacing w:after="0" w:line="201" w:lineRule="exact"/>
        <w:rPr>
          <w:rFonts w:ascii="Courier New" w:cs="Courier New" w:eastAsia="Courier New" w:hAnsi="Courier New"/>
          <w:sz w:val="18"/>
          <w:szCs w:val="18"/>
          <w:color w:val="auto"/>
        </w:rPr>
      </w:pPr>
    </w:p>
    <w:p>
      <w:pPr>
        <w:ind w:left="94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down 2.6% in May 1999,</w:t>
      </w:r>
    </w:p>
    <w:p>
      <w:pPr>
        <w:spacing w:after="0" w:line="201" w:lineRule="exact"/>
        <w:rPr>
          <w:rFonts w:ascii="Courier New" w:cs="Courier New" w:eastAsia="Courier New" w:hAnsi="Courier New"/>
          <w:sz w:val="18"/>
          <w:szCs w:val="18"/>
          <w:color w:val="auto"/>
        </w:rPr>
      </w:pPr>
    </w:p>
    <w:p>
      <w:pPr>
        <w:ind w:left="94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down 3% in June 1999,</w:t>
      </w:r>
    </w:p>
    <w:p>
      <w:pPr>
        <w:spacing w:after="0" w:line="201" w:lineRule="exact"/>
        <w:rPr>
          <w:rFonts w:ascii="Courier New" w:cs="Courier New" w:eastAsia="Courier New" w:hAnsi="Courier New"/>
          <w:sz w:val="18"/>
          <w:szCs w:val="18"/>
          <w:color w:val="auto"/>
        </w:rPr>
      </w:pPr>
    </w:p>
    <w:p>
      <w:pPr>
        <w:ind w:left="1904" w:right="1779" w:hanging="948"/>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odown 11.2% in July 1999, despite the fact that U.S. retail sales generally at stores open at least one year rose by 6.7% in July 1999 according to the Lehman Brothers Inc. "Same Store Sales Index".</w:t>
      </w:r>
    </w:p>
    <w:p>
      <w:pPr>
        <w:spacing w:after="0" w:line="81" w:lineRule="exact"/>
        <w:rPr>
          <w:rFonts w:ascii="Courier New" w:cs="Courier New" w:eastAsia="Courier New" w:hAnsi="Courier New"/>
          <w:sz w:val="18"/>
          <w:szCs w:val="18"/>
          <w:color w:val="auto"/>
        </w:rPr>
      </w:pPr>
    </w:p>
    <w:p>
      <w:pPr>
        <w:ind w:left="94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DECREASE IN NET  WORTH</w:t>
      </w:r>
    </w:p>
    <w:p>
      <w:pPr>
        <w:spacing w:after="0" w:line="201" w:lineRule="exact"/>
        <w:rPr>
          <w:rFonts w:ascii="Courier New" w:cs="Courier New" w:eastAsia="Courier New" w:hAnsi="Courier New"/>
          <w:sz w:val="18"/>
          <w:szCs w:val="18"/>
          <w:color w:val="auto"/>
        </w:rPr>
      </w:pPr>
    </w:p>
    <w:p>
      <w:pPr>
        <w:jc w:val="both"/>
        <w:ind w:left="944" w:right="1779" w:hanging="944"/>
        <w:spacing w:after="0" w:line="250" w:lineRule="auto"/>
        <w:tabs>
          <w:tab w:leader="none" w:pos="9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decrease in the Company's net worth since Joel Reichman became CEO has been approximately $31.5 million, or more than 33%. JMI believes that Joel Reichman and the current Board of Directors should be held responsible for the Company going from being highly profitable to enormously unprofitable, and from being a financially sound company to where it is today. Rather than replacing members of senior management, the Board of Directors continues to retain the same highly paid individuals who, in JMI's view, have caused the Company's financial deterioration.</w:t>
      </w:r>
    </w:p>
    <w:p>
      <w:pPr>
        <w:spacing w:after="0" w:line="104" w:lineRule="exact"/>
        <w:rPr>
          <w:rFonts w:ascii="Courier New" w:cs="Courier New" w:eastAsia="Courier New" w:hAnsi="Courier New"/>
          <w:sz w:val="18"/>
          <w:szCs w:val="18"/>
          <w:color w:val="auto"/>
        </w:rPr>
      </w:pPr>
    </w:p>
    <w:p>
      <w:pPr>
        <w:ind w:left="3264" w:hanging="209"/>
        <w:spacing w:after="0"/>
        <w:tabs>
          <w:tab w:leader="none" w:pos="326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ectPr>
          <w:pgSz w:w="11900" w:h="16838" w:orient="portrait"/>
          <w:cols w:equalWidth="0" w:num="1">
            <w:col w:w="9263"/>
          </w:cols>
          <w:pgMar w:left="1196" w:top="691" w:right="1440" w:bottom="1440" w:gutter="0" w:footer="0" w:header="0"/>
        </w:sectPr>
      </w:pPr>
    </w:p>
    <w:bookmarkStart w:id="7" w:name="page8"/>
    <w:bookmarkEnd w:id="7"/>
    <w:p>
      <w:pPr>
        <w:jc w:val="right"/>
        <w:ind w:right="4099"/>
        <w:spacing w:after="0"/>
        <w:rPr>
          <w:sz w:val="20"/>
          <w:szCs w:val="20"/>
          <w:color w:val="auto"/>
        </w:rPr>
      </w:pPr>
      <w:r>
        <w:rPr>
          <w:rFonts w:ascii="Courier New" w:cs="Courier New" w:eastAsia="Courier New" w:hAnsi="Courier New"/>
          <w:sz w:val="18"/>
          <w:szCs w:val="18"/>
          <w:color w:val="auto"/>
        </w:rPr>
        <w:t>WHAT HAS THE BOARD OF DIRECTORS DONE</w:t>
      </w:r>
    </w:p>
    <w:p>
      <w:pPr>
        <w:spacing w:after="0" w:line="31"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WHILE STOCKHOLDER VALUE HAS ERODED?</w:t>
      </w:r>
    </w:p>
    <w:p>
      <w:pPr>
        <w:spacing w:after="0" w:line="169"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While stockholder value has plummeted under the leadership of Joel Reichman and the current Board of Directors, the Company's management continues to receive salaries and executive benefits at the same levels.</w:t>
      </w:r>
    </w:p>
    <w:p>
      <w:pPr>
        <w:spacing w:after="0" w:line="66" w:lineRule="exact"/>
        <w:rPr>
          <w:sz w:val="20"/>
          <w:szCs w:val="20"/>
          <w:color w:val="auto"/>
        </w:rPr>
      </w:pPr>
    </w:p>
    <w:p>
      <w:pPr>
        <w:jc w:val="both"/>
        <w:ind w:right="1779" w:firstLine="948"/>
        <w:spacing w:after="0" w:line="287" w:lineRule="auto"/>
        <w:rPr>
          <w:sz w:val="20"/>
          <w:szCs w:val="20"/>
          <w:color w:val="auto"/>
        </w:rPr>
      </w:pPr>
      <w:r>
        <w:rPr>
          <w:rFonts w:ascii="Courier New" w:cs="Courier New" w:eastAsia="Courier New" w:hAnsi="Courier New"/>
          <w:sz w:val="16"/>
          <w:szCs w:val="16"/>
          <w:color w:val="auto"/>
        </w:rPr>
        <w:t>Moreover, the current Directors, with the exception of Stanley Berger, own less than 1% of the outstanding Common Stock, and a substantial portion of the Directors' small ownership was given to them by the Company as director fees at no cost to them. After losing approximately $77 million in the past 2 1/4 years, JMI must ask how a responsible Board of Directors can fail to make a change in senior management. JMI believes part of the answer is that these Directors do not share your financial stake in the Company. With the exception of Stanley Berger, who has not been nominated for re-election, the Board of Directors and senior management have very little invested in the Company.</w:t>
      </w:r>
    </w:p>
    <w:p>
      <w:pPr>
        <w:spacing w:after="0" w:line="278" w:lineRule="exact"/>
        <w:rPr>
          <w:sz w:val="20"/>
          <w:szCs w:val="20"/>
          <w:color w:val="auto"/>
        </w:rPr>
      </w:pPr>
    </w:p>
    <w:p>
      <w:pPr>
        <w:ind w:left="1900" w:right="2939"/>
        <w:spacing w:after="0" w:line="347" w:lineRule="auto"/>
        <w:rPr>
          <w:sz w:val="20"/>
          <w:szCs w:val="20"/>
          <w:color w:val="auto"/>
        </w:rPr>
      </w:pPr>
      <w:r>
        <w:rPr>
          <w:rFonts w:ascii="Courier New" w:cs="Courier New" w:eastAsia="Courier New" w:hAnsi="Courier New"/>
          <w:sz w:val="18"/>
          <w:szCs w:val="18"/>
          <w:color w:val="auto"/>
        </w:rPr>
        <w:t>DIRECTORS RECENTLY ALLOCATE $3.4 MILLION TO BENEFIT MANAGEMENT</w:t>
      </w:r>
    </w:p>
    <w:p>
      <w:pPr>
        <w:spacing w:after="0" w:line="18" w:lineRule="exact"/>
        <w:rPr>
          <w:sz w:val="20"/>
          <w:szCs w:val="20"/>
          <w:color w:val="auto"/>
        </w:rPr>
      </w:pPr>
    </w:p>
    <w:p>
      <w:pPr>
        <w:jc w:val="both"/>
        <w:ind w:left="1900" w:right="1779" w:hanging="944"/>
        <w:spacing w:after="0" w:line="279" w:lineRule="auto"/>
        <w:tabs>
          <w:tab w:leader="none" w:pos="1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Borrow $2.3 Million To Benefit Joel Reichman and Two Other Executives. With the stated justification of retaining certain members of senior management, the Board of Directors borrowed $2.3 million in May to fund a Trust for the benefit of Joel Reichman and two other members of senior management. The Trust, which was created to pay for "golden parachutes" for Joel Reichman, Scott Semel, and Carolyn Faulkner and for other unknown items, has caused the Company to incur interest costs which JMI estimates will amount to approximately $15,000 per month or $90,000 for the initial six month period. These expenses do not include the additional costs of establishing and maintaining the Trust, which are unknown at this time. As far as JMI can determine, the Company has failed to file the Trust with the Securities and Exchange Commission or fully disclose the terms of the Trust to the shareholders.</w:t>
      </w:r>
    </w:p>
    <w:p>
      <w:pPr>
        <w:spacing w:after="0" w:line="291" w:lineRule="exact"/>
        <w:rPr>
          <w:rFonts w:ascii="Courier New" w:cs="Courier New" w:eastAsia="Courier New" w:hAnsi="Courier New"/>
          <w:sz w:val="16"/>
          <w:szCs w:val="16"/>
          <w:color w:val="auto"/>
        </w:rPr>
      </w:pPr>
    </w:p>
    <w:p>
      <w:pPr>
        <w:jc w:val="both"/>
        <w:ind w:left="1900" w:right="1779" w:hanging="944"/>
        <w:spacing w:after="0" w:line="26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Million For Other Executives. In April 1999, the Company disclosed that it had recently entered into additional agreements with "key associates" under which they could receive as much as $1.1 million from the Company under certain circumstances.</w:t>
      </w:r>
    </w:p>
    <w:p>
      <w:pPr>
        <w:spacing w:after="0" w:line="89" w:lineRule="exact"/>
        <w:rPr>
          <w:rFonts w:ascii="Courier New" w:cs="Courier New" w:eastAsia="Courier New" w:hAnsi="Courier New"/>
          <w:sz w:val="18"/>
          <w:szCs w:val="18"/>
          <w:color w:val="auto"/>
        </w:rPr>
      </w:pPr>
    </w:p>
    <w:p>
      <w:pPr>
        <w:jc w:val="both"/>
        <w:ind w:left="1900" w:right="1779" w:hanging="944"/>
        <w:spacing w:after="0" w:line="274"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current market capitalization of the Company, under these arrangements management could receive amounts totaling more than 13% of the total current market capitalization.</w:t>
      </w:r>
    </w:p>
    <w:p>
      <w:pPr>
        <w:spacing w:after="0" w:line="81"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10219"/>
          </w:cols>
          <w:pgMar w:left="240" w:top="691" w:right="1440" w:bottom="1440" w:gutter="0" w:footer="0" w:header="0"/>
        </w:sectPr>
      </w:pPr>
    </w:p>
    <w:bookmarkStart w:id="8" w:name="page9"/>
    <w:bookmarkEnd w:id="8"/>
    <w:p>
      <w:pPr>
        <w:ind w:left="1900"/>
        <w:spacing w:after="0"/>
        <w:rPr>
          <w:sz w:val="20"/>
          <w:szCs w:val="20"/>
          <w:color w:val="auto"/>
        </w:rPr>
      </w:pPr>
      <w:r>
        <w:rPr>
          <w:rFonts w:ascii="Courier New" w:cs="Courier New" w:eastAsia="Courier New" w:hAnsi="Courier New"/>
          <w:sz w:val="18"/>
          <w:szCs w:val="18"/>
          <w:color w:val="auto"/>
        </w:rPr>
        <w:t>EXECUTIVES RETAIN SALARIES AND PERQUISITES WHILE</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SHAREHOLDER VALUE DROPS</w:t>
      </w:r>
    </w:p>
    <w:p>
      <w:pPr>
        <w:spacing w:after="0" w:line="169" w:lineRule="exact"/>
        <w:rPr>
          <w:sz w:val="20"/>
          <w:szCs w:val="20"/>
          <w:color w:val="auto"/>
        </w:rPr>
      </w:pPr>
    </w:p>
    <w:p>
      <w:pPr>
        <w:jc w:val="both"/>
        <w:ind w:left="1900" w:right="1779" w:hanging="944"/>
        <w:spacing w:after="0" w:line="274"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Despite the Company's financial woes and the enormous decline in stock price, the Company's executives still maintain the same level of salaries, perquisites and amenities. Examples include:</w:t>
      </w:r>
    </w:p>
    <w:p>
      <w:pPr>
        <w:spacing w:after="0" w:line="8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Joel Reichman's $375,000 annual salary</w:t>
      </w:r>
    </w:p>
    <w:p>
      <w:pPr>
        <w:spacing w:after="0" w:line="30"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Scott Semel's $290,000 annual salary</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Carolyn Faulkner's $210,000 annual salary</w:t>
      </w:r>
    </w:p>
    <w:p>
      <w:pPr>
        <w:ind w:left="2860" w:right="1779" w:hanging="948"/>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 value of the vehicles owned by the Company (not counting the additional vehicles leased by the Company) has increased approximately 400% from $79,000 in 1994 to approximately $356,000 in 1998, while overall sales have declined by $100 million over the same period.</w:t>
      </w:r>
    </w:p>
    <w:p>
      <w:pPr>
        <w:spacing w:after="0" w:line="304" w:lineRule="exact"/>
        <w:rPr>
          <w:rFonts w:ascii="Courier New" w:cs="Courier New" w:eastAsia="Courier New" w:hAnsi="Courier New"/>
          <w:sz w:val="18"/>
          <w:szCs w:val="18"/>
          <w:color w:val="auto"/>
        </w:rPr>
      </w:pPr>
    </w:p>
    <w:p>
      <w:pPr>
        <w:ind w:left="1900" w:right="261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COMPANIES CONTROLLED BY DIRECTORS GRONINGER AND MANUEL PROFIT IN TRANSACTIONS WITH COMPANY</w:t>
      </w:r>
    </w:p>
    <w:p>
      <w:pPr>
        <w:spacing w:after="0" w:line="18" w:lineRule="exact"/>
        <w:rPr>
          <w:rFonts w:ascii="Courier New" w:cs="Courier New" w:eastAsia="Courier New" w:hAnsi="Courier New"/>
          <w:sz w:val="18"/>
          <w:szCs w:val="18"/>
          <w:color w:val="auto"/>
        </w:rPr>
      </w:pPr>
    </w:p>
    <w:p>
      <w:pPr>
        <w:jc w:val="both"/>
        <w:ind w:left="1900" w:right="1779" w:hanging="944"/>
        <w:spacing w:after="0" w:line="280" w:lineRule="auto"/>
        <w:tabs>
          <w:tab w:leader="none" w:pos="19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1994 and 1995, the Company paid $432,000 to a division of Cygne Design, Inc. ("Cygne"), a troubled private label apparel manufacturer, for merchandise to be sold by the Company through its new, and unsuccessful, Boston Trader label. The apparent strategy was for Cygne to become a supplier to the Company. The Boston Trader product line resulted in over $25 million in losses for the Company. Two of the architects of the unprofitable Boston Trader experiment, are Bernard Manuel and James Groninger, current members of the Company's Board of Directors and of the Special Committee created with the stated purpose of enhancing shareholder value. Bernard Manuel is also the principal shareholder and one of two directors of Cygne, with James Groninger, also a Cygne shareholder, being the only other director.</w:t>
      </w:r>
    </w:p>
    <w:p>
      <w:pPr>
        <w:spacing w:after="0" w:line="289" w:lineRule="exact"/>
        <w:rPr>
          <w:rFonts w:ascii="Courier New" w:cs="Courier New" w:eastAsia="Courier New" w:hAnsi="Courier New"/>
          <w:sz w:val="16"/>
          <w:szCs w:val="16"/>
          <w:color w:val="auto"/>
        </w:rPr>
      </w:pPr>
    </w:p>
    <w:p>
      <w:pPr>
        <w:jc w:val="both"/>
        <w:ind w:left="1900" w:right="1779" w:hanging="944"/>
        <w:spacing w:after="0" w:line="265"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Groninger, a Director of the Company, is also the President of the BaySouth Company. As far as JMI can determine, the Company apparently retained outside legal counsel to prepare its Poison Pill and then paid Bay South Company $29,000 just to review this legal document.</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RECENT STOCK TRADING</w:t>
      </w:r>
    </w:p>
    <w:p>
      <w:pPr>
        <w:spacing w:after="0" w:line="201"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On December 8, 1998 Carolyn Faulkner, the Company's Chief Financial Officer, or her husband purchased 12,000 shares of the Company's Common Stock, and on December 9 1998 the Company's Controller purchased 1,000 shares of the Company's Common Stock. Just a few days later, on December 11, 1998, the Company issued a press release announcing that</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691" w:right="1440" w:bottom="1440" w:gutter="0" w:footer="0" w:header="0"/>
        </w:sectPr>
      </w:pPr>
    </w:p>
    <w:bookmarkStart w:id="9" w:name="page10"/>
    <w:bookmarkEnd w:id="9"/>
    <w:p>
      <w:pPr>
        <w:jc w:val="both"/>
        <w:ind w:right="1779"/>
        <w:spacing w:after="0" w:line="260" w:lineRule="auto"/>
        <w:rPr>
          <w:sz w:val="20"/>
          <w:szCs w:val="20"/>
          <w:color w:val="auto"/>
        </w:rPr>
      </w:pPr>
      <w:r>
        <w:rPr>
          <w:rFonts w:ascii="Courier New" w:cs="Courier New" w:eastAsia="Courier New" w:hAnsi="Courier New"/>
          <w:sz w:val="18"/>
          <w:szCs w:val="18"/>
          <w:color w:val="auto"/>
        </w:rPr>
        <w:t>"its Board of Directors has formed a committee of independent outside directors to consider the Company's strategic alternatives, including a possible sale of the Company, with a view towards maximizing stockholder value in the near term. The Company has retained Shields &amp; Company, Inc. in this regard." Carolyn Faulkner previously owned only 1,000 shares of the Company's stock and had not purchased a single share for more than a year.</w:t>
      </w:r>
    </w:p>
    <w:p>
      <w:pPr>
        <w:spacing w:after="0" w:line="93"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Two weeks earlier, on November 23, 1998, Joel Reichman, President and Chief Executive Officer, and Scott Semel, Executive Vice President and General Counsel, purchased 10,000 and 5,000 shares of the Company's Common Stock, respectively, at prices of $0.88 to $0.94 per share. Given the timing of these trades, as eventually reported by the Company, did these Officers have any inside information which was not yet available to the general public?</w:t>
      </w:r>
    </w:p>
    <w:p>
      <w:pPr>
        <w:spacing w:after="0" w:line="93"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Information regarding the Company's results of operations, financial condition, management benefits and similar matters is taken from the Company's public filings and press releases, including its Form 10-K's, Form 10-Q's and Proxy Statements. Information regarding directors' interests in transactions with the Company and trading in Company stock by the Company's officers is taken from the same sources.</w:t>
      </w:r>
    </w:p>
    <w:p>
      <w:pPr>
        <w:spacing w:after="0" w:line="295" w:lineRule="exact"/>
        <w:rPr>
          <w:sz w:val="20"/>
          <w:szCs w:val="20"/>
          <w:color w:val="auto"/>
        </w:rPr>
      </w:pPr>
    </w:p>
    <w:p>
      <w:pPr>
        <w:ind w:left="960"/>
        <w:spacing w:after="0"/>
        <w:tabs>
          <w:tab w:leader="none" w:pos="3460" w:val="left"/>
        </w:tabs>
        <w:rPr>
          <w:sz w:val="20"/>
          <w:szCs w:val="20"/>
          <w:color w:val="auto"/>
        </w:rPr>
      </w:pPr>
      <w:r>
        <w:rPr>
          <w:rFonts w:ascii="Courier New" w:cs="Courier New" w:eastAsia="Courier New" w:hAnsi="Courier New"/>
          <w:sz w:val="18"/>
          <w:szCs w:val="18"/>
          <w:color w:val="auto"/>
        </w:rPr>
        <w:t>JMI'S STRATEGY TO SEEK</w:t>
      </w:r>
      <w:r>
        <w:rPr>
          <w:sz w:val="20"/>
          <w:szCs w:val="20"/>
          <w:color w:val="auto"/>
        </w:rPr>
        <w:tab/>
      </w:r>
      <w:r>
        <w:rPr>
          <w:rFonts w:ascii="Courier New" w:cs="Courier New" w:eastAsia="Courier New" w:hAnsi="Courier New"/>
          <w:sz w:val="16"/>
          <w:szCs w:val="16"/>
          <w:color w:val="auto"/>
        </w:rPr>
        <w:t>ENHANCED SHAREHOLDER VALUE</w:t>
      </w:r>
    </w:p>
    <w:p>
      <w:pPr>
        <w:spacing w:after="0" w:line="201" w:lineRule="exact"/>
        <w:rPr>
          <w:sz w:val="20"/>
          <w:szCs w:val="20"/>
          <w:color w:val="auto"/>
        </w:rPr>
      </w:pPr>
    </w:p>
    <w:p>
      <w:pPr>
        <w:jc w:val="both"/>
        <w:ind w:left="960" w:right="1779"/>
        <w:spacing w:after="0" w:line="265" w:lineRule="auto"/>
        <w:rPr>
          <w:sz w:val="20"/>
          <w:szCs w:val="20"/>
          <w:color w:val="auto"/>
        </w:rPr>
      </w:pPr>
      <w:r>
        <w:rPr>
          <w:rFonts w:ascii="Courier New" w:cs="Courier New" w:eastAsia="Courier New" w:hAnsi="Courier New"/>
          <w:sz w:val="18"/>
          <w:szCs w:val="18"/>
          <w:color w:val="auto"/>
        </w:rPr>
        <w:t>If the JMI Nominees are elected as Directors of the Company, they intend to immediately take steps seeking to enhance shareholder value, including those summarized below. Of course, there can be no assurance that any of those steps will ultimately be successful or will necessarily enhance shareholder value.:</w:t>
      </w:r>
    </w:p>
    <w:p>
      <w:pPr>
        <w:spacing w:after="0" w:line="90" w:lineRule="exact"/>
        <w:rPr>
          <w:sz w:val="20"/>
          <w:szCs w:val="20"/>
          <w:color w:val="auto"/>
        </w:rPr>
      </w:pPr>
    </w:p>
    <w:p>
      <w:pPr>
        <w:jc w:val="both"/>
        <w:ind w:left="1900" w:right="1779" w:hanging="944"/>
        <w:spacing w:after="0" w:line="249"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to Reduce Overhead - The JMI Nominees intend to cause the Company to engage the services of the public accounting and consulting firm of Deloitte &amp; Touche, LLP to assist in developing strategies to reduce overhead so that the Company can seek a sustainable competitive advantage. Although the JMI Nominees have not pursued this with Deloitte &amp; Touche in this regard, based on their preliminary review of publicly available information about the Company and the retail sales and other business experience of many of the JMI Nominees, they expect that possible areas of savings could include the following:</w:t>
      </w:r>
    </w:p>
    <w:p>
      <w:pPr>
        <w:spacing w:after="0" w:line="103" w:lineRule="exact"/>
        <w:rPr>
          <w:rFonts w:ascii="Courier New" w:cs="Courier New" w:eastAsia="Courier New" w:hAnsi="Courier New"/>
          <w:sz w:val="18"/>
          <w:szCs w:val="18"/>
          <w:color w:val="auto"/>
        </w:rPr>
      </w:pPr>
    </w:p>
    <w:p>
      <w:pPr>
        <w:jc w:val="both"/>
        <w:ind w:left="2860" w:right="1779" w:hanging="956"/>
        <w:spacing w:after="0" w:line="282" w:lineRule="auto"/>
        <w:tabs>
          <w:tab w:leader="none" w:pos="28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reduce the size of the Company's corporate office space, together with a commensurate reduction in personnel and other office overhead.</w:t>
      </w:r>
    </w:p>
    <w:p>
      <w:pPr>
        <w:ind w:left="2860" w:right="1779" w:hanging="956"/>
        <w:spacing w:after="0" w:line="238"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warehouse expenses by shipping merchandise directly to store locations.</w:t>
      </w:r>
    </w:p>
    <w:p>
      <w:pPr>
        <w:jc w:val="both"/>
        <w:ind w:left="2860" w:right="1779" w:hanging="956"/>
        <w:spacing w:after="0" w:line="238"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all company vehicles and institute a mileage reimbursement program for business related travel.</w:t>
      </w:r>
    </w:p>
    <w:p>
      <w:pPr>
        <w:spacing w:after="0" w:line="1" w:lineRule="exact"/>
        <w:rPr>
          <w:rFonts w:ascii="Courier New" w:cs="Courier New" w:eastAsia="Courier New" w:hAnsi="Courier New"/>
          <w:sz w:val="18"/>
          <w:szCs w:val="18"/>
          <w:color w:val="auto"/>
        </w:rPr>
      </w:pPr>
    </w:p>
    <w:p>
      <w:pPr>
        <w:jc w:val="both"/>
        <w:ind w:left="2860" w:right="1779" w:hanging="956"/>
        <w:spacing w:after="0" w:line="238"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 corporate expenses relating to travel, lodging, and attending conferences, conventions and trade shows.</w:t>
      </w:r>
    </w:p>
    <w:p>
      <w:pPr>
        <w:spacing w:after="0" w:line="1" w:lineRule="exact"/>
        <w:rPr>
          <w:rFonts w:ascii="Courier New" w:cs="Courier New" w:eastAsia="Courier New" w:hAnsi="Courier New"/>
          <w:sz w:val="18"/>
          <w:szCs w:val="18"/>
          <w:color w:val="auto"/>
        </w:rPr>
      </w:pPr>
    </w:p>
    <w:p>
      <w:pPr>
        <w:jc w:val="both"/>
        <w:ind w:left="2860" w:right="1779" w:hanging="956"/>
        <w:spacing w:after="0" w:line="238"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reduce recurring legal, investment banking and other professional and consulting fees relating to the ongoing operation of the business (recognizing that additional fees could be incurred in connection with any potential sale of the Company or other extraordinary transaction).</w:t>
      </w:r>
    </w:p>
    <w:p>
      <w:pPr>
        <w:spacing w:after="0" w:line="2" w:lineRule="exact"/>
        <w:rPr>
          <w:rFonts w:ascii="Courier New" w:cs="Courier New" w:eastAsia="Courier New" w:hAnsi="Courier New"/>
          <w:sz w:val="18"/>
          <w:szCs w:val="18"/>
          <w:color w:val="auto"/>
        </w:rPr>
      </w:pPr>
    </w:p>
    <w:p>
      <w:pPr>
        <w:ind w:left="2860" w:right="1779" w:hanging="956"/>
        <w:spacing w:after="0" w:line="309"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number of buyers since the Company has essentially only one</w:t>
      </w:r>
    </w:p>
    <w:p>
      <w:pPr>
        <w:spacing w:after="0" w:line="50"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w:t>
      </w:r>
    </w:p>
    <w:p>
      <w:pPr>
        <w:sectPr>
          <w:pgSz w:w="11900" w:h="16838" w:orient="portrait"/>
          <w:cols w:equalWidth="0" w:num="1">
            <w:col w:w="10219"/>
          </w:cols>
          <w:pgMar w:left="240" w:top="691" w:right="1440" w:bottom="1440" w:gutter="0" w:footer="0" w:header="0"/>
        </w:sectPr>
      </w:pPr>
    </w:p>
    <w:bookmarkStart w:id="10" w:name="page11"/>
    <w:bookmarkEnd w:id="10"/>
    <w:p>
      <w:pPr>
        <w:jc w:val="both"/>
        <w:ind w:left="1904" w:right="1779"/>
        <w:spacing w:after="0" w:line="247" w:lineRule="auto"/>
        <w:rPr>
          <w:sz w:val="20"/>
          <w:szCs w:val="20"/>
          <w:color w:val="auto"/>
        </w:rPr>
      </w:pPr>
      <w:r>
        <w:rPr>
          <w:rFonts w:ascii="Courier New" w:cs="Courier New" w:eastAsia="Courier New" w:hAnsi="Courier New"/>
          <w:sz w:val="18"/>
          <w:szCs w:val="18"/>
          <w:color w:val="auto"/>
        </w:rPr>
        <w:t>supplier of merchandise. Based on historical performance information, the Company had been, and in the opinion of JMI's Nominees should again be, able to run a low overhead operation.</w:t>
      </w:r>
    </w:p>
    <w:p>
      <w:pPr>
        <w:spacing w:after="0" w:line="3" w:lineRule="exact"/>
        <w:rPr>
          <w:sz w:val="20"/>
          <w:szCs w:val="20"/>
          <w:color w:val="auto"/>
        </w:rPr>
      </w:pPr>
    </w:p>
    <w:p>
      <w:pPr>
        <w:ind w:left="1904" w:right="1779" w:hanging="956"/>
        <w:spacing w:after="0" w:line="309" w:lineRule="auto"/>
        <w:tabs>
          <w:tab w:leader="none" w:pos="190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in-house legal staff. 8. Maintain better inventory management.</w:t>
      </w:r>
    </w:p>
    <w:p>
      <w:pPr>
        <w:spacing w:after="0" w:line="51" w:lineRule="exact"/>
        <w:rPr>
          <w:sz w:val="20"/>
          <w:szCs w:val="20"/>
          <w:color w:val="auto"/>
        </w:rPr>
      </w:pPr>
    </w:p>
    <w:p>
      <w:pPr>
        <w:jc w:val="both"/>
        <w:ind w:left="944" w:right="1779" w:hanging="944"/>
        <w:spacing w:after="0" w:line="250" w:lineRule="auto"/>
        <w:tabs>
          <w:tab w:leader="none" w:pos="94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Anti-Takeover Provisions - Provisions of the Company's By-Laws and Certificate of Incorporation which in JMI's view may discourage acquisition transactions, including the provision prohibiting shareholders from calling special meetings as well as the Poison Pill, will be removed and the provision requiring advance notice of shareholder proposals will be made less stringent. The JMI Nominees believe that many people in the financial community view such anti-takeover provisions with disfavor and think they may have a negative impact on stock value.</w:t>
      </w:r>
    </w:p>
    <w:p>
      <w:pPr>
        <w:spacing w:after="0" w:line="104" w:lineRule="exact"/>
        <w:rPr>
          <w:rFonts w:ascii="Courier New" w:cs="Courier New" w:eastAsia="Courier New" w:hAnsi="Courier New"/>
          <w:sz w:val="18"/>
          <w:szCs w:val="18"/>
          <w:color w:val="auto"/>
        </w:rPr>
      </w:pPr>
    </w:p>
    <w:p>
      <w:pPr>
        <w:jc w:val="both"/>
        <w:ind w:left="944" w:right="1779" w:hanging="944"/>
        <w:spacing w:after="0" w:line="278" w:lineRule="auto"/>
        <w:tabs>
          <w:tab w:leader="none" w:pos="9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 a Stock Repurchase Program - The JMI Nominees intend to cause the Company to initiate a stock repurchase program to purchase five million (5,000,000) shares of Common Stock. JMI would undertake not to sell any of its shares under the Company's stock repurchase program, giving other shareholders an opportunity to sell more of their shares if they choose to do so. In the context of JMI's prior interest in acquiring the Company, JMI obtained three preliminary financing proposals that would provide for a stock repurchase program and adequate working capital for the Company, and on that basis JMI believes that similar financing would be available from the same sources for a stock repurchase program of the type contemplated if the JMI Nominees are elected (which would require a lower level of borrowing). See "Credit Agreement" below. However, there can no assurance that such a repurchase program can be financed or successfully pursued.</w:t>
      </w:r>
    </w:p>
    <w:p>
      <w:pPr>
        <w:spacing w:after="0" w:line="294" w:lineRule="exact"/>
        <w:rPr>
          <w:rFonts w:ascii="Courier New" w:cs="Courier New" w:eastAsia="Courier New" w:hAnsi="Courier New"/>
          <w:sz w:val="16"/>
          <w:szCs w:val="16"/>
          <w:color w:val="auto"/>
        </w:rPr>
      </w:pPr>
    </w:p>
    <w:p>
      <w:pPr>
        <w:jc w:val="both"/>
        <w:ind w:left="944" w:right="1779" w:hanging="944"/>
        <w:spacing w:after="0" w:line="244" w:lineRule="auto"/>
        <w:tabs>
          <w:tab w:leader="none" w:pos="94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Potential for Sale of the Company - Beginning in December 1998, the current Board publicly committed to sell the Company at the highest available price in the near term. In response JMI, among others, pursued discussions regarding a potential acquisition of the Company, from which JMI ultimately withdrew (See "Background of JMI's Investment in Designs, Inc." below). The Company has said that the process announced by the current Board did not produce any offers from any potential acquiror other than JMI. However, the JMI Nominees are not confident that the present Board was fully committed to a prompt sale process, and they do not know what other opportunities, if any, may have existed or the circumstances that may have affected the development of other offers. If other bidders encountered the type of difficulties JMI believes it faced in pursuing diligence relating to its own proposal, they may have been discouraged from pursuing a transaction. Moreover, it may be that conditions or the perception of potential acquirors are subject to change. Accordingly, if</w:t>
      </w:r>
    </w:p>
    <w:p>
      <w:pPr>
        <w:spacing w:after="0" w:line="112" w:lineRule="exact"/>
        <w:rPr>
          <w:rFonts w:ascii="Courier New" w:cs="Courier New" w:eastAsia="Courier New" w:hAnsi="Courier New"/>
          <w:sz w:val="18"/>
          <w:szCs w:val="18"/>
          <w:color w:val="auto"/>
        </w:rPr>
      </w:pPr>
    </w:p>
    <w:p>
      <w:pPr>
        <w:ind w:left="3164" w:hanging="214"/>
        <w:spacing w:after="0"/>
        <w:tabs>
          <w:tab w:leader="none" w:pos="3164"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ectPr>
          <w:pgSz w:w="11900" w:h="16838" w:orient="portrait"/>
          <w:cols w:equalWidth="0" w:num="1">
            <w:col w:w="9263"/>
          </w:cols>
          <w:pgMar w:left="1196" w:top="691" w:right="1440" w:bottom="1440" w:gutter="0" w:footer="0" w:header="0"/>
        </w:sectPr>
      </w:pPr>
    </w:p>
    <w:bookmarkStart w:id="11" w:name="page12"/>
    <w:bookmarkEnd w:id="11"/>
    <w:p>
      <w:pPr>
        <w:jc w:val="both"/>
        <w:ind w:left="1900" w:right="1779"/>
        <w:spacing w:after="0" w:line="289" w:lineRule="auto"/>
        <w:rPr>
          <w:sz w:val="20"/>
          <w:szCs w:val="20"/>
          <w:color w:val="auto"/>
        </w:rPr>
      </w:pPr>
      <w:r>
        <w:rPr>
          <w:rFonts w:ascii="Courier New" w:cs="Courier New" w:eastAsia="Courier New" w:hAnsi="Courier New"/>
          <w:sz w:val="16"/>
          <w:szCs w:val="16"/>
          <w:color w:val="auto"/>
        </w:rPr>
        <w:t>elected the JMI Nominees would revaluate the possibility of a sale of the Company to enhance value for all shareholders. Among other things, the JMI Nominees intend to promptly retain a New York investment banking firm for that purpose. Any reasonable offer to purchase the Company will be submitted to the shareholders for their vote. Of course, there can be no assurance that any effort by the JMI Nominees in this regard would be successful in identifying and completing a sale.</w:t>
      </w:r>
    </w:p>
    <w:p>
      <w:pPr>
        <w:spacing w:after="0" w:line="77" w:lineRule="exact"/>
        <w:rPr>
          <w:sz w:val="20"/>
          <w:szCs w:val="20"/>
          <w:color w:val="auto"/>
        </w:rPr>
      </w:pPr>
    </w:p>
    <w:p>
      <w:pPr>
        <w:jc w:val="both"/>
        <w:ind w:left="1900" w:right="1779"/>
        <w:spacing w:after="0" w:line="265" w:lineRule="auto"/>
        <w:rPr>
          <w:sz w:val="20"/>
          <w:szCs w:val="20"/>
          <w:color w:val="auto"/>
        </w:rPr>
      </w:pPr>
      <w:r>
        <w:rPr>
          <w:rFonts w:ascii="Courier New" w:cs="Courier New" w:eastAsia="Courier New" w:hAnsi="Courier New"/>
          <w:sz w:val="18"/>
          <w:szCs w:val="18"/>
          <w:color w:val="auto"/>
        </w:rPr>
        <w:t>If the JMI Nominees find that a sincere and committed effort does not produce a sale transaction on appropriate terms, they intend to continue a strategy to improve the Company's performance and enhance shareholder value going forward, including the other steps outlined above.</w:t>
      </w:r>
    </w:p>
    <w:p>
      <w:pPr>
        <w:spacing w:after="0" w:line="90" w:lineRule="exact"/>
        <w:rPr>
          <w:sz w:val="20"/>
          <w:szCs w:val="20"/>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In each case, the JMI Nominees cannot be certain that the steps described can be successfully implemented or will have the intended effect, However, they believe that a new Board of Directors will provide stockholders who are disappointed with the performance of current management with an alternative to seek to enhance shareholder value. JMI is seeking votes from the holders of shares of Common Stock (i) to elect the JMI Nominees to the Board of Directors of the Company and (ii) to adopt the proposal to terminate the Poison Pill. JMI believes that the members of the existing Board of Directors have failed to enhance shareholder value and RECOMMENDS THAT YOU VOTE FOR EACH OF ITS PROPOSALS.</w:t>
      </w:r>
    </w:p>
    <w:p>
      <w:pPr>
        <w:spacing w:after="0" w:line="1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JMI'S PROPOSALS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Termination of Poison Pill</w:t>
      </w:r>
    </w:p>
    <w:p>
      <w:pPr>
        <w:spacing w:after="0" w:line="201" w:lineRule="exact"/>
        <w:rPr>
          <w:sz w:val="20"/>
          <w:szCs w:val="20"/>
          <w:color w:val="auto"/>
        </w:rPr>
      </w:pPr>
    </w:p>
    <w:p>
      <w:pPr>
        <w:jc w:val="both"/>
        <w:ind w:right="1779" w:firstLine="948"/>
        <w:spacing w:after="0" w:line="252" w:lineRule="auto"/>
        <w:rPr>
          <w:sz w:val="20"/>
          <w:szCs w:val="20"/>
          <w:color w:val="auto"/>
        </w:rPr>
      </w:pPr>
      <w:r>
        <w:rPr>
          <w:rFonts w:ascii="Courier New" w:cs="Courier New" w:eastAsia="Courier New" w:hAnsi="Courier New"/>
          <w:sz w:val="18"/>
          <w:szCs w:val="18"/>
          <w:color w:val="auto"/>
        </w:rPr>
        <w:t>On May 1, 1995, the current Board of Directors of the Company adopted a Poison Pill. According to the Poison Pill, if a person either (i) acquires the beneficial ownership of 15% or more of the Company's Common Stock (an "Acquiring Person") or (ii) acquires the beneficial ownership of 10% or more of the outstanding shares of Common Stock and is declared to be an "Adverse Person" by the Board of Directors (an "Adverse Person"), all shareholders, with the exception of the Acquiring Person or Adverse Person, can exercise certain rights under the Poison Pill that will substantially diminish the voting and ownership rights of the Acquiring Person or Adverse Person.</w:t>
      </w:r>
    </w:p>
    <w:p>
      <w:pPr>
        <w:spacing w:after="0" w:line="99" w:lineRule="exact"/>
        <w:rPr>
          <w:sz w:val="20"/>
          <w:szCs w:val="20"/>
          <w:color w:val="auto"/>
        </w:rPr>
      </w:pPr>
    </w:p>
    <w:p>
      <w:pPr>
        <w:jc w:val="both"/>
        <w:ind w:right="1779" w:firstLine="948"/>
        <w:spacing w:after="0" w:line="250" w:lineRule="auto"/>
        <w:rPr>
          <w:sz w:val="20"/>
          <w:szCs w:val="20"/>
          <w:color w:val="auto"/>
        </w:rPr>
      </w:pPr>
      <w:r>
        <w:rPr>
          <w:rFonts w:ascii="Courier New" w:cs="Courier New" w:eastAsia="Courier New" w:hAnsi="Courier New"/>
          <w:sz w:val="18"/>
          <w:szCs w:val="18"/>
          <w:color w:val="auto"/>
        </w:rPr>
        <w:t>JMI believes that the Poison Pill is an impediment to the sale of the Company and serves to perpetuate the incumbency of the Board of Directors and management. The limited changes to the Poison Pill recently implemented by the Company's Board in the context of JMI's possible acquisition of the Company do not appear to JMI to eliminate this concern. Certain of those changes are specific just to JMI and its prior proposal. The other changes appear to create a very limited Poison Pill exception which expires in less than three months (on November 7, 1999). Even during that brief period the exception would apply only to limited types of offers on particular terms (i.e., all cash tender offers for any and all shares at a price of not less than</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691" w:right="1440" w:bottom="1440" w:gutter="0" w:footer="0" w:header="0"/>
        </w:sectPr>
      </w:pPr>
    </w:p>
    <w:bookmarkStart w:id="12" w:name="page13"/>
    <w:bookmarkEnd w:id="12"/>
    <w:p>
      <w:pPr>
        <w:jc w:val="both"/>
        <w:ind w:right="1779"/>
        <w:spacing w:after="0" w:line="260" w:lineRule="auto"/>
        <w:rPr>
          <w:sz w:val="20"/>
          <w:szCs w:val="20"/>
          <w:color w:val="auto"/>
        </w:rPr>
      </w:pPr>
      <w:r>
        <w:rPr>
          <w:rFonts w:ascii="Courier New" w:cs="Courier New" w:eastAsia="Courier New" w:hAnsi="Courier New"/>
          <w:sz w:val="18"/>
          <w:szCs w:val="18"/>
          <w:color w:val="auto"/>
        </w:rPr>
        <w:t>$3.65 per share and irrevocably committing to effect a second-step merger on stated terms). In JMI's opinion, the Poison Pill may have the effect of discouraging efforts to acquire the Company that might be beneficial to, and supported by, a majority of shareholders. The following proposal would recommend that the Board of Directors of the Company terminate the Poison Pill. The text of the resolution is as follows:</w:t>
      </w:r>
    </w:p>
    <w:p>
      <w:pPr>
        <w:spacing w:after="0" w:line="93" w:lineRule="exact"/>
        <w:rPr>
          <w:sz w:val="20"/>
          <w:szCs w:val="20"/>
          <w:color w:val="auto"/>
        </w:rPr>
      </w:pPr>
    </w:p>
    <w:p>
      <w:pPr>
        <w:jc w:val="both"/>
        <w:ind w:left="960" w:right="1779" w:firstLine="948"/>
        <w:spacing w:after="0" w:line="274" w:lineRule="auto"/>
        <w:rPr>
          <w:sz w:val="20"/>
          <w:szCs w:val="20"/>
          <w:color w:val="auto"/>
        </w:rPr>
      </w:pPr>
      <w:r>
        <w:rPr>
          <w:rFonts w:ascii="Courier New" w:cs="Courier New" w:eastAsia="Courier New" w:hAnsi="Courier New"/>
          <w:sz w:val="18"/>
          <w:szCs w:val="18"/>
          <w:color w:val="auto"/>
        </w:rPr>
        <w:t>"RESOLVED, it is recommended that the Board of Directors of the Company take the necessary steps to terminate the Company's Shareholder Rights Agreement dated as of May 1, 1995, together with any amendments thereto."</w:t>
      </w:r>
    </w:p>
    <w:p>
      <w:pPr>
        <w:spacing w:after="0" w:line="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jc w:val="both"/>
        <w:ind w:right="1779" w:firstLine="1896"/>
        <w:spacing w:after="0" w:line="276" w:lineRule="auto"/>
        <w:rPr>
          <w:sz w:val="20"/>
          <w:szCs w:val="20"/>
          <w:color w:val="auto"/>
        </w:rPr>
      </w:pPr>
      <w:r>
        <w:rPr>
          <w:rFonts w:ascii="Courier New" w:cs="Courier New" w:eastAsia="Courier New" w:hAnsi="Courier New"/>
          <w:sz w:val="16"/>
          <w:szCs w:val="16"/>
          <w:color w:val="auto"/>
        </w:rPr>
        <w:t>The Board of Directors of the Company currently consists of six members, each of which shall hold office until the Annual Meeting and until his successor is elected and qualified. According to the preliminary proxy statement filed by the Company's management, the current Board of Directors has determined that the Board of Directors to be elected at the Annual Meeting shall consist of only five members. The Directors elected at the Annual Meeting will serve until the 2000 Annual Meeting of Stockholders and until their respective successors are elected and qualified. JMI is soliciting your proxy at the Annual Meeting for the election of Jesse H. Choper, Joseph Pennacchio, John J. Schultz, Robert L. Patron and Jeremiah P. Murphy, Jr. to the Board of Directors of the Company. If they are elected to the Board, the five current JMI nominees intend to vote to expand the Board to six members and elect Peter R. McMullin to fill the resulting vacancy. Mr. McMullin has agreed to serve if so elected. Accordingly, information concerning Mr. McMullin is included below, and unless otherwise noted all general statements concerning the JMI Nominees also apply to Mr. McMullin. (As noted above, if elected to the Board of Directors, the JMI Nominees also expect to seek to invite Stanley Berger, the Founder, current Chairman of the Board of Directors and former Chief Executive Officer of the Company to rejoin the Board. There can be no assurance that Mr. Berger would agree to serve as a member of the Board if asked.)</w:t>
      </w:r>
    </w:p>
    <w:p>
      <w:pPr>
        <w:spacing w:after="0" w:line="29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CERTAIN OTHER INFORMATION REGARDING JMI AND THE JMI NOMINEES</w:t>
      </w:r>
    </w:p>
    <w:p>
      <w:pPr>
        <w:spacing w:after="0" w:line="201" w:lineRule="exact"/>
        <w:rPr>
          <w:sz w:val="20"/>
          <w:szCs w:val="20"/>
          <w:color w:val="auto"/>
        </w:rPr>
      </w:pPr>
    </w:p>
    <w:p>
      <w:pPr>
        <w:jc w:val="both"/>
        <w:ind w:right="1779" w:firstLine="1896"/>
        <w:spacing w:after="0" w:line="260" w:lineRule="auto"/>
        <w:rPr>
          <w:sz w:val="20"/>
          <w:szCs w:val="20"/>
          <w:color w:val="auto"/>
        </w:rPr>
      </w:pPr>
      <w:r>
        <w:rPr>
          <w:rFonts w:ascii="Courier New" w:cs="Courier New" w:eastAsia="Courier New" w:hAnsi="Courier New"/>
          <w:sz w:val="18"/>
          <w:szCs w:val="18"/>
          <w:color w:val="auto"/>
        </w:rPr>
        <w:t>Set forth below are the name, age, business address, present principal occupation and employment history of each of the JMI Nominees and Mr. McMullin for at least the past five years. This information has been furnished to JMI by the respective Nominees. Each of the Nominees is at least 18 years of age. None of the entities referenced below is a parent or subsidiary of the Company.</w:t>
      </w:r>
    </w:p>
    <w:p>
      <w:pPr>
        <w:spacing w:after="0" w:line="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69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96"/>
        </w:trPr>
        <w:tc>
          <w:tcPr>
            <w:tcW w:w="3280" w:type="dxa"/>
            <w:vAlign w:val="bottom"/>
          </w:tcPr>
          <w:p>
            <w:pPr>
              <w:spacing w:after="0"/>
              <w:rPr>
                <w:sz w:val="24"/>
                <w:szCs w:val="24"/>
                <w:color w:val="auto"/>
              </w:rPr>
            </w:pPr>
          </w:p>
        </w:tc>
        <w:tc>
          <w:tcPr>
            <w:tcW w:w="15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JMI NOMINEES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80" w:type="dxa"/>
            <w:vAlign w:val="bottom"/>
          </w:tcPr>
          <w:p>
            <w:pPr>
              <w:spacing w:after="0"/>
              <w:rPr>
                <w:sz w:val="20"/>
                <w:szCs w:val="20"/>
                <w:color w:val="auto"/>
              </w:rPr>
            </w:pPr>
            <w:r>
              <w:rPr>
                <w:rFonts w:ascii="Courier New" w:cs="Courier New" w:eastAsia="Courier New" w:hAnsi="Courier New"/>
                <w:sz w:val="18"/>
                <w:szCs w:val="18"/>
                <w:color w:val="auto"/>
              </w:rPr>
              <w:t>Name, Age and</w:t>
            </w:r>
          </w:p>
        </w:tc>
        <w:tc>
          <w:tcPr>
            <w:tcW w:w="5360" w:type="dxa"/>
            <w:vAlign w:val="bottom"/>
            <w:gridSpan w:val="11"/>
            <w:vMerge w:val="restart"/>
          </w:tcPr>
          <w:p>
            <w:pPr>
              <w:ind w:left="740"/>
              <w:spacing w:after="0"/>
              <w:rPr>
                <w:sz w:val="20"/>
                <w:szCs w:val="20"/>
                <w:color w:val="auto"/>
              </w:rPr>
            </w:pPr>
            <w:r>
              <w:rPr>
                <w:rFonts w:ascii="Courier New" w:cs="Courier New" w:eastAsia="Courier New" w:hAnsi="Courier New"/>
                <w:sz w:val="18"/>
                <w:szCs w:val="18"/>
                <w:color w:val="auto"/>
              </w:rPr>
              <w:t>Principal Occupation and Five Year History</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Address</w:t>
            </w:r>
          </w:p>
        </w:tc>
        <w:tc>
          <w:tcPr>
            <w:tcW w:w="536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5360" w:type="dxa"/>
            <w:vAlign w:val="bottom"/>
            <w:gridSpan w:val="11"/>
          </w:tcPr>
          <w:p>
            <w:pPr>
              <w:ind w:left="9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280" w:type="dxa"/>
            <w:vAlign w:val="bottom"/>
          </w:tcPr>
          <w:p>
            <w:pPr>
              <w:spacing w:after="0"/>
              <w:rPr>
                <w:sz w:val="20"/>
                <w:szCs w:val="20"/>
                <w:color w:val="auto"/>
              </w:rPr>
            </w:pPr>
            <w:r>
              <w:rPr>
                <w:rFonts w:ascii="Courier New" w:cs="Courier New" w:eastAsia="Courier New" w:hAnsi="Courier New"/>
                <w:sz w:val="18"/>
                <w:szCs w:val="18"/>
                <w:color w:val="auto"/>
              </w:rPr>
              <w:t>John J. Schultz, 62</w:t>
            </w:r>
          </w:p>
        </w:tc>
        <w:tc>
          <w:tcPr>
            <w:tcW w:w="5360" w:type="dxa"/>
            <w:vAlign w:val="bottom"/>
            <w:gridSpan w:val="11"/>
          </w:tcPr>
          <w:p>
            <w:pPr>
              <w:ind w:left="740"/>
              <w:spacing w:after="0"/>
              <w:rPr>
                <w:sz w:val="20"/>
                <w:szCs w:val="20"/>
                <w:color w:val="auto"/>
              </w:rPr>
            </w:pPr>
            <w:r>
              <w:rPr>
                <w:rFonts w:ascii="Courier New" w:cs="Courier New" w:eastAsia="Courier New" w:hAnsi="Courier New"/>
                <w:sz w:val="18"/>
                <w:szCs w:val="18"/>
                <w:color w:val="auto"/>
              </w:rPr>
              <w:t>Mr. Schultz, who has more than thirty-five</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142 Wilton Road West</w:t>
            </w:r>
          </w:p>
        </w:tc>
        <w:tc>
          <w:tcPr>
            <w:tcW w:w="3780" w:type="dxa"/>
            <w:vAlign w:val="bottom"/>
            <w:gridSpan w:val="8"/>
          </w:tcPr>
          <w:p>
            <w:pPr>
              <w:ind w:left="740"/>
              <w:spacing w:after="0" w:line="203" w:lineRule="exact"/>
              <w:rPr>
                <w:sz w:val="20"/>
                <w:szCs w:val="20"/>
                <w:color w:val="auto"/>
              </w:rPr>
            </w:pPr>
            <w:r>
              <w:rPr>
                <w:rFonts w:ascii="Courier New" w:cs="Courier New" w:eastAsia="Courier New" w:hAnsi="Courier New"/>
                <w:sz w:val="18"/>
                <w:szCs w:val="18"/>
                <w:color w:val="auto"/>
              </w:rPr>
              <w:t>years of retail experience,</w:t>
            </w:r>
          </w:p>
        </w:tc>
        <w:tc>
          <w:tcPr>
            <w:tcW w:w="15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has served as</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Ridgefield, CT 06877</w:t>
            </w: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w:t>
            </w:r>
          </w:p>
        </w:tc>
        <w:tc>
          <w:tcPr>
            <w:tcW w:w="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active</w:t>
            </w:r>
          </w:p>
        </w:tc>
        <w:tc>
          <w:tcPr>
            <w:tcW w:w="15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consultant</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retail</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4"/>
              </w:rPr>
              <w:t>industry</w:t>
            </w:r>
          </w:p>
        </w:tc>
        <w:tc>
          <w:tcPr>
            <w:tcW w:w="300" w:type="dxa"/>
            <w:vAlign w:val="bottom"/>
          </w:tcPr>
          <w:p>
            <w:pPr>
              <w:spacing w:after="0"/>
              <w:rPr>
                <w:sz w:val="17"/>
                <w:szCs w:val="17"/>
                <w:color w:val="auto"/>
              </w:rPr>
            </w:pPr>
          </w:p>
        </w:tc>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since</w:t>
            </w:r>
          </w:p>
        </w:tc>
        <w:tc>
          <w:tcPr>
            <w:tcW w:w="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1993,</w:t>
            </w:r>
          </w:p>
        </w:tc>
        <w:tc>
          <w:tcPr>
            <w:tcW w:w="1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dealing</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360" w:type="dxa"/>
            <w:vAlign w:val="bottom"/>
            <w:gridSpan w:val="11"/>
          </w:tcPr>
          <w:p>
            <w:pPr>
              <w:ind w:left="740"/>
              <w:spacing w:after="0" w:line="203" w:lineRule="exact"/>
              <w:rPr>
                <w:sz w:val="20"/>
                <w:szCs w:val="20"/>
                <w:color w:val="auto"/>
              </w:rPr>
            </w:pPr>
            <w:r>
              <w:rPr>
                <w:rFonts w:ascii="Courier New" w:cs="Courier New" w:eastAsia="Courier New" w:hAnsi="Courier New"/>
                <w:sz w:val="18"/>
                <w:szCs w:val="18"/>
                <w:color w:val="auto"/>
              </w:rPr>
              <w:t>virtually all major segments of the retail</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88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industry.</w:t>
            </w:r>
          </w:p>
        </w:tc>
        <w:tc>
          <w:tcPr>
            <w:tcW w:w="1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From 1991 to 1993,</w:t>
            </w:r>
          </w:p>
        </w:tc>
        <w:tc>
          <w:tcPr>
            <w:tcW w:w="15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Mr. Schultz</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360" w:type="dxa"/>
            <w:vAlign w:val="bottom"/>
            <w:gridSpan w:val="11"/>
          </w:tcPr>
          <w:p>
            <w:pPr>
              <w:ind w:left="740"/>
              <w:spacing w:after="0" w:line="203" w:lineRule="exact"/>
              <w:rPr>
                <w:sz w:val="20"/>
                <w:szCs w:val="20"/>
                <w:color w:val="auto"/>
              </w:rPr>
            </w:pPr>
            <w:r>
              <w:rPr>
                <w:rFonts w:ascii="Courier New" w:cs="Courier New" w:eastAsia="Courier New" w:hAnsi="Courier New"/>
                <w:sz w:val="18"/>
                <w:szCs w:val="18"/>
                <w:color w:val="auto"/>
              </w:rPr>
              <w:t>served as President of the National Retail</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88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w w:val="94"/>
              </w:rPr>
              <w:t>Federation,</w:t>
            </w:r>
          </w:p>
        </w:tc>
        <w:tc>
          <w:tcPr>
            <w:tcW w:w="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a</w:t>
            </w:r>
          </w:p>
        </w:tc>
        <w:tc>
          <w:tcPr>
            <w:tcW w:w="11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leading</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retail</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industry</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360" w:type="dxa"/>
            <w:vAlign w:val="bottom"/>
            <w:gridSpan w:val="11"/>
          </w:tcPr>
          <w:p>
            <w:pPr>
              <w:ind w:left="740"/>
              <w:spacing w:after="0" w:line="203" w:lineRule="exact"/>
              <w:rPr>
                <w:sz w:val="20"/>
                <w:szCs w:val="20"/>
                <w:color w:val="auto"/>
              </w:rPr>
            </w:pPr>
            <w:r>
              <w:rPr>
                <w:rFonts w:ascii="Courier New" w:cs="Courier New" w:eastAsia="Courier New" w:hAnsi="Courier New"/>
                <w:sz w:val="18"/>
                <w:szCs w:val="18"/>
                <w:color w:val="auto"/>
              </w:rPr>
              <w:t>trade association. Previously, Mr. Schultz</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88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served as</w:t>
            </w:r>
          </w:p>
        </w:tc>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Executive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Vice</w:t>
            </w:r>
          </w:p>
        </w:tc>
        <w:tc>
          <w:tcPr>
            <w:tcW w:w="1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4"/>
              </w:rPr>
              <w:t>President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and</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General</w:t>
            </w:r>
          </w:p>
        </w:tc>
        <w:tc>
          <w:tcPr>
            <w:tcW w:w="300" w:type="dxa"/>
            <w:vAlign w:val="bottom"/>
          </w:tcPr>
          <w:p>
            <w:pPr>
              <w:spacing w:after="0"/>
              <w:rPr>
                <w:sz w:val="17"/>
                <w:szCs w:val="17"/>
                <w:color w:val="auto"/>
              </w:rPr>
            </w:pPr>
          </w:p>
        </w:tc>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Merchandise</w:t>
            </w:r>
          </w:p>
        </w:tc>
        <w:tc>
          <w:tcPr>
            <w:tcW w:w="1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Manager</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for</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32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Bloomingdale's</w:t>
            </w:r>
          </w:p>
        </w:tc>
        <w:tc>
          <w:tcPr>
            <w:tcW w:w="146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Department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Stores</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and</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360" w:type="dxa"/>
            <w:vAlign w:val="bottom"/>
            <w:gridSpan w:val="11"/>
          </w:tcPr>
          <w:p>
            <w:pPr>
              <w:ind w:left="740"/>
              <w:spacing w:after="0" w:line="203" w:lineRule="exact"/>
              <w:rPr>
                <w:sz w:val="20"/>
                <w:szCs w:val="20"/>
                <w:color w:val="auto"/>
              </w:rPr>
            </w:pPr>
            <w:r>
              <w:rPr>
                <w:rFonts w:ascii="Courier New" w:cs="Courier New" w:eastAsia="Courier New" w:hAnsi="Courier New"/>
                <w:sz w:val="18"/>
                <w:szCs w:val="18"/>
                <w:color w:val="auto"/>
              </w:rPr>
              <w:t>Sanger  Harris  Department  Stores  and as</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74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w w:val="96"/>
              </w:rPr>
              <w:t>President and Chief</w:t>
            </w:r>
          </w:p>
        </w:tc>
        <w:tc>
          <w:tcPr>
            <w:tcW w:w="262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rPr>
              <w:t>Executive  Officer of</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4200" w:type="dxa"/>
            <w:vAlign w:val="bottom"/>
            <w:gridSpan w:val="9"/>
          </w:tcPr>
          <w:p>
            <w:pPr>
              <w:ind w:left="740"/>
              <w:spacing w:after="0" w:line="203" w:lineRule="exact"/>
              <w:rPr>
                <w:sz w:val="20"/>
                <w:szCs w:val="20"/>
                <w:color w:val="auto"/>
              </w:rPr>
            </w:pPr>
            <w:r>
              <w:rPr>
                <w:rFonts w:ascii="Courier New" w:cs="Courier New" w:eastAsia="Courier New" w:hAnsi="Courier New"/>
                <w:sz w:val="18"/>
                <w:szCs w:val="18"/>
                <w:color w:val="auto"/>
              </w:rPr>
              <w:t>B.  Altman  &amp; Co.  Mr.  Schultz</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currently</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serves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w:t>
            </w:r>
          </w:p>
        </w:tc>
        <w:tc>
          <w:tcPr>
            <w:tcW w:w="7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member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Board  of</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3040" w:type="dxa"/>
            <w:vAlign w:val="bottom"/>
            <w:gridSpan w:val="6"/>
          </w:tcPr>
          <w:p>
            <w:pPr>
              <w:ind w:left="740"/>
              <w:spacing w:after="0" w:line="203" w:lineRule="exact"/>
              <w:rPr>
                <w:sz w:val="20"/>
                <w:szCs w:val="20"/>
                <w:color w:val="auto"/>
              </w:rPr>
            </w:pPr>
            <w:r>
              <w:rPr>
                <w:rFonts w:ascii="Courier New" w:cs="Courier New" w:eastAsia="Courier New" w:hAnsi="Courier New"/>
                <w:sz w:val="18"/>
                <w:szCs w:val="18"/>
                <w:color w:val="auto"/>
                <w:w w:val="95"/>
              </w:rPr>
              <w:t>Directors of The Great</w:t>
            </w:r>
          </w:p>
        </w:tc>
        <w:tc>
          <w:tcPr>
            <w:tcW w:w="158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Train Store,</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Inc.,</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Big Smith Brands,</w:t>
            </w:r>
          </w:p>
        </w:tc>
        <w:tc>
          <w:tcPr>
            <w:tcW w:w="2320" w:type="dxa"/>
            <w:vAlign w:val="bottom"/>
            <w:gridSpan w:val="5"/>
          </w:tcPr>
          <w:p>
            <w:pPr>
              <w:jc w:val="right"/>
              <w:ind w:right="112"/>
              <w:spacing w:after="0" w:line="203" w:lineRule="exact"/>
              <w:rPr>
                <w:sz w:val="20"/>
                <w:szCs w:val="20"/>
                <w:color w:val="auto"/>
              </w:rPr>
            </w:pPr>
            <w:r>
              <w:rPr>
                <w:rFonts w:ascii="Courier New" w:cs="Courier New" w:eastAsia="Courier New" w:hAnsi="Courier New"/>
                <w:sz w:val="18"/>
                <w:szCs w:val="18"/>
                <w:color w:val="auto"/>
              </w:rPr>
              <w:t>Inc. Mr. Schultz is</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w:t>
            </w: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graduate</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of</w:t>
            </w:r>
          </w:p>
        </w:tc>
        <w:tc>
          <w:tcPr>
            <w:tcW w:w="1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4"/>
              </w:rPr>
              <w:t>Fairleigh</w:t>
            </w:r>
          </w:p>
        </w:tc>
        <w:tc>
          <w:tcPr>
            <w:tcW w:w="4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Dickenson</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88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w w:val="94"/>
              </w:rPr>
              <w:t>University,</w:t>
            </w:r>
          </w:p>
        </w:tc>
        <w:tc>
          <w:tcPr>
            <w:tcW w:w="1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4"/>
              </w:rPr>
              <w:t>Dartmouth</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Institute</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and the</w:t>
            </w:r>
          </w:p>
        </w:tc>
        <w:tc>
          <w:tcPr>
            <w:tcW w:w="0" w:type="dxa"/>
            <w:vAlign w:val="bottom"/>
          </w:tcPr>
          <w:p>
            <w:pPr>
              <w:spacing w:after="0"/>
              <w:rPr>
                <w:sz w:val="1"/>
                <w:szCs w:val="1"/>
                <w:color w:val="auto"/>
              </w:rPr>
            </w:pPr>
          </w:p>
        </w:tc>
      </w:tr>
      <w:tr>
        <w:trPr>
          <w:trHeight w:val="296"/>
        </w:trPr>
        <w:tc>
          <w:tcPr>
            <w:tcW w:w="3280" w:type="dxa"/>
            <w:vAlign w:val="bottom"/>
          </w:tcPr>
          <w:p>
            <w:pPr>
              <w:spacing w:after="0"/>
              <w:rPr>
                <w:sz w:val="24"/>
                <w:szCs w:val="24"/>
                <w:color w:val="auto"/>
              </w:rPr>
            </w:pPr>
          </w:p>
        </w:tc>
        <w:tc>
          <w:tcPr>
            <w:tcW w:w="5360" w:type="dxa"/>
            <w:vAlign w:val="bottom"/>
            <w:gridSpan w:val="11"/>
          </w:tcPr>
          <w:p>
            <w:pPr>
              <w:ind w:left="740"/>
              <w:spacing w:after="0"/>
              <w:rPr>
                <w:sz w:val="20"/>
                <w:szCs w:val="20"/>
                <w:color w:val="auto"/>
              </w:rPr>
            </w:pPr>
            <w:r>
              <w:rPr>
                <w:rFonts w:ascii="Courier New" w:cs="Courier New" w:eastAsia="Courier New" w:hAnsi="Courier New"/>
                <w:sz w:val="18"/>
                <w:szCs w:val="18"/>
                <w:color w:val="auto"/>
              </w:rPr>
              <w:t>Federated Senior Management Institute.</w:t>
            </w:r>
          </w:p>
        </w:tc>
        <w:tc>
          <w:tcPr>
            <w:tcW w:w="0" w:type="dxa"/>
            <w:vAlign w:val="bottom"/>
          </w:tcPr>
          <w:p>
            <w:pPr>
              <w:spacing w:after="0"/>
              <w:rPr>
                <w:sz w:val="1"/>
                <w:szCs w:val="1"/>
                <w:color w:val="auto"/>
              </w:rPr>
            </w:pPr>
          </w:p>
        </w:tc>
      </w:tr>
      <w:tr>
        <w:trPr>
          <w:trHeight w:val="311"/>
        </w:trPr>
        <w:tc>
          <w:tcPr>
            <w:tcW w:w="3280" w:type="dxa"/>
            <w:vAlign w:val="bottom"/>
          </w:tcPr>
          <w:p>
            <w:pPr>
              <w:spacing w:after="0"/>
              <w:rPr>
                <w:sz w:val="20"/>
                <w:szCs w:val="20"/>
                <w:color w:val="auto"/>
              </w:rPr>
            </w:pPr>
            <w:r>
              <w:rPr>
                <w:rFonts w:ascii="Courier New" w:cs="Courier New" w:eastAsia="Courier New" w:hAnsi="Courier New"/>
                <w:sz w:val="18"/>
                <w:szCs w:val="18"/>
                <w:color w:val="auto"/>
              </w:rPr>
              <w:t>Jeremiah P.  Murphy, Jr., 47</w:t>
            </w:r>
          </w:p>
        </w:tc>
        <w:tc>
          <w:tcPr>
            <w:tcW w:w="5360" w:type="dxa"/>
            <w:vAlign w:val="bottom"/>
            <w:gridSpan w:val="11"/>
          </w:tcPr>
          <w:p>
            <w:pPr>
              <w:ind w:left="740"/>
              <w:spacing w:after="0"/>
              <w:rPr>
                <w:sz w:val="20"/>
                <w:szCs w:val="20"/>
                <w:color w:val="auto"/>
              </w:rPr>
            </w:pPr>
            <w:r>
              <w:rPr>
                <w:rFonts w:ascii="Courier New" w:cs="Courier New" w:eastAsia="Courier New" w:hAnsi="Courier New"/>
                <w:sz w:val="18"/>
                <w:szCs w:val="18"/>
                <w:color w:val="auto"/>
              </w:rPr>
              <w:t>Mr. Murphy is the President of the Harvard</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1400 Massachusetts Ave.</w:t>
            </w:r>
          </w:p>
        </w:tc>
        <w:tc>
          <w:tcPr>
            <w:tcW w:w="188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w w:val="94"/>
              </w:rPr>
              <w:t>Cooperative</w:t>
            </w:r>
          </w:p>
        </w:tc>
        <w:tc>
          <w:tcPr>
            <w:tcW w:w="15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Society (the</w:t>
            </w:r>
          </w:p>
        </w:tc>
        <w:tc>
          <w:tcPr>
            <w:tcW w:w="11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"Coop"),</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a 117</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Cambridge, MA 02138</w:t>
            </w: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4"/>
              </w:rPr>
              <w:t>year old</w:t>
            </w:r>
          </w:p>
        </w:tc>
        <w:tc>
          <w:tcPr>
            <w:tcW w:w="2620" w:type="dxa"/>
            <w:vAlign w:val="bottom"/>
            <w:gridSpan w:val="7"/>
          </w:tcPr>
          <w:p>
            <w:pPr>
              <w:jc w:val="right"/>
              <w:ind w:right="112"/>
              <w:spacing w:after="0" w:line="203" w:lineRule="exact"/>
              <w:rPr>
                <w:sz w:val="20"/>
                <w:szCs w:val="20"/>
                <w:color w:val="auto"/>
              </w:rPr>
            </w:pPr>
            <w:r>
              <w:rPr>
                <w:rFonts w:ascii="Courier New" w:cs="Courier New" w:eastAsia="Courier New" w:hAnsi="Courier New"/>
                <w:sz w:val="18"/>
                <w:szCs w:val="18"/>
                <w:color w:val="auto"/>
              </w:rPr>
              <w:t>member  based  retail</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business.</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32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w w:val="96"/>
              </w:rPr>
              <w:t>Since  becoming</w:t>
            </w:r>
          </w:p>
        </w:tc>
        <w:tc>
          <w:tcPr>
            <w:tcW w:w="11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President</w:t>
            </w:r>
          </w:p>
        </w:tc>
        <w:tc>
          <w:tcPr>
            <w:tcW w:w="190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in November of</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Mr.</w:t>
            </w:r>
          </w:p>
        </w:tc>
        <w:tc>
          <w:tcPr>
            <w:tcW w:w="11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Murphy</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has</w:t>
            </w:r>
          </w:p>
        </w:tc>
        <w:tc>
          <w:tcPr>
            <w:tcW w:w="1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directed</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32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restructuring</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and</w:t>
            </w:r>
          </w:p>
        </w:tc>
        <w:tc>
          <w:tcPr>
            <w:tcW w:w="14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right-sizing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32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Cooperative's</w:t>
            </w:r>
          </w:p>
        </w:tc>
        <w:tc>
          <w:tcPr>
            <w:tcW w:w="7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retail</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and has</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360" w:type="dxa"/>
            <w:vAlign w:val="bottom"/>
            <w:gridSpan w:val="11"/>
          </w:tcPr>
          <w:p>
            <w:pPr>
              <w:ind w:left="740"/>
              <w:spacing w:after="0" w:line="203" w:lineRule="exact"/>
              <w:rPr>
                <w:sz w:val="20"/>
                <w:szCs w:val="20"/>
                <w:color w:val="auto"/>
              </w:rPr>
            </w:pPr>
            <w:r>
              <w:rPr>
                <w:rFonts w:ascii="Courier New" w:cs="Courier New" w:eastAsia="Courier New" w:hAnsi="Courier New"/>
                <w:sz w:val="18"/>
                <w:szCs w:val="18"/>
                <w:color w:val="auto"/>
              </w:rPr>
              <w:t>returned the Cooperative to profitability.</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Mr.</w:t>
            </w:r>
          </w:p>
        </w:tc>
        <w:tc>
          <w:tcPr>
            <w:tcW w:w="12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Murphy is</w:t>
            </w:r>
          </w:p>
        </w:tc>
        <w:tc>
          <w:tcPr>
            <w:tcW w:w="11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presently</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overseeing</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360" w:type="dxa"/>
            <w:vAlign w:val="bottom"/>
            <w:gridSpan w:val="11"/>
          </w:tcPr>
          <w:p>
            <w:pPr>
              <w:ind w:left="740"/>
              <w:spacing w:after="0" w:line="203" w:lineRule="exact"/>
              <w:rPr>
                <w:sz w:val="20"/>
                <w:szCs w:val="20"/>
                <w:color w:val="auto"/>
              </w:rPr>
            </w:pPr>
            <w:r>
              <w:rPr>
                <w:rFonts w:ascii="Courier New" w:cs="Courier New" w:eastAsia="Courier New" w:hAnsi="Courier New"/>
                <w:sz w:val="18"/>
                <w:szCs w:val="18"/>
                <w:color w:val="auto"/>
              </w:rPr>
              <w:t>expansion  of  the  Cooperative's  catalog</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360" w:type="dxa"/>
            <w:vAlign w:val="bottom"/>
            <w:gridSpan w:val="11"/>
          </w:tcPr>
          <w:p>
            <w:pPr>
              <w:ind w:left="740"/>
              <w:spacing w:after="0" w:line="203" w:lineRule="exact"/>
              <w:rPr>
                <w:sz w:val="20"/>
                <w:szCs w:val="20"/>
                <w:color w:val="auto"/>
              </w:rPr>
            </w:pPr>
            <w:r>
              <w:rPr>
                <w:rFonts w:ascii="Courier New" w:cs="Courier New" w:eastAsia="Courier New" w:hAnsi="Courier New"/>
                <w:sz w:val="18"/>
                <w:szCs w:val="18"/>
                <w:color w:val="auto"/>
              </w:rPr>
              <w:t>operations and web based membership system</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4200" w:type="dxa"/>
            <w:vAlign w:val="bottom"/>
            <w:gridSpan w:val="9"/>
          </w:tcPr>
          <w:p>
            <w:pPr>
              <w:ind w:left="740"/>
              <w:spacing w:after="0" w:line="203" w:lineRule="exact"/>
              <w:rPr>
                <w:sz w:val="20"/>
                <w:szCs w:val="20"/>
                <w:color w:val="auto"/>
              </w:rPr>
            </w:pPr>
            <w:r>
              <w:rPr>
                <w:rFonts w:ascii="Courier New" w:cs="Courier New" w:eastAsia="Courier New" w:hAnsi="Courier New"/>
                <w:sz w:val="18"/>
                <w:szCs w:val="18"/>
                <w:color w:val="auto"/>
              </w:rPr>
              <w:t>with  E-Commerce  capabilities.</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From July</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1987 to</w:t>
            </w:r>
          </w:p>
        </w:tc>
        <w:tc>
          <w:tcPr>
            <w:tcW w:w="11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November</w:t>
            </w:r>
          </w:p>
        </w:tc>
        <w:tc>
          <w:tcPr>
            <w:tcW w:w="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1991,</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Mr.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Murphy</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was</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3040" w:type="dxa"/>
            <w:vAlign w:val="bottom"/>
            <w:gridSpan w:val="6"/>
          </w:tcPr>
          <w:p>
            <w:pPr>
              <w:ind w:left="740"/>
              <w:spacing w:after="0" w:line="203" w:lineRule="exact"/>
              <w:rPr>
                <w:sz w:val="20"/>
                <w:szCs w:val="20"/>
                <w:color w:val="auto"/>
              </w:rPr>
            </w:pPr>
            <w:r>
              <w:rPr>
                <w:rFonts w:ascii="Courier New" w:cs="Courier New" w:eastAsia="Courier New" w:hAnsi="Courier New"/>
                <w:sz w:val="18"/>
                <w:szCs w:val="18"/>
                <w:color w:val="auto"/>
                <w:w w:val="95"/>
              </w:rPr>
              <w:t>Vice-President/General</w:t>
            </w:r>
          </w:p>
        </w:tc>
        <w:tc>
          <w:tcPr>
            <w:tcW w:w="2320" w:type="dxa"/>
            <w:vAlign w:val="bottom"/>
            <w:gridSpan w:val="5"/>
          </w:tcPr>
          <w:p>
            <w:pPr>
              <w:jc w:val="right"/>
              <w:ind w:right="112"/>
              <w:spacing w:after="0" w:line="203" w:lineRule="exact"/>
              <w:rPr>
                <w:sz w:val="20"/>
                <w:szCs w:val="20"/>
                <w:color w:val="auto"/>
              </w:rPr>
            </w:pPr>
            <w:r>
              <w:rPr>
                <w:rFonts w:ascii="Courier New" w:cs="Courier New" w:eastAsia="Courier New" w:hAnsi="Courier New"/>
                <w:sz w:val="18"/>
                <w:szCs w:val="18"/>
                <w:color w:val="auto"/>
              </w:rPr>
              <w:t>Manager for Neiman</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Marcus'</w:t>
            </w:r>
          </w:p>
        </w:tc>
        <w:tc>
          <w:tcPr>
            <w:tcW w:w="3780" w:type="dxa"/>
            <w:vAlign w:val="bottom"/>
            <w:gridSpan w:val="9"/>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largest and most profitable retail</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store,</w:t>
            </w:r>
          </w:p>
        </w:tc>
        <w:tc>
          <w:tcPr>
            <w:tcW w:w="3780" w:type="dxa"/>
            <w:vAlign w:val="bottom"/>
            <w:gridSpan w:val="9"/>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located in Northpark Mall, Dallas,</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Texas.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Mr.</w:t>
            </w:r>
          </w:p>
        </w:tc>
        <w:tc>
          <w:tcPr>
            <w:tcW w:w="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Murphy</w:t>
            </w:r>
          </w:p>
        </w:tc>
        <w:tc>
          <w:tcPr>
            <w:tcW w:w="14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previously</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served in</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32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various other</w:t>
            </w:r>
          </w:p>
        </w:tc>
        <w:tc>
          <w:tcPr>
            <w:tcW w:w="11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managerial</w:t>
            </w:r>
          </w:p>
        </w:tc>
        <w:tc>
          <w:tcPr>
            <w:tcW w:w="190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capacities with</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360" w:type="dxa"/>
            <w:vAlign w:val="bottom"/>
            <w:gridSpan w:val="11"/>
          </w:tcPr>
          <w:p>
            <w:pPr>
              <w:ind w:left="740"/>
              <w:spacing w:after="0" w:line="203" w:lineRule="exact"/>
              <w:rPr>
                <w:sz w:val="20"/>
                <w:szCs w:val="20"/>
                <w:color w:val="auto"/>
              </w:rPr>
            </w:pPr>
            <w:r>
              <w:rPr>
                <w:rFonts w:ascii="Courier New" w:cs="Courier New" w:eastAsia="Courier New" w:hAnsi="Courier New"/>
                <w:sz w:val="18"/>
                <w:szCs w:val="18"/>
                <w:color w:val="auto"/>
              </w:rPr>
              <w:t>Neiman Marcus from July 1977 to July 1987.</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Mr.</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Murphy</w:t>
            </w:r>
          </w:p>
        </w:tc>
        <w:tc>
          <w:tcPr>
            <w:tcW w:w="190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rPr>
              <w:t>received a B.A.</w:t>
            </w:r>
          </w:p>
        </w:tc>
        <w:tc>
          <w:tcPr>
            <w:tcW w:w="15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from Harvard</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360" w:type="dxa"/>
            <w:vAlign w:val="bottom"/>
            <w:gridSpan w:val="11"/>
          </w:tcPr>
          <w:p>
            <w:pPr>
              <w:ind w:left="740"/>
              <w:spacing w:after="0" w:line="203" w:lineRule="exact"/>
              <w:rPr>
                <w:sz w:val="20"/>
                <w:szCs w:val="20"/>
                <w:color w:val="auto"/>
              </w:rPr>
            </w:pPr>
            <w:r>
              <w:rPr>
                <w:rFonts w:ascii="Courier New" w:cs="Courier New" w:eastAsia="Courier New" w:hAnsi="Courier New"/>
                <w:sz w:val="18"/>
                <w:szCs w:val="18"/>
                <w:color w:val="auto"/>
              </w:rPr>
              <w:t>College  in  1973  and  his  M.B.A.   from</w:t>
            </w:r>
          </w:p>
        </w:tc>
        <w:tc>
          <w:tcPr>
            <w:tcW w:w="0" w:type="dxa"/>
            <w:vAlign w:val="bottom"/>
          </w:tcPr>
          <w:p>
            <w:pPr>
              <w:spacing w:after="0"/>
              <w:rPr>
                <w:sz w:val="1"/>
                <w:szCs w:val="1"/>
                <w:color w:val="auto"/>
              </w:rPr>
            </w:pPr>
          </w:p>
        </w:tc>
      </w:tr>
      <w:tr>
        <w:trPr>
          <w:trHeight w:val="296"/>
        </w:trPr>
        <w:tc>
          <w:tcPr>
            <w:tcW w:w="3280" w:type="dxa"/>
            <w:vAlign w:val="bottom"/>
          </w:tcPr>
          <w:p>
            <w:pPr>
              <w:spacing w:after="0"/>
              <w:rPr>
                <w:sz w:val="24"/>
                <w:szCs w:val="24"/>
                <w:color w:val="auto"/>
              </w:rPr>
            </w:pPr>
          </w:p>
        </w:tc>
        <w:tc>
          <w:tcPr>
            <w:tcW w:w="4200" w:type="dxa"/>
            <w:vAlign w:val="bottom"/>
            <w:gridSpan w:val="9"/>
          </w:tcPr>
          <w:p>
            <w:pPr>
              <w:ind w:left="740"/>
              <w:spacing w:after="0"/>
              <w:rPr>
                <w:sz w:val="20"/>
                <w:szCs w:val="20"/>
                <w:color w:val="auto"/>
              </w:rPr>
            </w:pPr>
            <w:r>
              <w:rPr>
                <w:rFonts w:ascii="Courier New" w:cs="Courier New" w:eastAsia="Courier New" w:hAnsi="Courier New"/>
                <w:sz w:val="18"/>
                <w:szCs w:val="18"/>
                <w:color w:val="auto"/>
                <w:w w:val="99"/>
              </w:rPr>
              <w:t>Harvard Business School in 1977.</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4"/>
                <w:szCs w:val="24"/>
                <w:color w:val="auto"/>
              </w:rPr>
            </w:pP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- 15 -</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4" w:name="page15"/>
    <w:bookmarkEnd w:id="14"/>
    <w:p>
      <w:pPr>
        <w:jc w:val="both"/>
        <w:ind w:right="1080"/>
        <w:spacing w:after="0" w:line="292" w:lineRule="auto"/>
        <w:rPr>
          <w:sz w:val="20"/>
          <w:szCs w:val="20"/>
          <w:color w:val="auto"/>
        </w:rPr>
      </w:pPr>
      <w:r>
        <w:rPr>
          <w:rFonts w:ascii="Courier New" w:cs="Courier New" w:eastAsia="Courier New" w:hAnsi="Courier New"/>
          <w:sz w:val="18"/>
          <w:szCs w:val="18"/>
          <w:color w:val="auto"/>
        </w:rPr>
        <w:t>Joseph Pennacchio, 52 14001 N.W. 4th Street Sunrise, FL</w:t>
      </w:r>
    </w:p>
    <w:p>
      <w:pPr>
        <w:spacing w:after="0" w:line="20" w:lineRule="exact"/>
        <w:rPr>
          <w:sz w:val="20"/>
          <w:szCs w:val="20"/>
          <w:color w:val="auto"/>
        </w:rPr>
      </w:pPr>
      <w:r>
        <w:rPr>
          <w:sz w:val="20"/>
          <w:szCs w:val="20"/>
          <w:color w:val="auto"/>
        </w:rPr>
        <w:br w:type="column"/>
      </w:r>
    </w:p>
    <w:p>
      <w:pPr>
        <w:jc w:val="both"/>
        <w:ind w:right="1779"/>
        <w:spacing w:after="0" w:line="279" w:lineRule="auto"/>
        <w:rPr>
          <w:sz w:val="20"/>
          <w:szCs w:val="20"/>
          <w:color w:val="auto"/>
        </w:rPr>
      </w:pPr>
      <w:r>
        <w:rPr>
          <w:rFonts w:ascii="Courier New" w:cs="Courier New" w:eastAsia="Courier New" w:hAnsi="Courier New"/>
          <w:sz w:val="16"/>
          <w:szCs w:val="16"/>
          <w:color w:val="auto"/>
        </w:rPr>
        <w:t>Mr. Pennacchio has been the President of Aurafin LLC, a privately held jewelry manufacturer and wholesaler since December 1997. From June 1996 to December 1997 he was a retail consultant. From May 1994 to May 1996 Mr. Pennacchio was the President of Jan Bell Marketing, Inc., a $250 million jewelry retailer, which is traded on the American Stock Exchange. He has previously served as the President of Jordan Marsh Department Stores; the Senior Vice President for all Merchandising at Abraham &amp; Strauss Department Stores; the Group Vice President of Merchandising - Textiles at R.H. Macy.</w:t>
      </w:r>
    </w:p>
    <w:p>
      <w:pPr>
        <w:spacing w:after="0" w:line="200" w:lineRule="exact"/>
        <w:rPr>
          <w:sz w:val="20"/>
          <w:szCs w:val="20"/>
          <w:color w:val="auto"/>
        </w:rPr>
      </w:pPr>
    </w:p>
    <w:p>
      <w:pPr>
        <w:sectPr>
          <w:pgSz w:w="11900" w:h="16838" w:orient="portrait"/>
          <w:cols w:equalWidth="0" w:num="2">
            <w:col w:w="3300" w:space="720"/>
            <w:col w:w="6199"/>
          </w:cols>
          <w:pgMar w:left="240" w:top="691" w:right="1440" w:bottom="1440" w:gutter="0" w:footer="0" w:header="0"/>
        </w:sectPr>
      </w:pP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Robert L.</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Patron, 53</w:t>
            </w:r>
          </w:p>
        </w:tc>
        <w:tc>
          <w:tcPr>
            <w:tcW w:w="3040" w:type="dxa"/>
            <w:vAlign w:val="bottom"/>
            <w:gridSpan w:val="6"/>
          </w:tcPr>
          <w:p>
            <w:pPr>
              <w:ind w:left="320"/>
              <w:spacing w:after="0"/>
              <w:rPr>
                <w:sz w:val="20"/>
                <w:szCs w:val="20"/>
                <w:color w:val="auto"/>
              </w:rPr>
            </w:pPr>
            <w:r>
              <w:rPr>
                <w:rFonts w:ascii="Courier New" w:cs="Courier New" w:eastAsia="Courier New" w:hAnsi="Courier New"/>
                <w:sz w:val="18"/>
                <w:szCs w:val="18"/>
                <w:color w:val="auto"/>
                <w:w w:val="96"/>
              </w:rPr>
              <w:t>Mr. Patron is a lawyer and</w:t>
            </w:r>
          </w:p>
        </w:tc>
        <w:tc>
          <w:tcPr>
            <w:tcW w:w="13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investor.</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Mr.</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641 Seneca Road</w:t>
            </w:r>
          </w:p>
        </w:tc>
        <w:tc>
          <w:tcPr>
            <w:tcW w:w="1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Patron</w:t>
            </w:r>
          </w:p>
        </w:tc>
        <w:tc>
          <w:tcPr>
            <w:tcW w:w="120" w:type="dxa"/>
            <w:vAlign w:val="bottom"/>
          </w:tcPr>
          <w:p>
            <w:pPr>
              <w:spacing w:after="0"/>
              <w:rPr>
                <w:sz w:val="17"/>
                <w:szCs w:val="17"/>
                <w:color w:val="auto"/>
              </w:rPr>
            </w:pPr>
          </w:p>
        </w:tc>
        <w:tc>
          <w:tcPr>
            <w:tcW w:w="24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had been a real  estate</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developer</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Great Falls, VA 22066</w:t>
            </w:r>
          </w:p>
        </w:tc>
        <w:tc>
          <w:tcPr>
            <w:tcW w:w="1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who,</w:t>
            </w: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since</w:t>
            </w:r>
          </w:p>
        </w:tc>
        <w:tc>
          <w:tcPr>
            <w:tcW w:w="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1968,</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was</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engaged</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in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40" w:type="dxa"/>
            <w:vAlign w:val="bottom"/>
            <w:gridSpan w:val="10"/>
          </w:tcPr>
          <w:p>
            <w:pPr>
              <w:ind w:left="320"/>
              <w:spacing w:after="0" w:line="203" w:lineRule="exact"/>
              <w:rPr>
                <w:sz w:val="20"/>
                <w:szCs w:val="20"/>
                <w:color w:val="auto"/>
              </w:rPr>
            </w:pPr>
            <w:r>
              <w:rPr>
                <w:rFonts w:ascii="Courier New" w:cs="Courier New" w:eastAsia="Courier New" w:hAnsi="Courier New"/>
                <w:sz w:val="18"/>
                <w:szCs w:val="18"/>
                <w:color w:val="auto"/>
                <w:w w:val="96"/>
              </w:rPr>
              <w:t>construction  and  commercial  leasing  of</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shopping</w:t>
            </w:r>
          </w:p>
        </w:tc>
        <w:tc>
          <w:tcPr>
            <w:tcW w:w="13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centers.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his</w:t>
            </w:r>
          </w:p>
        </w:tc>
        <w:tc>
          <w:tcPr>
            <w:tcW w:w="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years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leasing</w:t>
            </w:r>
          </w:p>
        </w:tc>
        <w:tc>
          <w:tcPr>
            <w:tcW w:w="120" w:type="dxa"/>
            <w:vAlign w:val="bottom"/>
          </w:tcPr>
          <w:p>
            <w:pPr>
              <w:spacing w:after="0"/>
              <w:rPr>
                <w:sz w:val="17"/>
                <w:szCs w:val="17"/>
                <w:color w:val="auto"/>
              </w:rPr>
            </w:pP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national</w:t>
            </w:r>
          </w:p>
        </w:tc>
        <w:tc>
          <w:tcPr>
            <w:tcW w:w="1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retail</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department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6"/>
              </w:rPr>
              <w:t>stores and other</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tenants,</w:t>
            </w:r>
          </w:p>
        </w:tc>
        <w:tc>
          <w:tcPr>
            <w:tcW w:w="1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Mr. Patron has</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acquired</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extensive</w:t>
            </w:r>
          </w:p>
        </w:tc>
        <w:tc>
          <w:tcPr>
            <w:tcW w:w="520" w:type="dxa"/>
            <w:vAlign w:val="bottom"/>
          </w:tcPr>
          <w:p>
            <w:pPr>
              <w:spacing w:after="0"/>
              <w:rPr>
                <w:sz w:val="17"/>
                <w:szCs w:val="17"/>
                <w:color w:val="auto"/>
              </w:rPr>
            </w:pPr>
          </w:p>
        </w:tc>
        <w:tc>
          <w:tcPr>
            <w:tcW w:w="1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experience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40" w:type="dxa"/>
            <w:vAlign w:val="bottom"/>
            <w:gridSpan w:val="10"/>
          </w:tcPr>
          <w:p>
            <w:pPr>
              <w:ind w:left="320"/>
              <w:spacing w:after="0" w:line="203" w:lineRule="exact"/>
              <w:rPr>
                <w:sz w:val="20"/>
                <w:szCs w:val="20"/>
                <w:color w:val="auto"/>
              </w:rPr>
            </w:pPr>
            <w:r>
              <w:rPr>
                <w:rFonts w:ascii="Courier New" w:cs="Courier New" w:eastAsia="Courier New" w:hAnsi="Courier New"/>
                <w:sz w:val="18"/>
                <w:szCs w:val="18"/>
                <w:color w:val="auto"/>
                <w:w w:val="96"/>
              </w:rPr>
              <w:t>addressing  and  negotiating  the  various</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real estate</w:t>
            </w:r>
          </w:p>
        </w:tc>
        <w:tc>
          <w:tcPr>
            <w:tcW w:w="13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issues that</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confront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retail</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40" w:type="dxa"/>
            <w:vAlign w:val="bottom"/>
            <w:gridSpan w:val="10"/>
          </w:tcPr>
          <w:p>
            <w:pPr>
              <w:ind w:left="320"/>
              <w:spacing w:after="0" w:line="203" w:lineRule="exact"/>
              <w:rPr>
                <w:sz w:val="20"/>
                <w:szCs w:val="20"/>
                <w:color w:val="auto"/>
              </w:rPr>
            </w:pPr>
            <w:r>
              <w:rPr>
                <w:rFonts w:ascii="Courier New" w:cs="Courier New" w:eastAsia="Courier New" w:hAnsi="Courier New"/>
                <w:sz w:val="18"/>
                <w:szCs w:val="18"/>
                <w:color w:val="auto"/>
                <w:w w:val="96"/>
              </w:rPr>
              <w:t>operations.  Through the years, Mr. Patron</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40" w:type="dxa"/>
            <w:vAlign w:val="bottom"/>
            <w:gridSpan w:val="10"/>
          </w:tcPr>
          <w:p>
            <w:pPr>
              <w:ind w:left="320"/>
              <w:spacing w:after="0" w:line="203" w:lineRule="exact"/>
              <w:rPr>
                <w:sz w:val="20"/>
                <w:szCs w:val="20"/>
                <w:color w:val="auto"/>
              </w:rPr>
            </w:pPr>
            <w:r>
              <w:rPr>
                <w:rFonts w:ascii="Courier New" w:cs="Courier New" w:eastAsia="Courier New" w:hAnsi="Courier New"/>
                <w:sz w:val="18"/>
                <w:szCs w:val="18"/>
                <w:color w:val="auto"/>
                <w:w w:val="96"/>
              </w:rPr>
              <w:t>has  developed  or  acquired  a  financial</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interest</w:t>
            </w:r>
          </w:p>
        </w:tc>
        <w:tc>
          <w:tcPr>
            <w:tcW w:w="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in</w:t>
            </w:r>
          </w:p>
        </w:tc>
        <w:tc>
          <w:tcPr>
            <w:tcW w:w="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over</w:t>
            </w:r>
          </w:p>
        </w:tc>
        <w:tc>
          <w:tcPr>
            <w:tcW w:w="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65</w:t>
            </w:r>
          </w:p>
        </w:tc>
        <w:tc>
          <w:tcPr>
            <w:tcW w:w="1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commercial</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residential</w:t>
            </w:r>
          </w:p>
        </w:tc>
        <w:tc>
          <w:tcPr>
            <w:tcW w:w="13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properties</w:t>
            </w:r>
          </w:p>
        </w:tc>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located</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states.</w:t>
            </w:r>
          </w:p>
        </w:tc>
        <w:tc>
          <w:tcPr>
            <w:tcW w:w="120" w:type="dxa"/>
            <w:vAlign w:val="bottom"/>
          </w:tcPr>
          <w:p>
            <w:pPr>
              <w:spacing w:after="0"/>
              <w:rPr>
                <w:sz w:val="17"/>
                <w:szCs w:val="17"/>
                <w:color w:val="auto"/>
              </w:rPr>
            </w:pP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In 1994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Mr.</w:t>
            </w:r>
          </w:p>
        </w:tc>
        <w:tc>
          <w:tcPr>
            <w:tcW w:w="1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Patron</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temporarily</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40" w:type="dxa"/>
            <w:vAlign w:val="bottom"/>
            <w:gridSpan w:val="10"/>
          </w:tcPr>
          <w:p>
            <w:pPr>
              <w:ind w:left="320"/>
              <w:spacing w:after="0" w:line="203" w:lineRule="exact"/>
              <w:rPr>
                <w:sz w:val="20"/>
                <w:szCs w:val="20"/>
                <w:color w:val="auto"/>
              </w:rPr>
            </w:pPr>
            <w:r>
              <w:rPr>
                <w:rFonts w:ascii="Courier New" w:cs="Courier New" w:eastAsia="Courier New" w:hAnsi="Courier New"/>
                <w:sz w:val="18"/>
                <w:szCs w:val="18"/>
                <w:color w:val="auto"/>
                <w:w w:val="96"/>
              </w:rPr>
              <w:t>curtailed  his  activities  to attend  the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40" w:type="dxa"/>
            <w:vAlign w:val="bottom"/>
            <w:gridSpan w:val="10"/>
          </w:tcPr>
          <w:p>
            <w:pPr>
              <w:ind w:left="320"/>
              <w:spacing w:after="0" w:line="203" w:lineRule="exact"/>
              <w:rPr>
                <w:sz w:val="20"/>
                <w:szCs w:val="20"/>
                <w:color w:val="auto"/>
              </w:rPr>
            </w:pPr>
            <w:r>
              <w:rPr>
                <w:rFonts w:ascii="Courier New" w:cs="Courier New" w:eastAsia="Courier New" w:hAnsi="Courier New"/>
                <w:sz w:val="18"/>
                <w:szCs w:val="18"/>
                <w:color w:val="auto"/>
                <w:w w:val="96"/>
              </w:rPr>
              <w:t>George Washington University School of Law</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where he</w:t>
            </w:r>
          </w:p>
        </w:tc>
        <w:tc>
          <w:tcPr>
            <w:tcW w:w="3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attained  his law  degree at the</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8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age of 53.</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Jesse H. Choper, 63</w:t>
            </w:r>
          </w:p>
        </w:tc>
        <w:tc>
          <w:tcPr>
            <w:tcW w:w="4740" w:type="dxa"/>
            <w:vAlign w:val="bottom"/>
            <w:gridSpan w:val="10"/>
          </w:tcPr>
          <w:p>
            <w:pPr>
              <w:ind w:left="320"/>
              <w:spacing w:after="0"/>
              <w:rPr>
                <w:sz w:val="20"/>
                <w:szCs w:val="20"/>
                <w:color w:val="auto"/>
              </w:rPr>
            </w:pPr>
            <w:r>
              <w:rPr>
                <w:rFonts w:ascii="Courier New" w:cs="Courier New" w:eastAsia="Courier New" w:hAnsi="Courier New"/>
                <w:sz w:val="18"/>
                <w:szCs w:val="18"/>
                <w:color w:val="auto"/>
                <w:w w:val="96"/>
              </w:rPr>
              <w:t>Mr. Choper is the Earl Warren Professor of</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University</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California  at</w:t>
            </w:r>
          </w:p>
        </w:tc>
        <w:tc>
          <w:tcPr>
            <w:tcW w:w="4740" w:type="dxa"/>
            <w:vAlign w:val="bottom"/>
            <w:gridSpan w:val="10"/>
          </w:tcPr>
          <w:p>
            <w:pPr>
              <w:ind w:left="320"/>
              <w:spacing w:after="0" w:line="203" w:lineRule="exact"/>
              <w:rPr>
                <w:sz w:val="20"/>
                <w:szCs w:val="20"/>
                <w:color w:val="auto"/>
              </w:rPr>
            </w:pPr>
            <w:r>
              <w:rPr>
                <w:rFonts w:ascii="Courier New" w:cs="Courier New" w:eastAsia="Courier New" w:hAnsi="Courier New"/>
                <w:sz w:val="18"/>
                <w:szCs w:val="18"/>
                <w:color w:val="auto"/>
                <w:w w:val="96"/>
              </w:rPr>
              <w:t>Public Law at the University of California</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Berkley  Berkeley  School of Law</w:t>
            </w:r>
          </w:p>
        </w:tc>
        <w:tc>
          <w:tcPr>
            <w:tcW w:w="4740" w:type="dxa"/>
            <w:vAlign w:val="bottom"/>
            <w:gridSpan w:val="10"/>
          </w:tcPr>
          <w:p>
            <w:pPr>
              <w:ind w:left="320"/>
              <w:spacing w:after="0" w:line="203" w:lineRule="exact"/>
              <w:rPr>
                <w:sz w:val="20"/>
                <w:szCs w:val="20"/>
                <w:color w:val="auto"/>
              </w:rPr>
            </w:pPr>
            <w:r>
              <w:rPr>
                <w:rFonts w:ascii="Courier New" w:cs="Courier New" w:eastAsia="Courier New" w:hAnsi="Courier New"/>
                <w:sz w:val="18"/>
                <w:szCs w:val="18"/>
                <w:color w:val="auto"/>
                <w:w w:val="96"/>
              </w:rPr>
              <w:t>at School of Law where he has taught since</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Boalt Hall</w:t>
            </w:r>
          </w:p>
        </w:tc>
        <w:tc>
          <w:tcPr>
            <w:tcW w:w="25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CA 94720</w:t>
            </w:r>
          </w:p>
        </w:tc>
        <w:tc>
          <w:tcPr>
            <w:tcW w:w="3580" w:type="dxa"/>
            <w:vAlign w:val="bottom"/>
            <w:gridSpan w:val="7"/>
          </w:tcPr>
          <w:p>
            <w:pPr>
              <w:ind w:left="320"/>
              <w:spacing w:after="0" w:line="203" w:lineRule="exact"/>
              <w:rPr>
                <w:sz w:val="20"/>
                <w:szCs w:val="20"/>
                <w:color w:val="auto"/>
              </w:rPr>
            </w:pPr>
            <w:r>
              <w:rPr>
                <w:rFonts w:ascii="Courier New" w:cs="Courier New" w:eastAsia="Courier New" w:hAnsi="Courier New"/>
                <w:sz w:val="18"/>
                <w:szCs w:val="18"/>
                <w:color w:val="auto"/>
                <w:w w:val="99"/>
              </w:rPr>
              <w:t>1965. Professor Choper was the</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Dean of the</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Berkeley,</w:t>
            </w:r>
          </w:p>
        </w:tc>
        <w:tc>
          <w:tcPr>
            <w:tcW w:w="2580" w:type="dxa"/>
            <w:vAlign w:val="bottom"/>
            <w:vMerge w:val="continue"/>
          </w:tcPr>
          <w:p>
            <w:pPr>
              <w:spacing w:after="0"/>
              <w:rPr>
                <w:sz w:val="17"/>
                <w:szCs w:val="17"/>
                <w:color w:val="auto"/>
              </w:rPr>
            </w:pPr>
          </w:p>
        </w:tc>
        <w:tc>
          <w:tcPr>
            <w:tcW w:w="3580" w:type="dxa"/>
            <w:vAlign w:val="bottom"/>
            <w:gridSpan w:val="7"/>
          </w:tcPr>
          <w:p>
            <w:pPr>
              <w:ind w:left="320"/>
              <w:spacing w:after="0" w:line="203" w:lineRule="exact"/>
              <w:rPr>
                <w:sz w:val="20"/>
                <w:szCs w:val="20"/>
                <w:color w:val="auto"/>
              </w:rPr>
            </w:pPr>
            <w:r>
              <w:rPr>
                <w:rFonts w:ascii="Courier New" w:cs="Courier New" w:eastAsia="Courier New" w:hAnsi="Courier New"/>
                <w:sz w:val="18"/>
                <w:szCs w:val="18"/>
                <w:color w:val="auto"/>
              </w:rPr>
              <w:t>Law School from 1982 to 1992.</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In 1996, he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was a visiting</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professor</w:t>
            </w:r>
          </w:p>
        </w:tc>
        <w:tc>
          <w:tcPr>
            <w:tcW w:w="1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at Harvard</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Law</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School,</w:t>
            </w:r>
          </w:p>
        </w:tc>
        <w:tc>
          <w:tcPr>
            <w:tcW w:w="120" w:type="dxa"/>
            <w:vAlign w:val="bottom"/>
          </w:tcPr>
          <w:p>
            <w:pPr>
              <w:spacing w:after="0"/>
              <w:rPr>
                <w:sz w:val="17"/>
                <w:szCs w:val="17"/>
                <w:color w:val="auto"/>
              </w:rPr>
            </w:pPr>
          </w:p>
        </w:tc>
        <w:tc>
          <w:tcPr>
            <w:tcW w:w="13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University</w:t>
            </w:r>
          </w:p>
        </w:tc>
        <w:tc>
          <w:tcPr>
            <w:tcW w:w="2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of Milan in Italy Law</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School</w:t>
            </w:r>
          </w:p>
        </w:tc>
        <w:tc>
          <w:tcPr>
            <w:tcW w:w="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w:t>
            </w:r>
          </w:p>
        </w:tc>
        <w:tc>
          <w:tcPr>
            <w:tcW w:w="30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Universitad   Autonoma   in</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Barcelona,</w:t>
            </w:r>
          </w:p>
        </w:tc>
        <w:tc>
          <w:tcPr>
            <w:tcW w:w="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Spain.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From</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1960</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to</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1961,</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40" w:type="dxa"/>
            <w:vAlign w:val="bottom"/>
            <w:gridSpan w:val="10"/>
          </w:tcPr>
          <w:p>
            <w:pPr>
              <w:ind w:left="320"/>
              <w:spacing w:after="0" w:line="203" w:lineRule="exact"/>
              <w:rPr>
                <w:sz w:val="20"/>
                <w:szCs w:val="20"/>
                <w:color w:val="auto"/>
              </w:rPr>
            </w:pPr>
            <w:r>
              <w:rPr>
                <w:rFonts w:ascii="Courier New" w:cs="Courier New" w:eastAsia="Courier New" w:hAnsi="Courier New"/>
                <w:sz w:val="18"/>
                <w:szCs w:val="18"/>
                <w:color w:val="auto"/>
                <w:w w:val="96"/>
              </w:rPr>
              <w:t>Professor  Choper  was  a  law  clerk  for</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740" w:type="dxa"/>
            <w:vAlign w:val="bottom"/>
            <w:gridSpan w:val="10"/>
          </w:tcPr>
          <w:p>
            <w:pPr>
              <w:ind w:left="320"/>
              <w:spacing w:after="0"/>
              <w:rPr>
                <w:sz w:val="20"/>
                <w:szCs w:val="20"/>
                <w:color w:val="auto"/>
              </w:rPr>
            </w:pPr>
            <w:r>
              <w:rPr>
                <w:rFonts w:ascii="Courier New" w:cs="Courier New" w:eastAsia="Courier New" w:hAnsi="Courier New"/>
                <w:sz w:val="18"/>
                <w:szCs w:val="18"/>
                <w:color w:val="auto"/>
              </w:rPr>
              <w:t>Supreme Court Chief Justice Earl Warren.</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If elected, the JMI Nominees intend to vote to expand the Board to six members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- 16 -</w:t>
      </w:r>
    </w:p>
    <w:p>
      <w:pPr>
        <w:sectPr>
          <w:pgSz w:w="11900" w:h="16838" w:orient="portrait"/>
          <w:cols w:equalWidth="0" w:num="1">
            <w:col w:w="10219"/>
          </w:cols>
          <w:pgMar w:left="240" w:top="691"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96"/>
        </w:trPr>
        <w:tc>
          <w:tcPr>
            <w:tcW w:w="3740" w:type="dxa"/>
            <w:vAlign w:val="bottom"/>
          </w:tcPr>
          <w:p>
            <w:pPr>
              <w:spacing w:after="0"/>
              <w:rPr>
                <w:sz w:val="20"/>
                <w:szCs w:val="20"/>
                <w:color w:val="auto"/>
              </w:rPr>
            </w:pPr>
            <w:r>
              <w:rPr>
                <w:rFonts w:ascii="Courier New" w:cs="Courier New" w:eastAsia="Courier New" w:hAnsi="Courier New"/>
                <w:sz w:val="18"/>
                <w:szCs w:val="18"/>
                <w:color w:val="auto"/>
              </w:rPr>
              <w:t>and add the following individual.</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40" w:type="dxa"/>
            <w:vAlign w:val="bottom"/>
          </w:tcPr>
          <w:p>
            <w:pPr>
              <w:spacing w:after="0"/>
              <w:rPr>
                <w:sz w:val="20"/>
                <w:szCs w:val="20"/>
                <w:color w:val="auto"/>
              </w:rPr>
            </w:pPr>
            <w:r>
              <w:rPr>
                <w:rFonts w:ascii="Courier New" w:cs="Courier New" w:eastAsia="Courier New" w:hAnsi="Courier New"/>
                <w:sz w:val="18"/>
                <w:szCs w:val="18"/>
                <w:color w:val="auto"/>
              </w:rPr>
              <w:t>Peter R.  McMullin, 56</w:t>
            </w:r>
          </w:p>
        </w:tc>
        <w:tc>
          <w:tcPr>
            <w:tcW w:w="4700" w:type="dxa"/>
            <w:vAlign w:val="bottom"/>
            <w:gridSpan w:val="10"/>
          </w:tcPr>
          <w:p>
            <w:pPr>
              <w:ind w:left="280"/>
              <w:spacing w:after="0"/>
              <w:rPr>
                <w:sz w:val="20"/>
                <w:szCs w:val="20"/>
                <w:color w:val="auto"/>
              </w:rPr>
            </w:pPr>
            <w:r>
              <w:rPr>
                <w:rFonts w:ascii="Courier New" w:cs="Courier New" w:eastAsia="Courier New" w:hAnsi="Courier New"/>
                <w:sz w:val="18"/>
                <w:szCs w:val="18"/>
                <w:color w:val="auto"/>
                <w:w w:val="96"/>
              </w:rPr>
              <w:t>Mr. McMullin, is an investment analyst and</w:t>
            </w: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2101 Corporate Boulevard</w:t>
            </w:r>
          </w:p>
        </w:tc>
        <w:tc>
          <w:tcPr>
            <w:tcW w:w="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w:t>
            </w:r>
          </w:p>
        </w:tc>
        <w:tc>
          <w:tcPr>
            <w:tcW w:w="13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co-founder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of</w:t>
            </w:r>
          </w:p>
        </w:tc>
        <w:tc>
          <w:tcPr>
            <w:tcW w:w="12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Southeast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Research</w:t>
            </w: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402</w:t>
            </w:r>
          </w:p>
        </w:tc>
        <w:tc>
          <w:tcPr>
            <w:tcW w:w="1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Partners,</w:t>
            </w: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had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Inc.</w:t>
            </w:r>
          </w:p>
        </w:tc>
        <w:tc>
          <w:tcPr>
            <w:tcW w:w="220" w:type="dxa"/>
            <w:vAlign w:val="bottom"/>
          </w:tcPr>
          <w:p>
            <w:pPr>
              <w:spacing w:after="0"/>
              <w:rPr>
                <w:sz w:val="17"/>
                <w:szCs w:val="17"/>
                <w:color w:val="auto"/>
              </w:rPr>
            </w:pPr>
          </w:p>
        </w:tc>
        <w:tc>
          <w:tcPr>
            <w:tcW w:w="1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("Southeast").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Mr.</w:t>
            </w: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Boca Raton, FL 33431</w:t>
            </w:r>
          </w:p>
        </w:tc>
        <w:tc>
          <w:tcPr>
            <w:tcW w:w="1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McMullin</w:t>
            </w:r>
          </w:p>
        </w:tc>
        <w:tc>
          <w:tcPr>
            <w:tcW w:w="420" w:type="dxa"/>
            <w:vAlign w:val="bottom"/>
            <w:vMerge w:val="continue"/>
          </w:tcPr>
          <w:p>
            <w:pPr>
              <w:spacing w:after="0"/>
              <w:rPr>
                <w:sz w:val="17"/>
                <w:szCs w:val="17"/>
                <w:color w:val="auto"/>
              </w:rPr>
            </w:pPr>
          </w:p>
        </w:tc>
        <w:tc>
          <w:tcPr>
            <w:tcW w:w="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been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w:t>
            </w:r>
          </w:p>
        </w:tc>
        <w:tc>
          <w:tcPr>
            <w:tcW w:w="13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Executive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Vice</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President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w:t>
            </w:r>
          </w:p>
        </w:tc>
        <w:tc>
          <w:tcPr>
            <w:tcW w:w="12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Managing</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Southeast</w:t>
            </w:r>
          </w:p>
        </w:tc>
        <w:tc>
          <w:tcPr>
            <w:tcW w:w="33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from its inception in June 1990</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900" w:type="dxa"/>
            <w:vAlign w:val="bottom"/>
            <w:gridSpan w:val="6"/>
          </w:tcPr>
          <w:p>
            <w:pPr>
              <w:ind w:left="280"/>
              <w:spacing w:after="0" w:line="203" w:lineRule="exact"/>
              <w:rPr>
                <w:sz w:val="20"/>
                <w:szCs w:val="20"/>
                <w:color w:val="auto"/>
              </w:rPr>
            </w:pPr>
            <w:r>
              <w:rPr>
                <w:rFonts w:ascii="Courier New" w:cs="Courier New" w:eastAsia="Courier New" w:hAnsi="Courier New"/>
                <w:sz w:val="18"/>
                <w:szCs w:val="18"/>
                <w:color w:val="auto"/>
              </w:rPr>
              <w:t>until July 1999, when it</w:t>
            </w:r>
          </w:p>
        </w:tc>
        <w:tc>
          <w:tcPr>
            <w:tcW w:w="18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merged with Ryan,</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4"/>
              </w:rPr>
              <w:t>Beck &amp; Co.</w:t>
            </w:r>
          </w:p>
        </w:tc>
        <w:tc>
          <w:tcPr>
            <w:tcW w:w="15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Since 1997,</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Mr.</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McMullin has</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900" w:type="dxa"/>
            <w:vAlign w:val="bottom"/>
            <w:gridSpan w:val="6"/>
          </w:tcPr>
          <w:p>
            <w:pPr>
              <w:ind w:left="280"/>
              <w:spacing w:after="0" w:line="203" w:lineRule="exact"/>
              <w:rPr>
                <w:sz w:val="20"/>
                <w:szCs w:val="20"/>
                <w:color w:val="auto"/>
              </w:rPr>
            </w:pPr>
            <w:r>
              <w:rPr>
                <w:rFonts w:ascii="Courier New" w:cs="Courier New" w:eastAsia="Courier New" w:hAnsi="Courier New"/>
                <w:sz w:val="18"/>
                <w:szCs w:val="18"/>
                <w:color w:val="auto"/>
              </w:rPr>
              <w:t>been the Executive Vice</w:t>
            </w:r>
          </w:p>
        </w:tc>
        <w:tc>
          <w:tcPr>
            <w:tcW w:w="18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President,  Chief</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4"/>
              </w:rPr>
              <w:t>Investment</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Officer</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and</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4700" w:type="dxa"/>
            <w:vAlign w:val="bottom"/>
            <w:gridSpan w:val="10"/>
          </w:tcPr>
          <w:p>
            <w:pPr>
              <w:ind w:left="280"/>
              <w:spacing w:after="0" w:line="203" w:lineRule="exact"/>
              <w:rPr>
                <w:sz w:val="20"/>
                <w:szCs w:val="20"/>
                <w:color w:val="auto"/>
              </w:rPr>
            </w:pPr>
            <w:r>
              <w:rPr>
                <w:rFonts w:ascii="Courier New" w:cs="Courier New" w:eastAsia="Courier New" w:hAnsi="Courier New"/>
                <w:sz w:val="18"/>
                <w:szCs w:val="18"/>
                <w:color w:val="auto"/>
                <w:w w:val="96"/>
              </w:rPr>
              <w:t>Research Partners International, a company</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that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provides</w:t>
            </w:r>
          </w:p>
        </w:tc>
        <w:tc>
          <w:tcPr>
            <w:tcW w:w="1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institutional</w:t>
            </w:r>
          </w:p>
        </w:tc>
        <w:tc>
          <w:tcPr>
            <w:tcW w:w="20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research,</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380" w:type="dxa"/>
            <w:vAlign w:val="bottom"/>
            <w:gridSpan w:val="5"/>
          </w:tcPr>
          <w:p>
            <w:pPr>
              <w:ind w:left="280"/>
              <w:spacing w:after="0" w:line="203" w:lineRule="exact"/>
              <w:rPr>
                <w:sz w:val="20"/>
                <w:szCs w:val="20"/>
                <w:color w:val="auto"/>
              </w:rPr>
            </w:pPr>
            <w:r>
              <w:rPr>
                <w:rFonts w:ascii="Courier New" w:cs="Courier New" w:eastAsia="Courier New" w:hAnsi="Courier New"/>
                <w:sz w:val="18"/>
                <w:szCs w:val="18"/>
                <w:color w:val="auto"/>
              </w:rPr>
              <w:t>investment banking,</w:t>
            </w:r>
          </w:p>
        </w:tc>
        <w:tc>
          <w:tcPr>
            <w:tcW w:w="12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securities</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brokerage</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4700" w:type="dxa"/>
            <w:vAlign w:val="bottom"/>
            <w:gridSpan w:val="10"/>
          </w:tcPr>
          <w:p>
            <w:pPr>
              <w:ind w:left="280"/>
              <w:spacing w:after="0" w:line="203" w:lineRule="exact"/>
              <w:rPr>
                <w:sz w:val="20"/>
                <w:szCs w:val="20"/>
                <w:color w:val="auto"/>
              </w:rPr>
            </w:pPr>
            <w:r>
              <w:rPr>
                <w:rFonts w:ascii="Courier New" w:cs="Courier New" w:eastAsia="Courier New" w:hAnsi="Courier New"/>
                <w:sz w:val="18"/>
                <w:szCs w:val="18"/>
                <w:color w:val="auto"/>
                <w:w w:val="96"/>
              </w:rPr>
              <w:t>and trading services through its principal</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7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subsidiaries.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Mr.</w:t>
            </w:r>
          </w:p>
        </w:tc>
        <w:tc>
          <w:tcPr>
            <w:tcW w:w="2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McMullin</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has 29 years</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4700" w:type="dxa"/>
            <w:vAlign w:val="bottom"/>
            <w:gridSpan w:val="10"/>
          </w:tcPr>
          <w:p>
            <w:pPr>
              <w:ind w:left="280"/>
              <w:spacing w:after="0" w:line="203" w:lineRule="exact"/>
              <w:rPr>
                <w:sz w:val="20"/>
                <w:szCs w:val="20"/>
                <w:color w:val="auto"/>
              </w:rPr>
            </w:pPr>
            <w:r>
              <w:rPr>
                <w:rFonts w:ascii="Courier New" w:cs="Courier New" w:eastAsia="Courier New" w:hAnsi="Courier New"/>
                <w:sz w:val="18"/>
                <w:szCs w:val="18"/>
                <w:color w:val="auto"/>
                <w:w w:val="96"/>
              </w:rPr>
              <w:t>experience as an analyst in the retail and</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consumer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products</w:t>
            </w:r>
          </w:p>
        </w:tc>
        <w:tc>
          <w:tcPr>
            <w:tcW w:w="220" w:type="dxa"/>
            <w:vAlign w:val="bottom"/>
          </w:tcPr>
          <w:p>
            <w:pPr>
              <w:spacing w:after="0"/>
              <w:rPr>
                <w:sz w:val="17"/>
                <w:szCs w:val="17"/>
                <w:color w:val="auto"/>
              </w:rPr>
            </w:pPr>
          </w:p>
        </w:tc>
        <w:tc>
          <w:tcPr>
            <w:tcW w:w="23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areas in both the U.S.</w:t>
            </w:r>
          </w:p>
        </w:tc>
        <w:tc>
          <w:tcPr>
            <w:tcW w:w="0" w:type="dxa"/>
            <w:vAlign w:val="bottom"/>
          </w:tcPr>
          <w:p>
            <w:pPr>
              <w:spacing w:after="0"/>
              <w:rPr>
                <w:sz w:val="1"/>
                <w:szCs w:val="1"/>
                <w:color w:val="auto"/>
              </w:rPr>
            </w:pPr>
          </w:p>
        </w:tc>
      </w:tr>
      <w:tr>
        <w:trPr>
          <w:trHeight w:val="296"/>
        </w:trPr>
        <w:tc>
          <w:tcPr>
            <w:tcW w:w="3740" w:type="dxa"/>
            <w:vAlign w:val="bottom"/>
          </w:tcPr>
          <w:p>
            <w:pPr>
              <w:spacing w:after="0"/>
              <w:rPr>
                <w:sz w:val="24"/>
                <w:szCs w:val="24"/>
                <w:color w:val="auto"/>
              </w:rPr>
            </w:pPr>
          </w:p>
        </w:tc>
        <w:tc>
          <w:tcPr>
            <w:tcW w:w="17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and Canada.</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Each of the JMI Nominees has consented to serve as a director of the Company and, if elected, intends to discharge his duties as a director in compliance with all applicable legal requirements, including the general fiduciary obligations imposed upon corporate directors.</w:t>
      </w:r>
    </w:p>
    <w:p>
      <w:pPr>
        <w:spacing w:after="0" w:line="82"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is employed by JMI or Seymour Holtzman. All of the Nominees are citizens of the United States. Mr. McMullin is also a citizen of Canada.</w:t>
      </w:r>
    </w:p>
    <w:p>
      <w:pPr>
        <w:spacing w:after="0" w:line="82"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6"/>
          <w:szCs w:val="16"/>
          <w:color w:val="auto"/>
        </w:rPr>
        <w:t>Except as set forth in this Proxy Statement or in Annex A hereto, to the best knowledge of JMI, none of JMI, any of the persons participating in this solicitation on behalf of JMI, the JMI Nominees and, with respect to items (i), (vii) and (viii) of this paragraph, any associate (within the meaning of Rule 14a-1 of the Securities Exchange Act of 1934, as amended (the "Exchange Act")) of the foregoing persons (i) owns beneficially, directly or indirectly any securities of the Company, (ii) owns beneficially, directly or indirectly, any securities of any parent or subsidiary of the Company, (iii) owns any securities of the Company of record but not beneficially, (iv) has purchased or sold any securities of the Company within the past two years, (v) has incurred indebtedness for the purpose of acquiring or holding securities of the Company, (vi) is or has within the past year been a party to any contract, arrangement or understanding with respect to any securities of the Company,</w:t>
      </w:r>
    </w:p>
    <w:p>
      <w:pPr>
        <w:spacing w:after="0" w:line="182" w:lineRule="exact"/>
        <w:rPr>
          <w:sz w:val="20"/>
          <w:szCs w:val="20"/>
          <w:color w:val="auto"/>
        </w:rPr>
      </w:pPr>
    </w:p>
    <w:p>
      <w:pPr>
        <w:jc w:val="both"/>
        <w:ind w:right="1779" w:firstLine="8"/>
        <w:spacing w:after="0" w:line="250"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beginning of the Company's last fiscal year has been indebted to the Company or any of its subsidiaries in excess of $60,000 or (viii) has any arrangement or understanding with respect to future employment by the Company or with respect to any future transactions to which the Company or any of its affiliates will or may be a party. In addition, except as set forth in this Proxy Statement or in Annex A hereto, to the best knowledge of JMI, none of JMI, any of the persons participating in this solicitation</w:t>
      </w:r>
    </w:p>
    <w:p>
      <w:pPr>
        <w:spacing w:after="0" w:line="101"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17 -</w:t>
      </w:r>
    </w:p>
    <w:p>
      <w:pPr>
        <w:sectPr>
          <w:pgSz w:w="11900" w:h="16838" w:orient="portrait"/>
          <w:cols w:equalWidth="0" w:num="1">
            <w:col w:w="10219"/>
          </w:cols>
          <w:pgMar w:left="240" w:top="691" w:right="1440" w:bottom="1440" w:gutter="0" w:footer="0" w:header="0"/>
        </w:sectPr>
      </w:pPr>
    </w:p>
    <w:bookmarkStart w:id="16" w:name="page17"/>
    <w:bookmarkEnd w:id="16"/>
    <w:p>
      <w:pPr>
        <w:jc w:val="both"/>
        <w:ind w:right="1779"/>
        <w:spacing w:after="0" w:line="318" w:lineRule="auto"/>
        <w:rPr>
          <w:sz w:val="20"/>
          <w:szCs w:val="20"/>
          <w:color w:val="auto"/>
        </w:rPr>
      </w:pPr>
      <w:r>
        <w:rPr>
          <w:rFonts w:ascii="Courier New" w:cs="Courier New" w:eastAsia="Courier New" w:hAnsi="Courier New"/>
          <w:sz w:val="16"/>
          <w:szCs w:val="16"/>
          <w:color w:val="auto"/>
        </w:rPr>
        <w:t>on behalf of JMI, the JMI Nominees and any associates of the foregoing persons, has had or is to have a direct or indirect material interest in any transaction or proposed transaction with the Company in which the amount involved exceeds $60,000, since the beginning of the Company's last fiscal year.</w:t>
      </w:r>
    </w:p>
    <w:p>
      <w:pPr>
        <w:spacing w:after="0" w:line="52" w:lineRule="exact"/>
        <w:rPr>
          <w:sz w:val="20"/>
          <w:szCs w:val="20"/>
          <w:color w:val="auto"/>
        </w:rPr>
      </w:pPr>
    </w:p>
    <w:p>
      <w:pPr>
        <w:jc w:val="both"/>
        <w:ind w:right="1779" w:firstLine="1896"/>
        <w:spacing w:after="0" w:line="247"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since the beginning of the Company's last fiscal year, has been affiliated with (i) any entity that made or received, or during the Company's current fiscal year proposes to make or receive, payments to or from the Company or its subsidiaries for property or services in excess of five percent of either the Company's or such entity's consolidated gross revenues for its last full fiscal year, or (ii) any entity to which the Company or its subsidiaries was indebted at the end of the Company's last full fiscal year in an aggregate amount exceeding five percent of the Company's total consolidated assets at the end of such year. None of the JMI Nominees is or during the Company's last fiscal year has been affiliated with any law or investment banking firm that has performed or proposes to perform services for the Company.</w:t>
      </w:r>
    </w:p>
    <w:p>
      <w:pPr>
        <w:spacing w:after="0" w:line="108" w:lineRule="exact"/>
        <w:rPr>
          <w:sz w:val="20"/>
          <w:szCs w:val="20"/>
          <w:color w:val="auto"/>
        </w:rPr>
      </w:pPr>
    </w:p>
    <w:p>
      <w:pPr>
        <w:jc w:val="both"/>
        <w:ind w:right="1779" w:firstLine="1896"/>
        <w:spacing w:after="0" w:line="256" w:lineRule="auto"/>
        <w:rPr>
          <w:sz w:val="20"/>
          <w:szCs w:val="20"/>
          <w:color w:val="auto"/>
        </w:rPr>
      </w:pPr>
      <w:r>
        <w:rPr>
          <w:rFonts w:ascii="Courier New" w:cs="Courier New" w:eastAsia="Courier New" w:hAnsi="Courier New"/>
          <w:sz w:val="18"/>
          <w:szCs w:val="18"/>
          <w:color w:val="auto"/>
        </w:rPr>
        <w:t>To the best knowledge of JMI, none of the corporations or organizations in which the JMI Nominees have conducted their principal occupation or employment was a parent, subsidiary or other affiliate of the Company, and the JMI Nominees do not hold any position or office with the Company or have any family relationship with any executive officer or director of the Company or have been involved in any proceedings, legal or otherwise, of the type required to be disclosed by the rules governing this solicitation.</w:t>
      </w:r>
    </w:p>
    <w:p>
      <w:pPr>
        <w:spacing w:after="0" w:line="98" w:lineRule="exact"/>
        <w:rPr>
          <w:sz w:val="20"/>
          <w:szCs w:val="20"/>
          <w:color w:val="auto"/>
        </w:rPr>
      </w:pPr>
    </w:p>
    <w:p>
      <w:pPr>
        <w:jc w:val="both"/>
        <w:ind w:right="1779" w:firstLine="1896"/>
        <w:spacing w:after="0" w:line="265" w:lineRule="auto"/>
        <w:rPr>
          <w:sz w:val="20"/>
          <w:szCs w:val="20"/>
          <w:color w:val="auto"/>
        </w:rPr>
      </w:pPr>
      <w:r>
        <w:rPr>
          <w:rFonts w:ascii="Courier New" w:cs="Courier New" w:eastAsia="Courier New" w:hAnsi="Courier New"/>
          <w:sz w:val="18"/>
          <w:szCs w:val="18"/>
          <w:color w:val="auto"/>
        </w:rPr>
        <w:t>JMI has agreed to indemnify each of the Nominees against certain liabilities, including liabilities under the federal securities laws, in connection with this proxy solicitation and such person's involvement in the operation of the Company and to reimburse such Nominee for his out-of-pocket expenses.</w:t>
      </w:r>
    </w:p>
    <w:p>
      <w:pPr>
        <w:spacing w:after="0" w:line="90" w:lineRule="exact"/>
        <w:rPr>
          <w:sz w:val="20"/>
          <w:szCs w:val="20"/>
          <w:color w:val="auto"/>
        </w:rPr>
      </w:pPr>
    </w:p>
    <w:p>
      <w:pPr>
        <w:jc w:val="both"/>
        <w:ind w:right="1779" w:firstLine="1896"/>
        <w:spacing w:after="0" w:line="347" w:lineRule="auto"/>
        <w:rPr>
          <w:sz w:val="20"/>
          <w:szCs w:val="20"/>
          <w:color w:val="auto"/>
        </w:rPr>
      </w:pPr>
      <w:r>
        <w:rPr>
          <w:rFonts w:ascii="Courier New" w:cs="Courier New" w:eastAsia="Courier New" w:hAnsi="Courier New"/>
          <w:sz w:val="18"/>
          <w:szCs w:val="18"/>
          <w:color w:val="auto"/>
        </w:rPr>
        <w:t>As noted above, if elected to the Board of Directors the JMI Nominees also expect to seek to invite Stanley Berger to re-join the Board.</w:t>
      </w:r>
    </w:p>
    <w:p>
      <w:pPr>
        <w:spacing w:after="0" w:line="18" w:lineRule="exact"/>
        <w:rPr>
          <w:sz w:val="20"/>
          <w:szCs w:val="20"/>
          <w:color w:val="auto"/>
        </w:rPr>
      </w:pPr>
    </w:p>
    <w:p>
      <w:pPr>
        <w:jc w:val="both"/>
        <w:ind w:right="1779" w:firstLine="1896"/>
        <w:spacing w:after="0" w:line="247" w:lineRule="auto"/>
        <w:rPr>
          <w:sz w:val="20"/>
          <w:szCs w:val="20"/>
          <w:color w:val="auto"/>
        </w:rPr>
      </w:pPr>
      <w:r>
        <w:rPr>
          <w:rFonts w:ascii="Courier New" w:cs="Courier New" w:eastAsia="Courier New" w:hAnsi="Courier New"/>
          <w:sz w:val="18"/>
          <w:szCs w:val="18"/>
          <w:color w:val="auto"/>
        </w:rPr>
        <w:t>Seymour Holtzman and JMI have engaged in other proxy contests in recent years. In October 1995, Seymour Holtzman sought proxies from the stockholders of First Financial Corporation of Western Maryland ("FFWM") in connection with FFWM's 1995 annual meeting of stockholders (1) to elect a slate of directors nominated by Mr. Holtzman to FFWM's Board of Directors and (2) to vote against the adoption of FFWM's stock option plan, which was proposed by FFWM's Board of Directors. Mr. Holtzman was successful in defeating the adoption of the stock option plan, but narrowly lost the proposal for the election of his director nominees. In connection with FFWM's 1996 annual meeting of stockholders, Seymour Holtzman also sought proxies from the stockholders of FFWM to elect four individuals nominated by Mr. Holtzman to FFWM's Board of Directors. Mr. Holtzman agreed to withdraw his proposal for election of directors after FFWM hired an</w:t>
      </w:r>
    </w:p>
    <w:p>
      <w:pPr>
        <w:spacing w:after="0" w:line="1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10219"/>
          </w:cols>
          <w:pgMar w:left="240" w:top="691" w:right="1440" w:bottom="1440" w:gutter="0" w:footer="0" w:header="0"/>
        </w:sectPr>
      </w:pPr>
    </w:p>
    <w:bookmarkStart w:id="17" w:name="page18"/>
    <w:bookmarkEnd w:id="17"/>
    <w:p>
      <w:pPr>
        <w:jc w:val="both"/>
        <w:ind w:right="1779"/>
        <w:spacing w:after="0" w:line="347" w:lineRule="auto"/>
        <w:rPr>
          <w:sz w:val="20"/>
          <w:szCs w:val="20"/>
          <w:color w:val="auto"/>
        </w:rPr>
      </w:pPr>
      <w:r>
        <w:rPr>
          <w:rFonts w:ascii="Courier New" w:cs="Courier New" w:eastAsia="Courier New" w:hAnsi="Courier New"/>
          <w:sz w:val="18"/>
          <w:szCs w:val="18"/>
          <w:color w:val="auto"/>
        </w:rPr>
        <w:t>investment banking firm to pursue a sale or merger of the bank. FFWM ultimately merged with Keystone Financial Inc.</w:t>
      </w:r>
    </w:p>
    <w:p>
      <w:pPr>
        <w:spacing w:after="0" w:line="18" w:lineRule="exact"/>
        <w:rPr>
          <w:sz w:val="20"/>
          <w:szCs w:val="20"/>
          <w:color w:val="auto"/>
        </w:rPr>
      </w:pPr>
    </w:p>
    <w:p>
      <w:pPr>
        <w:jc w:val="both"/>
        <w:ind w:right="1779" w:firstLine="1896"/>
        <w:spacing w:after="0" w:line="250" w:lineRule="auto"/>
        <w:rPr>
          <w:sz w:val="20"/>
          <w:szCs w:val="20"/>
          <w:color w:val="auto"/>
        </w:rPr>
      </w:pPr>
      <w:r>
        <w:rPr>
          <w:rFonts w:ascii="Courier New" w:cs="Courier New" w:eastAsia="Courier New" w:hAnsi="Courier New"/>
          <w:sz w:val="18"/>
          <w:szCs w:val="18"/>
          <w:color w:val="auto"/>
        </w:rPr>
        <w:t>JMI filed a preliminary proxy statement in connection with the 1999 annual meeting of stockholders of Little Switzerland, Inc. ("LSVI"), which meeting was scheduled to be held on February 25, 1999. JMI's preliminary proxy statement related to its intent to solicit proxies to elect certain individuals nominated by JMI to the Board of Directors of LSVI. In February, 1999, JMI and LSVI settled the potential proxy contest. As part of the settlement, LSVI's Board of Directors agreed to nominate certain of JMI's director nominees to the LSVI Board of Directors. In addition, JMI engaged in a consent solicitation with respect to the Company. See "Background of JMI's Investment in Designs, Inc." below.</w:t>
      </w:r>
    </w:p>
    <w:p>
      <w:pPr>
        <w:spacing w:after="0" w:line="1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BACKGROUND OF JMI'S INVESTMENT IN DESIGNS, INC.</w:t>
      </w:r>
    </w:p>
    <w:p>
      <w:pPr>
        <w:spacing w:after="0" w:line="201"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Beginning in October 1998, JMI began to acquire shares of Common Stock because JMI believed that the then current trading prices of the Common Stock did not adequately reflect the value of the underlying business and assets of the Company.</w:t>
      </w:r>
    </w:p>
    <w:p>
      <w:pPr>
        <w:spacing w:after="0" w:line="82" w:lineRule="exact"/>
        <w:rPr>
          <w:sz w:val="20"/>
          <w:szCs w:val="20"/>
          <w:color w:val="auto"/>
        </w:rPr>
      </w:pPr>
    </w:p>
    <w:p>
      <w:pPr>
        <w:jc w:val="both"/>
        <w:ind w:right="1779" w:firstLine="1896"/>
        <w:spacing w:after="0" w:line="248" w:lineRule="auto"/>
        <w:rPr>
          <w:sz w:val="20"/>
          <w:szCs w:val="20"/>
          <w:color w:val="auto"/>
        </w:rPr>
      </w:pPr>
      <w:r>
        <w:rPr>
          <w:rFonts w:ascii="Courier New" w:cs="Courier New" w:eastAsia="Courier New" w:hAnsi="Courier New"/>
          <w:sz w:val="18"/>
          <w:szCs w:val="18"/>
          <w:color w:val="auto"/>
        </w:rPr>
        <w:t>On November 27, 1998, JMI, JI, SH and Seymour and Evelyn Holtzman (the "Reporting Persons") filed with the Securities and Exchange Commission a Statement on Schedule 13D (the "Schedule 13D") reporting that JMI had acquired in excess of 5% of the outstanding shares of the Common Stock. On December 1, 1998 the Reporting Persons filed an amendment to the Schedule 13D reporting that JMI had acquired an additional 528,500 shares of Common Stock, bringing JMI's ownership to approximately 9.9% of the Common Stock last reported by the Company as outstanding. The total amount of funds required to purchase the shares of Common Stock acquired by JMI since October 26, 1998 was $976,978.50, all of which was obtained through credit made available to JMI under standard margin agreements with a registered broker dealer entered into in the ordinary course of business.</w:t>
      </w:r>
    </w:p>
    <w:p>
      <w:pPr>
        <w:spacing w:after="0" w:line="105"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Seymour Holtzman was originally among the individuals nominated by JMI for election to the Board of Directors at the Annual Meeting and remains a participant in this solicitation. He is the Chairman of the Board and Chief Executive Officer of JMI and with his wife owns, as tenants by the entirety, a controlling interest in JMI's ultimate parent company, S.H. Holdings, Inc. Mr. Holtzman, age 63, maintains a business address at 100 North Wilkes-Barre Blvd., Wilkes-Barre PA 18702. Mr. Holtzman has been involved in the retail business for over 30 years. For many years he has been the President and Chief Executive Officer of Jewelcor, Inc., formerly a New York Stock Exchange company that operated a nationwide chain of retail stores. In addition, from 1986 to 1988 Mr. Holtzman was the Chairman of the Board and Chief Executive Officer of Gruen Marketing Corporation, an American Stock Exchange company involved in the nationwide distribution of watches and the operation of retail factory outlet stores. Mr. Holtzman is the Chief Executive Officer of Jewelcor Management, Inc.; C.D. Peacock, Inc., a prominent Chicago, Illinois retail</w:t>
      </w:r>
    </w:p>
    <w:p>
      <w:pPr>
        <w:spacing w:after="0" w:line="2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10219"/>
          </w:cols>
          <w:pgMar w:left="240" w:top="691" w:right="1440" w:bottom="1440" w:gutter="0" w:footer="0" w:header="0"/>
        </w:sectPr>
      </w:pPr>
    </w:p>
    <w:bookmarkStart w:id="18" w:name="page19"/>
    <w:bookmarkEnd w:id="18"/>
    <w:p>
      <w:pPr>
        <w:jc w:val="both"/>
        <w:ind w:right="1779"/>
        <w:spacing w:after="0" w:line="260" w:lineRule="auto"/>
        <w:rPr>
          <w:sz w:val="20"/>
          <w:szCs w:val="20"/>
          <w:color w:val="auto"/>
        </w:rPr>
      </w:pPr>
      <w:r>
        <w:rPr>
          <w:rFonts w:ascii="Courier New" w:cs="Courier New" w:eastAsia="Courier New" w:hAnsi="Courier New"/>
          <w:sz w:val="18"/>
          <w:szCs w:val="18"/>
          <w:color w:val="auto"/>
        </w:rPr>
        <w:t>jewelry establishment; and S.A. Peck &amp; Company, a retail and mail order jewelry company based in Chicago, Illinois, which has operated a retail internet division for over 5 years; as well as other affiliated entities. Mr. Holtzman is also a member of the Board of Directors of Ambanc Holding Co., Inc., the parent company for a $730 million bank. Unless otherwise noted all general statements concerning the JMI Nominees also apply to Mr. Holtzman.</w:t>
      </w:r>
    </w:p>
    <w:p>
      <w:pPr>
        <w:spacing w:after="0" w:line="93" w:lineRule="exact"/>
        <w:rPr>
          <w:sz w:val="20"/>
          <w:szCs w:val="20"/>
          <w:color w:val="auto"/>
        </w:rPr>
      </w:pPr>
    </w:p>
    <w:p>
      <w:pPr>
        <w:jc w:val="both"/>
        <w:ind w:right="1779" w:firstLine="1896"/>
        <w:spacing w:after="0" w:line="276" w:lineRule="auto"/>
        <w:rPr>
          <w:sz w:val="20"/>
          <w:szCs w:val="20"/>
          <w:color w:val="auto"/>
        </w:rPr>
      </w:pPr>
      <w:r>
        <w:rPr>
          <w:rFonts w:ascii="Courier New" w:cs="Courier New" w:eastAsia="Courier New" w:hAnsi="Courier New"/>
          <w:sz w:val="16"/>
          <w:szCs w:val="16"/>
          <w:color w:val="auto"/>
        </w:rPr>
        <w:t>On December 7, 1998, JMI commenced a consent solicitation requesting that the shareholders of the Company vote for its proposals to (i) remove all current members of the Company's Board of Directors other than Stanley I. Berger; (ii) elect Seymour Holtzman, Peter R. McMullin, Steve R. Tomasi, Jesse H. Choper and Deborah M. Rhem-Jackson as directors of the Company;</w:t>
      </w:r>
    </w:p>
    <w:p>
      <w:pPr>
        <w:spacing w:after="0" w:line="3" w:lineRule="exact"/>
        <w:rPr>
          <w:sz w:val="20"/>
          <w:szCs w:val="20"/>
          <w:color w:val="auto"/>
        </w:rPr>
      </w:pPr>
    </w:p>
    <w:p>
      <w:pPr>
        <w:jc w:val="both"/>
        <w:ind w:right="1779" w:firstLine="8"/>
        <w:spacing w:after="0" w:line="273" w:lineRule="auto"/>
        <w:tabs>
          <w:tab w:leader="none" w:pos="6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certain sections of the By-Laws of the Company; and (iv) repeal any By-Laws adopted by the Board of Directors subsequent to December 11, 1995 other than the By-Laws adopted as contemplated by the consent solicitation.</w:t>
      </w:r>
    </w:p>
    <w:p>
      <w:pPr>
        <w:spacing w:after="0" w:line="82"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Based on information obtained from JMI's proxy solicitation firm, shareholders representing approximately 42.8% of the total outstanding shares of Common Stock of the Company voted in favor of JMI's proposals in response to the December 1998 solicitation.</w:t>
      </w:r>
    </w:p>
    <w:p>
      <w:pPr>
        <w:spacing w:after="0" w:line="82" w:lineRule="exact"/>
        <w:rPr>
          <w:sz w:val="20"/>
          <w:szCs w:val="20"/>
          <w:color w:val="auto"/>
        </w:rPr>
      </w:pP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In response to the consent</w:t>
      </w:r>
      <w:r>
        <w:rPr>
          <w:sz w:val="20"/>
          <w:szCs w:val="20"/>
          <w:color w:val="auto"/>
        </w:rPr>
        <w:tab/>
      </w:r>
      <w:r>
        <w:rPr>
          <w:rFonts w:ascii="Courier New" w:cs="Courier New" w:eastAsia="Courier New" w:hAnsi="Courier New"/>
          <w:sz w:val="16"/>
          <w:szCs w:val="16"/>
          <w:color w:val="auto"/>
        </w:rPr>
        <w:t>solicitation the Company indicated</w:t>
      </w:r>
    </w:p>
    <w:p>
      <w:pPr>
        <w:spacing w:after="0" w:line="31" w:lineRule="exact"/>
        <w:rPr>
          <w:sz w:val="20"/>
          <w:szCs w:val="20"/>
          <w:color w:val="auto"/>
        </w:rPr>
      </w:pPr>
    </w:p>
    <w:p>
      <w:pPr>
        <w:jc w:val="both"/>
        <w:ind w:right="1779" w:firstLine="8"/>
        <w:spacing w:after="0" w:line="273"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 to sell the Company at the highest available price in the near term. Thereafter, JMI pursued preliminary discussions with the Company with respect to a potential acquisition.</w:t>
      </w:r>
    </w:p>
    <w:p>
      <w:pPr>
        <w:spacing w:after="0" w:line="82" w:lineRule="exact"/>
        <w:rPr>
          <w:sz w:val="20"/>
          <w:szCs w:val="20"/>
          <w:color w:val="auto"/>
        </w:rPr>
      </w:pPr>
    </w:p>
    <w:p>
      <w:pPr>
        <w:jc w:val="both"/>
        <w:ind w:right="1779" w:firstLine="1896"/>
        <w:spacing w:after="0" w:line="250" w:lineRule="auto"/>
        <w:rPr>
          <w:sz w:val="20"/>
          <w:szCs w:val="20"/>
          <w:color w:val="auto"/>
        </w:rPr>
      </w:pPr>
      <w:r>
        <w:rPr>
          <w:rFonts w:ascii="Courier New" w:cs="Courier New" w:eastAsia="Courier New" w:hAnsi="Courier New"/>
          <w:sz w:val="18"/>
          <w:szCs w:val="18"/>
          <w:color w:val="auto"/>
        </w:rPr>
        <w:t>JMI indicated, based on the status of discussions and outstanding questions and issues regarding the Company, including, among other things, significant tax and other diligence items, that it was not yet prepared to make an unconditional proposal to acquire the Company. Nevertheless, the Company's investment bankers requested that JMI submit an immediate proposal subject to any appropriate conditions. Accordingly, on April 28, 1999, JMI submitted to the Company a proposal, subject to certain express terms and conditions, under which JMI stated it would explore the purchase of all of the issued and outstanding capital stock of the Company. A copy of JMI's April 28, 1998 letter is annexed hereto as Annex B.</w:t>
      </w:r>
    </w:p>
    <w:p>
      <w:pPr>
        <w:spacing w:after="0" w:line="104" w:lineRule="exact"/>
        <w:rPr>
          <w:sz w:val="20"/>
          <w:szCs w:val="20"/>
          <w:color w:val="auto"/>
        </w:rPr>
      </w:pPr>
    </w:p>
    <w:p>
      <w:pPr>
        <w:jc w:val="both"/>
        <w:ind w:right="1779" w:firstLine="1896"/>
        <w:spacing w:after="0" w:line="347" w:lineRule="auto"/>
        <w:rPr>
          <w:sz w:val="20"/>
          <w:szCs w:val="20"/>
          <w:color w:val="auto"/>
        </w:rPr>
      </w:pPr>
      <w:r>
        <w:rPr>
          <w:rFonts w:ascii="Courier New" w:cs="Courier New" w:eastAsia="Courier New" w:hAnsi="Courier New"/>
          <w:sz w:val="18"/>
          <w:szCs w:val="18"/>
          <w:color w:val="auto"/>
        </w:rPr>
        <w:t>On May 5, 1999, the Special Committee of the Board of Directors of the Company responded to JMI's April 28, 1999 proposal.</w:t>
      </w:r>
    </w:p>
    <w:p>
      <w:pPr>
        <w:spacing w:after="0" w:line="18" w:lineRule="exact"/>
        <w:rPr>
          <w:sz w:val="20"/>
          <w:szCs w:val="20"/>
          <w:color w:val="auto"/>
        </w:rPr>
      </w:pPr>
    </w:p>
    <w:p>
      <w:pPr>
        <w:jc w:val="both"/>
        <w:ind w:right="1779" w:firstLine="1896"/>
        <w:spacing w:after="0" w:line="249" w:lineRule="auto"/>
        <w:rPr>
          <w:sz w:val="20"/>
          <w:szCs w:val="20"/>
          <w:color w:val="auto"/>
        </w:rPr>
      </w:pPr>
      <w:r>
        <w:rPr>
          <w:rFonts w:ascii="Courier New" w:cs="Courier New" w:eastAsia="Courier New" w:hAnsi="Courier New"/>
          <w:sz w:val="18"/>
          <w:szCs w:val="18"/>
          <w:color w:val="auto"/>
        </w:rPr>
        <w:t>On June 24, 1999, JMI withdrew its April 28, 1999 proposal based on Designs' failure to comply with JMI's conditions and requests and to provide JMI with all of the information that it sought in connection with its due diligence. Copies of Seymour Holtzman's correspondence to James G. Groninger, Chairman of the Special Committee of the Board of Directors of the Company, which set forth the basis of JMI's withdrawal of its proposal, are annexed hereto as Annex C and Annex D. The issues of concern to JMI are described in that correspondence. JMI requested a variety of information as a condition to proceeding with its consideration of a transaction. In JMI's view, the responses to those requests were unsatisfactory, with material being denied or delayed. In fact, the Company did not respond to</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10219"/>
          </w:cols>
          <w:pgMar w:left="240" w:top="69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certain requests until JMI had withdrawn its acquisition proposal entirely.</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POTENTIAL EFFECTS OF THE PROPOSALS</w:t>
      </w:r>
    </w:p>
    <w:p>
      <w:pPr>
        <w:spacing w:after="0" w:line="201" w:lineRule="exact"/>
        <w:rPr>
          <w:sz w:val="20"/>
          <w:szCs w:val="20"/>
          <w:color w:val="auto"/>
        </w:rPr>
      </w:pPr>
    </w:p>
    <w:p>
      <w:pPr>
        <w:jc w:val="both"/>
        <w:ind w:right="1779" w:firstLine="1896"/>
        <w:spacing w:after="0" w:line="250" w:lineRule="auto"/>
        <w:rPr>
          <w:sz w:val="20"/>
          <w:szCs w:val="20"/>
          <w:color w:val="auto"/>
        </w:rPr>
      </w:pPr>
      <w:r>
        <w:rPr>
          <w:rFonts w:ascii="Courier New" w:cs="Courier New" w:eastAsia="Courier New" w:hAnsi="Courier New"/>
          <w:sz w:val="18"/>
          <w:szCs w:val="18"/>
          <w:color w:val="auto"/>
        </w:rPr>
        <w:t>Set forth below is a description of certain provisions of certain agreements to which the Company is a party which may be affected as a result of the election of the JMI Nominees and which appear to JMI to have the potential to materially impact the Company. This description is qualified in its entirety by reference to such agreements which have been filed by the Company with the Commission. The election of the JMI Nominees may trigger "change of control" provisions in certain agreements to which the Company is a party. Other documents or arrangements applicable to the Company not available to or not reviewed by JMI may affect the matters described below or may be affected by the matters contemplated by this Proxy Statement.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Agreement</w:t>
      </w:r>
    </w:p>
    <w:p>
      <w:pPr>
        <w:spacing w:after="0" w:line="201" w:lineRule="exact"/>
        <w:rPr>
          <w:sz w:val="20"/>
          <w:szCs w:val="20"/>
          <w:color w:val="auto"/>
        </w:rPr>
      </w:pPr>
    </w:p>
    <w:p>
      <w:pPr>
        <w:jc w:val="both"/>
        <w:ind w:right="1779" w:firstLine="1896"/>
        <w:spacing w:after="0" w:line="243" w:lineRule="auto"/>
        <w:rPr>
          <w:sz w:val="20"/>
          <w:szCs w:val="20"/>
          <w:color w:val="auto"/>
        </w:rPr>
      </w:pPr>
      <w:r>
        <w:rPr>
          <w:rFonts w:ascii="Courier New" w:cs="Courier New" w:eastAsia="Courier New" w:hAnsi="Courier New"/>
          <w:sz w:val="18"/>
          <w:szCs w:val="18"/>
          <w:color w:val="auto"/>
        </w:rPr>
        <w:t>On June 4, 1998 the Company amended its asset based lending agreement (the "Lending Agreement") with BankBoston Retail Finance, Inc. ("BankBoston"). The Lending Agreement allows the Company to borrow an amount equal to up to 65% of its inventory. As of ___, 1999 the aggregate amount currently available to be borrowed was approximately $37 million and the Company currently has an outstanding balance under the Lending Agreement of approximately $14 million. The Lending Agreement provides that the change of a majority of the Board of Directors would constitute a change of control which would constitute an "event of default." Upon the occurrence of an "event of default" any and all "Liabilities" shall either (i) become due and payable without any further act on the part of BankBoston or any other lender or (ii) become immediately due and payable, at the option of BankBoston without notice or demand. Liabilities include, among other things, the obligation to pay any loan or advance and any interest thereon. JMI expects to cause the Company to seek to have BankBoston confirm that no "change of control" has occurred or waive the effects of any such "change of control." If BankBoston declares a default, JMI will assist the Company in making other financing arrangements to replace the Lending Agreement. In this regard, JMI has already received three comparable proposals from financial institutions. There can be no assurance that either of the foregoing can be implemented or agreed, or if implemented or agreed, the terms on which such implementation or agreement may be reached.</w:t>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1" w:lineRule="exact"/>
        <w:rPr>
          <w:sz w:val="20"/>
          <w:szCs w:val="20"/>
          <w:color w:val="auto"/>
        </w:rPr>
      </w:pPr>
    </w:p>
    <w:p>
      <w:pPr>
        <w:jc w:val="both"/>
        <w:ind w:right="1779" w:firstLine="1896"/>
        <w:spacing w:after="0" w:line="260" w:lineRule="auto"/>
        <w:rPr>
          <w:sz w:val="20"/>
          <w:szCs w:val="20"/>
          <w:color w:val="auto"/>
        </w:rPr>
      </w:pPr>
      <w:r>
        <w:rPr>
          <w:rFonts w:ascii="Courier New" w:cs="Courier New" w:eastAsia="Courier New" w:hAnsi="Courier New"/>
          <w:sz w:val="18"/>
          <w:szCs w:val="18"/>
          <w:color w:val="auto"/>
        </w:rPr>
        <w:t>The Company has entered into employment agreements (each an "Employment Agreement" and collectively, the "Employment Agreements") with each of Joel H. Reichman, the President and Chief Executive Officer, Scott N. Semel, Senior Vice President, General Counsel and Secretary, and Carolyn Faulkner, Vice President and Chief Financial Officer (each an "Executive" and collectively, the "Executives") which contain "golden parachute</w:t>
      </w:r>
    </w:p>
    <w:p>
      <w:pPr>
        <w:spacing w:after="0" w:line="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- 21 -</w:t>
      </w:r>
    </w:p>
    <w:p>
      <w:pPr>
        <w:sectPr>
          <w:pgSz w:w="11900" w:h="16838" w:orient="portrait"/>
          <w:cols w:equalWidth="0" w:num="1">
            <w:col w:w="10219"/>
          </w:cols>
          <w:pgMar w:left="240" w:top="691" w:right="1440" w:bottom="1440" w:gutter="0" w:footer="0" w:header="0"/>
        </w:sectPr>
      </w:pPr>
    </w:p>
    <w:bookmarkStart w:id="20" w:name="page21"/>
    <w:bookmarkEnd w:id="20"/>
    <w:p>
      <w:pPr>
        <w:jc w:val="both"/>
        <w:ind w:right="1779"/>
        <w:spacing w:after="0" w:line="347" w:lineRule="auto"/>
        <w:rPr>
          <w:sz w:val="20"/>
          <w:szCs w:val="20"/>
          <w:color w:val="auto"/>
        </w:rPr>
      </w:pPr>
      <w:r>
        <w:rPr>
          <w:rFonts w:ascii="Courier New" w:cs="Courier New" w:eastAsia="Courier New" w:hAnsi="Courier New"/>
          <w:sz w:val="18"/>
          <w:szCs w:val="18"/>
          <w:color w:val="auto"/>
        </w:rPr>
        <w:t>provisions". The Employment Agreements provide that removal and replacement of a majority of the Board of Directors would constitute a "change of control."</w:t>
      </w:r>
    </w:p>
    <w:p>
      <w:pPr>
        <w:spacing w:after="0" w:line="18" w:lineRule="exact"/>
        <w:rPr>
          <w:sz w:val="20"/>
          <w:szCs w:val="20"/>
          <w:color w:val="auto"/>
        </w:rPr>
      </w:pPr>
    </w:p>
    <w:p>
      <w:pPr>
        <w:jc w:val="both"/>
        <w:ind w:right="1779" w:firstLine="1896"/>
        <w:spacing w:after="0" w:line="246" w:lineRule="auto"/>
        <w:rPr>
          <w:sz w:val="20"/>
          <w:szCs w:val="20"/>
          <w:color w:val="auto"/>
        </w:rPr>
      </w:pPr>
      <w:r>
        <w:rPr>
          <w:rFonts w:ascii="Courier New" w:cs="Courier New" w:eastAsia="Courier New" w:hAnsi="Courier New"/>
          <w:sz w:val="18"/>
          <w:szCs w:val="18"/>
          <w:color w:val="auto"/>
        </w:rPr>
        <w:t>If, among other things, the Company shall fail to renew such Executive's Employment Agreement within two years of a "change of control," or if any of the Executives is terminated without justifiable cause, the Company shall upon such termination, immediately pay such Executive, the greater of (i) two times the then annual salary of such Executive or (ii) 1/12 of such Executive's then annual salary multiplied by the number of months remaining in the term (the "Severance Period"). In addition, the Company shall continue to allow such Executive to participate, at the Company's expense, in the Company's health insurance and disability insurance programs, to the extent permitted under such programs, during the Severance Period and shall pay such Executive additional compensation to enable such Executive to pay any tax that may be imposed by Section 280G of the Internal Revenue Code of 1986, as amended. Based on publicly available filings, the current annual salaries of each of Mr. Reichman, Mr. Semel and Ms. Faulkner are $375,000, $290,000 and $210,000, respectively.</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201" w:lineRule="exact"/>
        <w:rPr>
          <w:sz w:val="20"/>
          <w:szCs w:val="20"/>
          <w:color w:val="auto"/>
        </w:rPr>
      </w:pPr>
    </w:p>
    <w:p>
      <w:pPr>
        <w:jc w:val="both"/>
        <w:ind w:right="1779" w:firstLine="1896"/>
        <w:spacing w:after="0" w:line="248" w:lineRule="auto"/>
        <w:rPr>
          <w:sz w:val="20"/>
          <w:szCs w:val="20"/>
          <w:color w:val="auto"/>
        </w:rPr>
      </w:pPr>
      <w:r>
        <w:rPr>
          <w:rFonts w:ascii="Courier New" w:cs="Courier New" w:eastAsia="Courier New" w:hAnsi="Courier New"/>
          <w:sz w:val="18"/>
          <w:szCs w:val="18"/>
          <w:color w:val="auto"/>
        </w:rPr>
        <w:t>Pursuant to the Company's 1992 Stock Incentive Plan, as amended (the "1992 Stock Incentive Plan"), incentive and non-incentive stock options, unrestricted and restricted stock awards and performance share awards may be granted to full or part time officers and other selected employees of the Company and its subsidiaries. In addition, the 1992 Stock Incentive Plan provides that each non-employee director of the Company that is elected by the stockholders initially will be granted, upon such election, a stock option to purchase up to 10,000 shares of the Company's Common Stock at the then fair market value of the Common Stock. The 1992 Stock Incentive Plan also provides that each non-employee director of the Company that is re-elected to the Board is granted, upon such re-election, a stock option to purchase up to 3,000 shares of Common Stock at the then fair market value of the Common Stock.</w:t>
      </w:r>
    </w:p>
    <w:p>
      <w:pPr>
        <w:spacing w:after="0" w:line="105" w:lineRule="exact"/>
        <w:rPr>
          <w:sz w:val="20"/>
          <w:szCs w:val="20"/>
          <w:color w:val="auto"/>
        </w:rPr>
      </w:pPr>
    </w:p>
    <w:p>
      <w:pPr>
        <w:jc w:val="both"/>
        <w:ind w:right="1779" w:firstLine="1896"/>
        <w:spacing w:after="0" w:line="256" w:lineRule="auto"/>
        <w:rPr>
          <w:sz w:val="20"/>
          <w:szCs w:val="20"/>
          <w:color w:val="auto"/>
        </w:rPr>
      </w:pPr>
      <w:r>
        <w:rPr>
          <w:rFonts w:ascii="Courier New" w:cs="Courier New" w:eastAsia="Courier New" w:hAnsi="Courier New"/>
          <w:sz w:val="18"/>
          <w:szCs w:val="18"/>
          <w:color w:val="auto"/>
        </w:rPr>
        <w:t>Each stock option granted under the 1992 Stock Incentive Plan will automatically become fully exercisable upon a "change of control." For purposes of the 1992 Stock Incentive Plan, the Election of the JMI Nominees would constitute a "change of control." In addition, upon a "change of control" all restrictions on restricted stock are automatically deemed waived and the recipients of such restricted stock awards shall become entitled to receipt of the stock subject to such awards.</w:t>
      </w:r>
    </w:p>
    <w:p>
      <w:pPr>
        <w:spacing w:after="0" w:line="98"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Based on the Company's proxy statements for the annual meetings of stockholders for each of 1996, 1997, and 1998 the senior officers hold options to acquire a total of 700,000 shares at prices ranging from $6.125 to $12.00 per share.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and License Agreement</w:t>
      </w:r>
    </w:p>
    <w:p>
      <w:pPr>
        <w:spacing w:after="0" w:line="201" w:lineRule="exact"/>
        <w:rPr>
          <w:sz w:val="20"/>
          <w:szCs w:val="20"/>
          <w:color w:val="auto"/>
        </w:rPr>
      </w:pPr>
    </w:p>
    <w:p>
      <w:pPr>
        <w:jc w:val="center"/>
        <w:ind w:right="-120"/>
        <w:spacing w:after="0"/>
        <w:tabs>
          <w:tab w:leader="none" w:pos="200" w:val="left"/>
          <w:tab w:leader="none" w:pos="200" w:val="left"/>
          <w:tab w:leader="none" w:pos="180" w:val="left"/>
        </w:tabs>
        <w:rPr>
          <w:sz w:val="20"/>
          <w:szCs w:val="20"/>
          <w:color w:val="auto"/>
        </w:rPr>
      </w:pPr>
      <w:r>
        <w:rPr>
          <w:rFonts w:ascii="Courier New" w:cs="Courier New" w:eastAsia="Courier New" w:hAnsi="Courier New"/>
          <w:sz w:val="18"/>
          <w:szCs w:val="18"/>
          <w:color w:val="auto"/>
        </w:rPr>
        <w:t>The</w:t>
        <w:tab/>
        <w:t>Company is a party to an Amended and</w:t>
        <w:tab/>
        <w:t>Restated</w:t>
      </w:r>
      <w:r>
        <w:rPr>
          <w:sz w:val="20"/>
          <w:szCs w:val="20"/>
          <w:color w:val="auto"/>
        </w:rPr>
        <w:tab/>
      </w:r>
      <w:r>
        <w:rPr>
          <w:rFonts w:ascii="Courier New" w:cs="Courier New" w:eastAsia="Courier New" w:hAnsi="Courier New"/>
          <w:sz w:val="16"/>
          <w:szCs w:val="16"/>
          <w:color w:val="auto"/>
        </w:rPr>
        <w:t>Trademark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- 22 -</w:t>
      </w:r>
    </w:p>
    <w:p>
      <w:pPr>
        <w:sectPr>
          <w:pgSz w:w="11900" w:h="16838" w:orient="portrait"/>
          <w:cols w:equalWidth="0" w:num="1">
            <w:col w:w="10219"/>
          </w:cols>
          <w:pgMar w:left="240" w:top="691" w:right="1440" w:bottom="1440" w:gutter="0" w:footer="0" w:header="0"/>
        </w:sectPr>
      </w:pPr>
    </w:p>
    <w:bookmarkStart w:id="21" w:name="page22"/>
    <w:bookmarkEnd w:id="21"/>
    <w:p>
      <w:pPr>
        <w:jc w:val="both"/>
        <w:ind w:right="1779"/>
        <w:spacing w:after="0" w:line="289" w:lineRule="auto"/>
        <w:rPr>
          <w:sz w:val="20"/>
          <w:szCs w:val="20"/>
          <w:color w:val="auto"/>
        </w:rPr>
      </w:pPr>
      <w:r>
        <w:rPr>
          <w:rFonts w:ascii="Courier New" w:cs="Courier New" w:eastAsia="Courier New" w:hAnsi="Courier New"/>
          <w:sz w:val="16"/>
          <w:szCs w:val="16"/>
          <w:color w:val="auto"/>
        </w:rPr>
        <w:t>Agreement (the "License Agreement") with Levi Strauss &amp; Co. ("Levi Strauss") pursuant to which, among other things, Levi Strauss has granted certain rights to use certain Levi Strauss trademarks in connection with the Company's business. The License Agreement purports to restrict assignments, sublicenses or other transfers (a "transfer") by the Company of its rights or obligations under the License Agreement without the prior written approval of Levi Strauss, and to further provide that a "transfer" shall include any direct or indirect transfer of control of the Company. This is a typical provision in a license agreement.</w:t>
      </w:r>
    </w:p>
    <w:p>
      <w:pPr>
        <w:spacing w:after="0" w:line="77"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The License Agreement does not specifically define "transfer of control". While neither JMI nor, to its knowledge, the Company has obtained a legal opinion on this point, JMI believes that the mere election of new Directors at the scheduled expiration of their predecessors' stated terms, by vote of shareholders at their regular annual meeting, should not properly be viewed a transfer of control. (Among other things, in the other material third-party agreement where a similar issue may arise, the Company's Lending Agreement, different language is used, referring to "change" rather than "transfer," and it is explicitly stated that change of a majority of the Board will be treated as such a change for purposes of that Lending Agreement.) The License Agreement further provides that any attempt to "transfer" without the prior written consent of Levi Strauss shall be void and deemed a material breach of the license Agreement, which would purport to permit Levi Strauss, among other remedies available under law, to terminate the License Agreement 120 days after written notice is given to the Company, unless the breach is cured.</w:t>
      </w:r>
    </w:p>
    <w:p>
      <w:pPr>
        <w:spacing w:after="0" w:line="291"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6"/>
          <w:szCs w:val="16"/>
          <w:color w:val="auto"/>
        </w:rPr>
        <w:t>While JMI does not believe that a change in the Board of Directors pursuant to a validly authorized shareholder action at the annual meeting constitutes a "transfer" under the License Agreement, following the filing of its preliminary proxy material, JMI received a letter from a representative of Levi Strauss taking the position that election of the JMI Nominees would constitute such a "transfer". That letter also expressed a belief that it was unlikely that JMI would establish a productive working relationship with Levi Strauss. JMI has endeavored to correct what it believes to be a misimpression on the part of Levi Strauss which it believes to have formed the basis of this communication which appears to reflect the mischaracterization by the Company's present management of the process of JMI's discussions concerning a possible acquisition of the Company last spring, JMI will continue to address this subject with Levi Strauss as appropriate with a view to maintaining a good relationship between the Company and Levi Strauss. JMI recognizes the possibility that issues raised (inaccurately, in JMI's view) about the discussions earlier this year regarding a potential acquisition of the Company and communications relating to that process may concern and distract shareholders. Accordingly, in addition to seeking to address any matter of concern to Levi Strauss, JMI has taken the step of withdrawing Seymour Holtzman's name as a nominee for election to the Company's Board. If elected, the JMI Nominees would seek to have Levi Strauss confirm that no "transfer" or breach has occurred or, given the position already stated, waive the occurrence of any "transfer" or breach. Especially given the letter received by JMI, however, there can be no assurance that Levi Strauss would so agree and, if (i) it were ultimately determined that a "transfer" and breach had occurred, (ii) such breach were not cured within the requisite time period and (iii) Levi</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- 23 -</w:t>
      </w:r>
    </w:p>
    <w:p>
      <w:pPr>
        <w:sectPr>
          <w:pgSz w:w="11900" w:h="16838" w:orient="portrait"/>
          <w:cols w:equalWidth="0" w:num="1">
            <w:col w:w="10219"/>
          </w:cols>
          <w:pgMar w:left="240" w:top="691" w:right="1440" w:bottom="1440" w:gutter="0" w:footer="0" w:header="0"/>
        </w:sectPr>
      </w:pPr>
    </w:p>
    <w:bookmarkStart w:id="22" w:name="page23"/>
    <w:bookmarkEnd w:id="22"/>
    <w:p>
      <w:pPr>
        <w:jc w:val="both"/>
        <w:ind w:right="1779"/>
        <w:spacing w:after="0" w:line="253" w:lineRule="auto"/>
        <w:rPr>
          <w:sz w:val="20"/>
          <w:szCs w:val="20"/>
          <w:color w:val="auto"/>
        </w:rPr>
      </w:pPr>
      <w:r>
        <w:rPr>
          <w:rFonts w:ascii="Courier New" w:cs="Courier New" w:eastAsia="Courier New" w:hAnsi="Courier New"/>
          <w:sz w:val="18"/>
          <w:szCs w:val="18"/>
          <w:color w:val="auto"/>
        </w:rPr>
        <w:t>Strauss were to ultimately terminate the License Agreement, the Company's business could be materially adversely effected. Of course, any sale of the Company that might emerge in the future (like any sale the Company might have proceeded with last spring) would likely involve a transfer of control under the Levi Strauss agreement, and any such transfer without the approval of Levi Strauss could have the same sort of material negative impact on the Company. The JMI Nominees would not expect that a potential acquiror would wish to complete an acquisition of the Company without the approval of Levi Strauss.</w:t>
      </w:r>
    </w:p>
    <w:p>
      <w:pPr>
        <w:spacing w:after="0" w:line="3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VOTING AND PROXY PROCEDURES</w:t>
      </w:r>
    </w:p>
    <w:p>
      <w:pPr>
        <w:spacing w:after="0" w:line="201" w:lineRule="exact"/>
        <w:rPr>
          <w:sz w:val="20"/>
          <w:szCs w:val="20"/>
          <w:color w:val="auto"/>
        </w:rPr>
      </w:pPr>
    </w:p>
    <w:p>
      <w:pPr>
        <w:jc w:val="both"/>
        <w:ind w:right="1779" w:firstLine="1896"/>
        <w:spacing w:after="0" w:line="260" w:lineRule="auto"/>
        <w:rPr>
          <w:sz w:val="20"/>
          <w:szCs w:val="20"/>
          <w:color w:val="auto"/>
        </w:rPr>
      </w:pPr>
      <w:r>
        <w:rPr>
          <w:rFonts w:ascii="Courier New" w:cs="Courier New" w:eastAsia="Courier New" w:hAnsi="Courier New"/>
          <w:sz w:val="18"/>
          <w:szCs w:val="18"/>
          <w:color w:val="auto"/>
        </w:rPr>
        <w:t>The presence in person or by proxy of a majority of the outstanding shares of the Common Stock will constitute a quorum at the Annual Meeting. Each outstanding share of Common Stock is entitled to one vote on each matter properly presented at that meeting and a majority of the votes properly cast that meeting will be required to approve any proposal presented at the Annual Meeting, with the exception of the election of directors.</w:t>
      </w:r>
    </w:p>
    <w:p>
      <w:pPr>
        <w:spacing w:after="0" w:line="93" w:lineRule="exact"/>
        <w:rPr>
          <w:sz w:val="20"/>
          <w:szCs w:val="20"/>
          <w:color w:val="auto"/>
        </w:rPr>
      </w:pPr>
    </w:p>
    <w:p>
      <w:pPr>
        <w:jc w:val="both"/>
        <w:ind w:right="1779" w:firstLine="1896"/>
        <w:spacing w:after="0" w:line="293" w:lineRule="auto"/>
        <w:rPr>
          <w:sz w:val="20"/>
          <w:szCs w:val="20"/>
          <w:color w:val="auto"/>
        </w:rPr>
      </w:pPr>
      <w:r>
        <w:rPr>
          <w:rFonts w:ascii="Courier New" w:cs="Courier New" w:eastAsia="Courier New" w:hAnsi="Courier New"/>
          <w:sz w:val="16"/>
          <w:szCs w:val="16"/>
          <w:color w:val="auto"/>
        </w:rPr>
        <w:t>Directors of the Company are elected by a plurality of the votes cast by the stockholders entitled to vote at a meeting at which a quorum is present. A plurality means that the nominees with the largest number of votes are elected as directors, up to the maximum number of directors to be chosen at the meeting. Consequently, election of the JMI Nominees requires the affirmative vote of a plurality of the votes cast in the election at the Annual Meeting, assuming a quorum is present or otherwise represented at the Annual Meeting.</w:t>
      </w:r>
    </w:p>
    <w:p>
      <w:pPr>
        <w:spacing w:after="0" w:line="72" w:lineRule="exact"/>
        <w:rPr>
          <w:sz w:val="20"/>
          <w:szCs w:val="20"/>
          <w:color w:val="auto"/>
        </w:rPr>
      </w:pPr>
    </w:p>
    <w:p>
      <w:pPr>
        <w:jc w:val="both"/>
        <w:ind w:right="1779" w:firstLine="1896"/>
        <w:spacing w:after="0" w:line="247" w:lineRule="auto"/>
        <w:rPr>
          <w:sz w:val="20"/>
          <w:szCs w:val="20"/>
          <w:color w:val="auto"/>
        </w:rPr>
      </w:pPr>
      <w:r>
        <w:rPr>
          <w:rFonts w:ascii="Courier New" w:cs="Courier New" w:eastAsia="Courier New" w:hAnsi="Courier New"/>
          <w:sz w:val="18"/>
          <w:szCs w:val="18"/>
          <w:color w:val="auto"/>
        </w:rPr>
        <w:t>Shares of Common Stock that reflect abstentions or "broker non-votes" (i.e., shares represented at the meeting held by brokers or nominees as to which instructions have not been received from the beneficial owners or persons entitled to vote such shares and with respect to which the broker or nominee does not have discretionary voting power to vote such shares) will be counted for purposes of determining whether a quorum is present for the transaction of business at the Annual Meeting. In addition, abstentions will be treated as votes cast against a particular proposal while broker non-votes will have no impact on the outcome of the vote on a particular proposal. With respect to the election of the JMI Nominees as directors, votes may only be cast in favor of or withheld from the JMI Nominees; there is no ability to abstain. In addition, broker non-votes will have no effect on the outcome of the election of JMI Nominees as directors.</w:t>
      </w:r>
    </w:p>
    <w:p>
      <w:pPr>
        <w:spacing w:after="0" w:line="108"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If no directions are given and the signed WHITE PROXY CARD is returned, the attorneys-in-fact appointed in the proxy will vote the shares of Common Stock represented by that WHITE PROXY CARD FOR the election of the JMI Nominees and FOR the proposal to terminate the Poison Pill.</w:t>
      </w:r>
    </w:p>
    <w:p>
      <w:pPr>
        <w:spacing w:after="0" w:line="82" w:lineRule="exact"/>
        <w:rPr>
          <w:sz w:val="20"/>
          <w:szCs w:val="20"/>
          <w:color w:val="auto"/>
        </w:rPr>
      </w:pPr>
    </w:p>
    <w:p>
      <w:pPr>
        <w:jc w:val="both"/>
        <w:ind w:right="1779" w:firstLine="1896"/>
        <w:spacing w:after="0" w:line="347" w:lineRule="auto"/>
        <w:rPr>
          <w:sz w:val="20"/>
          <w:szCs w:val="20"/>
          <w:color w:val="auto"/>
        </w:rPr>
      </w:pPr>
      <w:r>
        <w:rPr>
          <w:rFonts w:ascii="Courier New" w:cs="Courier New" w:eastAsia="Courier New" w:hAnsi="Courier New"/>
          <w:sz w:val="18"/>
          <w:szCs w:val="18"/>
          <w:color w:val="auto"/>
        </w:rPr>
        <w:t>Stockholders of record as of the close of business on the Record Date will be entitled to vote at the Annual Meeting.</w:t>
      </w: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- 24 -</w:t>
      </w:r>
    </w:p>
    <w:p>
      <w:pPr>
        <w:sectPr>
          <w:pgSz w:w="11900" w:h="16838" w:orient="portrait"/>
          <w:cols w:equalWidth="0" w:num="1">
            <w:col w:w="10219"/>
          </w:cols>
          <w:pgMar w:left="240" w:top="690" w:right="1440" w:bottom="1440" w:gutter="0" w:footer="0" w:header="0"/>
        </w:sectPr>
      </w:pPr>
    </w:p>
    <w:bookmarkStart w:id="23" w:name="page24"/>
    <w:bookmarkEnd w:id="23"/>
    <w:p>
      <w:pPr>
        <w:jc w:val="both"/>
        <w:ind w:right="1779" w:firstLine="1896"/>
        <w:spacing w:after="0" w:line="252" w:lineRule="auto"/>
        <w:rPr>
          <w:sz w:val="20"/>
          <w:szCs w:val="20"/>
          <w:color w:val="auto"/>
        </w:rPr>
      </w:pPr>
      <w:r>
        <w:rPr>
          <w:rFonts w:ascii="Courier New" w:cs="Courier New" w:eastAsia="Courier New" w:hAnsi="Courier New"/>
          <w:sz w:val="18"/>
          <w:szCs w:val="18"/>
          <w:color w:val="auto"/>
        </w:rPr>
        <w:t>At the Annual Meeting, five Directors are to be elected for a term expiring at the 2000 annual meeting and until their successors have been duly elected and qualified. JMI is soliciting your proxy in support of the election of the JMI Nominees. If you wish to vote for the JMI Nominees by proxy, you must submit the WHITE PROXY CARD furnished to you by JMI and must NOT submit the Board of Directors' Proxy Card. A stockholder may not submit a proxy card to vote for both the JMI Nominees and the Company's nominees. If a stockholder submits both a WHITE PROXY CARD and the Company's Proxy Card, only the latest dated proxy will be counted.</w:t>
      </w:r>
    </w:p>
    <w:p>
      <w:pPr>
        <w:spacing w:after="0" w:line="9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IMPORTANT</w:t>
      </w:r>
    </w:p>
    <w:p>
      <w:pPr>
        <w:spacing w:after="0" w:line="201" w:lineRule="exact"/>
        <w:rPr>
          <w:sz w:val="20"/>
          <w:szCs w:val="20"/>
          <w:color w:val="auto"/>
        </w:rPr>
      </w:pPr>
    </w:p>
    <w:p>
      <w:pPr>
        <w:jc w:val="both"/>
        <w:ind w:right="1779" w:firstLine="1896"/>
        <w:spacing w:after="0" w:line="265" w:lineRule="auto"/>
        <w:rPr>
          <w:sz w:val="20"/>
          <w:szCs w:val="20"/>
          <w:color w:val="auto"/>
        </w:rPr>
      </w:pPr>
      <w:r>
        <w:rPr>
          <w:rFonts w:ascii="Courier New" w:cs="Courier New" w:eastAsia="Courier New" w:hAnsi="Courier New"/>
          <w:sz w:val="18"/>
          <w:szCs w:val="18"/>
          <w:color w:val="auto"/>
        </w:rPr>
        <w:t>JMI REQUESTS THAT YOU DO NOT VOTE ON OR RETURN TO THE COMPANY ANY PROXY CARD PROVIDED TO YOU BY THE COMPANY, EVEN TO VOTE AGAINST THE INCUMBENT BOARD'S SLATE OF NOMINEES. RETURNING ANY PROXY CARD PROVIDED TO YOU BY THE COMPANY COULD REVOKE THE WHITE PROXY CARD THAT YOU SIGN, DATE AND SEND TO JMI.</w:t>
      </w:r>
    </w:p>
    <w:p>
      <w:pPr>
        <w:spacing w:after="0" w:line="90" w:lineRule="exact"/>
        <w:rPr>
          <w:sz w:val="20"/>
          <w:szCs w:val="20"/>
          <w:color w:val="auto"/>
        </w:rPr>
      </w:pPr>
    </w:p>
    <w:p>
      <w:pPr>
        <w:jc w:val="both"/>
        <w:ind w:right="1779" w:firstLine="1896"/>
        <w:spacing w:after="0" w:line="306" w:lineRule="auto"/>
        <w:rPr>
          <w:sz w:val="20"/>
          <w:szCs w:val="20"/>
          <w:color w:val="auto"/>
        </w:rPr>
      </w:pPr>
      <w:r>
        <w:rPr>
          <w:rFonts w:ascii="Courier New" w:cs="Courier New" w:eastAsia="Courier New" w:hAnsi="Courier New"/>
          <w:sz w:val="16"/>
          <w:szCs w:val="16"/>
          <w:color w:val="auto"/>
        </w:rPr>
        <w:t>Any stockholder giving a proxy may revoke it at any time before it is voted by attending the Annual Meeting and voting his or her shares of the Company's Common Stock in person, by giving written notice to the Secretary of the Company at 66 B Street, Needham, Massachusetts 02494 stating that the proxy has been revoked, or by delivery of a proxy bearing a later date.</w:t>
      </w:r>
    </w:p>
    <w:p>
      <w:pPr>
        <w:spacing w:after="0" w:line="60" w:lineRule="exact"/>
        <w:rPr>
          <w:sz w:val="20"/>
          <w:szCs w:val="20"/>
          <w:color w:val="auto"/>
        </w:rPr>
      </w:pPr>
    </w:p>
    <w:p>
      <w:pPr>
        <w:jc w:val="both"/>
        <w:ind w:right="1779" w:firstLine="1896"/>
        <w:spacing w:after="0" w:line="249" w:lineRule="auto"/>
        <w:rPr>
          <w:sz w:val="20"/>
          <w:szCs w:val="20"/>
          <w:color w:val="auto"/>
        </w:rPr>
      </w:pPr>
      <w:r>
        <w:rPr>
          <w:rFonts w:ascii="Courier New" w:cs="Courier New" w:eastAsia="Courier New" w:hAnsi="Courier New"/>
          <w:sz w:val="18"/>
          <w:szCs w:val="18"/>
          <w:color w:val="auto"/>
        </w:rPr>
        <w:t>An executed proxy card may be revoked at any time by marking, dating, signing and delivering a written revocation before the time that the action authorized by the executed proxy becomes effective. A revocation may be in any written form validly signed by the record holder as long as it clearly states the intention to revoke. Delivery of a later proxy card which is properly completed will also constitute a revocation of an earlier proxy. Although a revocation is effective if delivered to the Company, JMI requests that either the original or photostatic copies of all revocations of proxies be mailed or delivered to D.F. King &amp; Co., Inc., at the address set forth below, so that it will be aware of all revocations and can more accurately determine which proxies that have been received are valid.</w:t>
      </w:r>
    </w:p>
    <w:p>
      <w:pPr>
        <w:spacing w:after="0" w:line="1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77 Water Street, 20th Floor</w:t>
      </w:r>
    </w:p>
    <w:p>
      <w:pPr>
        <w:ind w:left="3280"/>
        <w:spacing w:after="0" w:line="238" w:lineRule="auto"/>
        <w:rPr>
          <w:sz w:val="20"/>
          <w:szCs w:val="20"/>
          <w:color w:val="auto"/>
        </w:rPr>
      </w:pPr>
      <w:r>
        <w:rPr>
          <w:rFonts w:ascii="Courier New" w:cs="Courier New" w:eastAsia="Courier New" w:hAnsi="Courier New"/>
          <w:sz w:val="18"/>
          <w:szCs w:val="18"/>
          <w:color w:val="auto"/>
        </w:rPr>
        <w:t>New York, NY 10005</w:t>
      </w:r>
    </w:p>
    <w:p>
      <w:pPr>
        <w:ind w:left="3060"/>
        <w:spacing w:after="0"/>
        <w:rPr>
          <w:sz w:val="20"/>
          <w:szCs w:val="20"/>
          <w:color w:val="auto"/>
        </w:rPr>
      </w:pPr>
      <w:r>
        <w:rPr>
          <w:rFonts w:ascii="Courier New" w:cs="Courier New" w:eastAsia="Courier New" w:hAnsi="Courier New"/>
          <w:sz w:val="18"/>
          <w:szCs w:val="18"/>
          <w:color w:val="auto"/>
        </w:rPr>
        <w:t>Toll Free: 800-290-6424</w:t>
      </w:r>
    </w:p>
    <w:p>
      <w:pPr>
        <w:ind w:left="1900"/>
        <w:spacing w:after="0"/>
        <w:rPr>
          <w:sz w:val="20"/>
          <w:szCs w:val="20"/>
          <w:color w:val="auto"/>
        </w:rPr>
      </w:pPr>
      <w:r>
        <w:rPr>
          <w:rFonts w:ascii="Courier New" w:cs="Courier New" w:eastAsia="Courier New" w:hAnsi="Courier New"/>
          <w:sz w:val="18"/>
          <w:szCs w:val="18"/>
          <w:color w:val="auto"/>
        </w:rPr>
        <w:t>Banks and Brokers call collect: 212-269-5550</w:t>
      </w:r>
    </w:p>
    <w:p>
      <w:pPr>
        <w:spacing w:after="0" w:line="372" w:lineRule="exact"/>
        <w:rPr>
          <w:sz w:val="20"/>
          <w:szCs w:val="20"/>
          <w:color w:val="auto"/>
        </w:rPr>
      </w:pPr>
    </w:p>
    <w:p>
      <w:pPr>
        <w:jc w:val="both"/>
        <w:ind w:right="1779" w:firstLine="1896"/>
        <w:spacing w:after="0" w:line="292" w:lineRule="auto"/>
        <w:rPr>
          <w:sz w:val="20"/>
          <w:szCs w:val="20"/>
          <w:color w:val="auto"/>
        </w:rPr>
      </w:pPr>
      <w:r>
        <w:rPr>
          <w:rFonts w:ascii="Courier New" w:cs="Courier New" w:eastAsia="Courier New" w:hAnsi="Courier New"/>
          <w:sz w:val="18"/>
          <w:szCs w:val="18"/>
          <w:color w:val="auto"/>
        </w:rPr>
        <w:t>STOCKHOLDERS OF RECORD ON THE RECORD DATE ARE ELIGIBLE TO VOTE ON THE MATTERS DISCUSSED ABOVE. ANYONE OWNING SHARES OF THE COMPANY'S COMMON STOCK BENEFICIALLY (BUT NOT OF RECORD), SUCH</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- 25 -</w:t>
      </w:r>
    </w:p>
    <w:p>
      <w:pPr>
        <w:sectPr>
          <w:pgSz w:w="11900" w:h="16838" w:orient="portrait"/>
          <w:cols w:equalWidth="0" w:num="1">
            <w:col w:w="10219"/>
          </w:cols>
          <w:pgMar w:left="240" w:top="691" w:right="1440" w:bottom="1440" w:gutter="0" w:footer="0" w:header="0"/>
        </w:sectPr>
      </w:pPr>
    </w:p>
    <w:bookmarkStart w:id="24" w:name="page25"/>
    <w:bookmarkEnd w:id="24"/>
    <w:p>
      <w:pPr>
        <w:jc w:val="both"/>
        <w:ind w:right="1779"/>
        <w:spacing w:after="0" w:line="265" w:lineRule="auto"/>
        <w:rPr>
          <w:sz w:val="20"/>
          <w:szCs w:val="20"/>
          <w:color w:val="auto"/>
        </w:rPr>
      </w:pPr>
      <w:r>
        <w:rPr>
          <w:rFonts w:ascii="Courier New" w:cs="Courier New" w:eastAsia="Courier New" w:hAnsi="Courier New"/>
          <w:sz w:val="18"/>
          <w:szCs w:val="18"/>
          <w:color w:val="auto"/>
        </w:rPr>
        <w:t>AS A PERSON WHOSE OWNERSHIP OF SHARES IS THROUGH A BROKER, BANK OR OTHER FINANCIAL INSTITUTION, SHOULD CONTACT THAT BROKER, BANK OR FINANCIAL INSTITUTION WITH INSTRUCTIONS TO EXECUTE THE WHITE PROXY CARD ON HIS OR HER BEHALF OR TO HAVE THE BROKER, BANK OR FINANCIAL INSTITUTION'S NOMINEE EXECUTE THE WHITE PROXY CARD.</w:t>
      </w:r>
    </w:p>
    <w:p>
      <w:pPr>
        <w:spacing w:after="0" w:line="9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SOLICITATION OF PROXIES AND EXPENSES</w:t>
      </w:r>
    </w:p>
    <w:p>
      <w:pPr>
        <w:spacing w:after="0" w:line="201" w:lineRule="exact"/>
        <w:rPr>
          <w:sz w:val="20"/>
          <w:szCs w:val="20"/>
          <w:color w:val="auto"/>
        </w:rPr>
      </w:pPr>
    </w:p>
    <w:p>
      <w:pPr>
        <w:jc w:val="both"/>
        <w:ind w:right="1779" w:firstLine="1896"/>
        <w:spacing w:after="0" w:line="256" w:lineRule="auto"/>
        <w:rPr>
          <w:sz w:val="20"/>
          <w:szCs w:val="20"/>
          <w:color w:val="auto"/>
        </w:rPr>
      </w:pPr>
      <w:r>
        <w:rPr>
          <w:rFonts w:ascii="Courier New" w:cs="Courier New" w:eastAsia="Courier New" w:hAnsi="Courier New"/>
          <w:sz w:val="18"/>
          <w:szCs w:val="18"/>
          <w:color w:val="auto"/>
        </w:rPr>
        <w:t>Proxies may be solicited by JMI and by its agents by mail, telephone, telegraph and personal solicitation. Banks, brokerage houses and other custodians, nominees and fiduciaries will be requested to forward proxy solicitation material to the beneficial owners of Common Stock that such institutions hold of record. The JMI Nominees, as well as Mr. McMullin, together with employees and advisers of JMI and its affiliates, may participate in the solicitation of proxies.</w:t>
      </w:r>
    </w:p>
    <w:p>
      <w:pPr>
        <w:spacing w:after="0" w:line="98" w:lineRule="exact"/>
        <w:rPr>
          <w:sz w:val="20"/>
          <w:szCs w:val="20"/>
          <w:color w:val="auto"/>
        </w:rPr>
      </w:pPr>
    </w:p>
    <w:p>
      <w:pPr>
        <w:jc w:val="both"/>
        <w:ind w:right="1779" w:firstLine="1896"/>
        <w:spacing w:after="0" w:line="250" w:lineRule="auto"/>
        <w:rPr>
          <w:sz w:val="20"/>
          <w:szCs w:val="20"/>
          <w:color w:val="auto"/>
        </w:rPr>
      </w:pPr>
      <w:r>
        <w:rPr>
          <w:rFonts w:ascii="Courier New" w:cs="Courier New" w:eastAsia="Courier New" w:hAnsi="Courier New"/>
          <w:sz w:val="18"/>
          <w:szCs w:val="18"/>
          <w:color w:val="auto"/>
        </w:rPr>
        <w:t>JMI has retained D.F. King &amp; Co., Inc. to assist it in the solicitation of proxies and for related services. Approximately 20 employees of D.F. King &amp; Co., Inc. will engage in the solicitation. JMI has agreed to pay D.F. King &amp; Co., Inc. an estimated fee of up to $30,000 and has agreed to reimburse it for its reasonable out-of-pocket expenses. D.F. King &amp; Co., Inc. will solicit proxies for the Annual Meeting from individuals, brokers, banks, nominees and other institutional holders. JMI estimates that its total expenditures relating to this proxy solicitation, including fees of D.F. King &amp; Co., will be approximately $________. Total expenditures to date relating to this proxy solicitation have been approximately $2,000.</w:t>
      </w:r>
    </w:p>
    <w:p>
      <w:pPr>
        <w:spacing w:after="0" w:line="104" w:lineRule="exact"/>
        <w:rPr>
          <w:sz w:val="20"/>
          <w:szCs w:val="20"/>
          <w:color w:val="auto"/>
        </w:rPr>
      </w:pPr>
    </w:p>
    <w:p>
      <w:pPr>
        <w:jc w:val="both"/>
        <w:ind w:right="1779" w:firstLine="1896"/>
        <w:spacing w:after="0" w:line="306" w:lineRule="auto"/>
        <w:rPr>
          <w:sz w:val="20"/>
          <w:szCs w:val="20"/>
          <w:color w:val="auto"/>
        </w:rPr>
      </w:pPr>
      <w:r>
        <w:rPr>
          <w:rFonts w:ascii="Courier New" w:cs="Courier New" w:eastAsia="Courier New" w:hAnsi="Courier New"/>
          <w:sz w:val="16"/>
          <w:szCs w:val="16"/>
          <w:color w:val="auto"/>
        </w:rPr>
        <w:t>The entire expense of preparing and mailing this Proxy Statement and the total expenditures relating to the solicitation of proxies (including, without limitation, costs, if any, related to advertising, printing, fees of attorneys, financial advisors, solicitors, consultants, accountants, public relations, transportation and litigation) will be borne by JMI.</w:t>
      </w:r>
    </w:p>
    <w:p>
      <w:pPr>
        <w:spacing w:after="0" w:line="60"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JMI expects to seek reimbursement from the Company for its expenses in connection with this proxy solicitation if the JMI Nominees are elected to the Board of Directors. This request will not be submitted to a stockholder vote.</w:t>
      </w:r>
    </w:p>
    <w:p>
      <w:pPr>
        <w:spacing w:after="0" w:line="28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jc w:val="both"/>
        <w:ind w:right="1779" w:firstLine="1896"/>
        <w:spacing w:after="0" w:line="293" w:lineRule="auto"/>
        <w:rPr>
          <w:sz w:val="20"/>
          <w:szCs w:val="20"/>
          <w:color w:val="auto"/>
        </w:rPr>
      </w:pPr>
      <w:r>
        <w:rPr>
          <w:rFonts w:ascii="Courier New" w:cs="Courier New" w:eastAsia="Courier New" w:hAnsi="Courier New"/>
          <w:sz w:val="16"/>
          <w:szCs w:val="16"/>
          <w:color w:val="auto"/>
        </w:rPr>
        <w:t>Reference is made to the Proxy Statement that JMI expects will be filed by the Board of Directors of the Company for information concerning the Common Stock (including the number of issued and outstanding shares as of the Record Date), beneficial ownership of Common Stock by, and other information concerning, the Company's management and directors, the Company's independent public accountants, the principal holders of Common Stock and procedures for submitting proposals for consideration at the 1999 Annual Meeting.</w:t>
      </w:r>
    </w:p>
    <w:p>
      <w:pPr>
        <w:spacing w:after="0" w:line="2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- 26 -</w:t>
      </w:r>
    </w:p>
    <w:p>
      <w:pPr>
        <w:sectPr>
          <w:pgSz w:w="11900" w:h="16838" w:orient="portrait"/>
          <w:cols w:equalWidth="0" w:num="1">
            <w:col w:w="10219"/>
          </w:cols>
          <w:pgMar w:left="240" w:top="691" w:right="1440" w:bottom="1440" w:gutter="0" w:footer="0" w:header="0"/>
        </w:sectPr>
      </w:pPr>
    </w:p>
    <w:bookmarkStart w:id="25" w:name="page26"/>
    <w:bookmarkEnd w:id="25"/>
    <w:p>
      <w:pPr>
        <w:jc w:val="both"/>
        <w:ind w:right="1779" w:firstLine="1896"/>
        <w:spacing w:after="0" w:line="260" w:lineRule="auto"/>
        <w:rPr>
          <w:sz w:val="20"/>
          <w:szCs w:val="20"/>
          <w:color w:val="auto"/>
        </w:rPr>
      </w:pPr>
      <w:r>
        <w:rPr>
          <w:rFonts w:ascii="Courier New" w:cs="Courier New" w:eastAsia="Courier New" w:hAnsi="Courier New"/>
          <w:sz w:val="18"/>
          <w:szCs w:val="18"/>
          <w:color w:val="auto"/>
        </w:rPr>
        <w:t>Stockholders are referred to the Company's Proxy Statement with respect to the compensation and remuneration paid and payable and other information related to the Company's officers and directors, beneficial ownership of the Company's securities and the procedures for submitting proposals for consideration at the 2000 annual meeting of the stockholders of the Company.</w:t>
      </w:r>
    </w:p>
    <w:p>
      <w:pPr>
        <w:spacing w:after="0" w:line="93" w:lineRule="exact"/>
        <w:rPr>
          <w:sz w:val="20"/>
          <w:szCs w:val="20"/>
          <w:color w:val="auto"/>
        </w:rPr>
      </w:pPr>
    </w:p>
    <w:p>
      <w:pPr>
        <w:jc w:val="both"/>
        <w:ind w:right="1779" w:firstLine="1896"/>
        <w:spacing w:after="0" w:line="347" w:lineRule="auto"/>
        <w:rPr>
          <w:sz w:val="20"/>
          <w:szCs w:val="20"/>
          <w:color w:val="auto"/>
        </w:rPr>
      </w:pPr>
      <w:r>
        <w:rPr>
          <w:rFonts w:ascii="Courier New" w:cs="Courier New" w:eastAsia="Courier New" w:hAnsi="Courier New"/>
          <w:sz w:val="18"/>
          <w:szCs w:val="18"/>
          <w:color w:val="auto"/>
        </w:rPr>
        <w:t>Stockholders of the Company are not entitled to appraisal rights in connection with the matters set forth in this Proxy Statement.</w:t>
      </w:r>
    </w:p>
    <w:p>
      <w:pPr>
        <w:spacing w:after="0" w:line="18" w:lineRule="exact"/>
        <w:rPr>
          <w:sz w:val="20"/>
          <w:szCs w:val="20"/>
          <w:color w:val="auto"/>
        </w:rPr>
      </w:pPr>
    </w:p>
    <w:p>
      <w:pPr>
        <w:jc w:val="both"/>
        <w:ind w:right="1779" w:firstLine="1896"/>
        <w:spacing w:after="0" w:line="256" w:lineRule="auto"/>
        <w:rPr>
          <w:sz w:val="20"/>
          <w:szCs w:val="20"/>
          <w:color w:val="auto"/>
        </w:rPr>
      </w:pPr>
      <w:r>
        <w:rPr>
          <w:rFonts w:ascii="Courier New" w:cs="Courier New" w:eastAsia="Courier New" w:hAnsi="Courier New"/>
          <w:sz w:val="18"/>
          <w:szCs w:val="18"/>
          <w:color w:val="auto"/>
        </w:rPr>
        <w:t>Except as otherwise noted herein, the information concerning the Company has been taken from or is based upon documents, and records on file with the Securities and Exchange Commission and other publicly available information. JMI does not take responsibility for the accuracy or completeness of the information contained in such documents and records, or for any failure by the Company to disclose events that may affect the significance or accuracy of any such information.</w:t>
      </w:r>
    </w:p>
    <w:p>
      <w:pPr>
        <w:spacing w:after="0" w:line="98" w:lineRule="exact"/>
        <w:rPr>
          <w:sz w:val="20"/>
          <w:szCs w:val="20"/>
          <w:color w:val="auto"/>
        </w:rPr>
      </w:pPr>
    </w:p>
    <w:p>
      <w:pPr>
        <w:jc w:val="both"/>
        <w:ind w:right="1779" w:firstLine="1896"/>
        <w:spacing w:after="0" w:line="292" w:lineRule="auto"/>
        <w:rPr>
          <w:sz w:val="20"/>
          <w:szCs w:val="20"/>
          <w:color w:val="auto"/>
        </w:rPr>
      </w:pPr>
      <w:r>
        <w:rPr>
          <w:rFonts w:ascii="Courier New" w:cs="Courier New" w:eastAsia="Courier New" w:hAnsi="Courier New"/>
          <w:sz w:val="18"/>
          <w:szCs w:val="18"/>
          <w:color w:val="auto"/>
        </w:rPr>
        <w:t>Time is critically short. Please sign, date and mail the enclosed WHITE PROXY CARD today in the envelope provided. Only your latest dated Proxy Card will count.</w:t>
      </w:r>
    </w:p>
    <w:p>
      <w:pPr>
        <w:spacing w:after="0" w:line="66" w:lineRule="exact"/>
        <w:rPr>
          <w:sz w:val="20"/>
          <w:szCs w:val="20"/>
          <w:color w:val="auto"/>
        </w:rPr>
      </w:pPr>
    </w:p>
    <w:p>
      <w:pPr>
        <w:jc w:val="both"/>
        <w:ind w:right="1779" w:firstLine="1896"/>
        <w:spacing w:after="0" w:line="347" w:lineRule="auto"/>
        <w:rPr>
          <w:sz w:val="20"/>
          <w:szCs w:val="20"/>
          <w:color w:val="auto"/>
        </w:rPr>
      </w:pPr>
      <w:r>
        <w:rPr>
          <w:rFonts w:ascii="Courier New" w:cs="Courier New" w:eastAsia="Courier New" w:hAnsi="Courier New"/>
          <w:sz w:val="18"/>
          <w:szCs w:val="18"/>
          <w:color w:val="auto"/>
        </w:rPr>
        <w:t>If you have any questions about giving your proxy or require assistance in voting your shares of Common Stock, please call:</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740" w:type="dxa"/>
            <w:vAlign w:val="bottom"/>
          </w:tcPr>
          <w:p>
            <w:pPr>
              <w:spacing w:after="0"/>
              <w:rPr>
                <w:sz w:val="17"/>
                <w:szCs w:val="17"/>
                <w:color w:val="auto"/>
              </w:rPr>
            </w:pPr>
          </w:p>
        </w:tc>
        <w:tc>
          <w:tcPr>
            <w:tcW w:w="4060" w:type="dxa"/>
            <w:vAlign w:val="bottom"/>
          </w:tcPr>
          <w:p>
            <w:pPr>
              <w:ind w:left="680"/>
              <w:spacing w:after="0"/>
              <w:rPr>
                <w:sz w:val="20"/>
                <w:szCs w:val="20"/>
                <w:color w:val="auto"/>
              </w:rPr>
            </w:pPr>
            <w:r>
              <w:rPr>
                <w:rFonts w:ascii="Courier New" w:cs="Courier New" w:eastAsia="Courier New" w:hAnsi="Courier New"/>
                <w:sz w:val="18"/>
                <w:szCs w:val="18"/>
                <w:color w:val="auto"/>
              </w:rPr>
              <w:t>Richard Huffsmith</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Jewelcor Companies</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or</w:t>
            </w:r>
          </w:p>
        </w:tc>
        <w:tc>
          <w:tcPr>
            <w:tcW w:w="4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Jewelcor Companies</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100 North Wilkes-Barre Boulevard</w:t>
            </w:r>
          </w:p>
        </w:tc>
        <w:tc>
          <w:tcPr>
            <w:tcW w:w="740" w:type="dxa"/>
            <w:vAlign w:val="bottom"/>
            <w:vMerge w:val="continue"/>
          </w:tcPr>
          <w:p>
            <w:pPr>
              <w:spacing w:after="0"/>
              <w:rPr>
                <w:sz w:val="17"/>
                <w:szCs w:val="17"/>
                <w:color w:val="auto"/>
              </w:rPr>
            </w:pPr>
          </w:p>
        </w:tc>
        <w:tc>
          <w:tcPr>
            <w:tcW w:w="4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100 North Wilkes-Barre Boulevard</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Wilkes-Barre, PA 18702</w:t>
            </w:r>
          </w:p>
        </w:tc>
        <w:tc>
          <w:tcPr>
            <w:tcW w:w="740" w:type="dxa"/>
            <w:vAlign w:val="bottom"/>
          </w:tcPr>
          <w:p>
            <w:pPr>
              <w:spacing w:after="0"/>
              <w:rPr>
                <w:sz w:val="17"/>
                <w:szCs w:val="17"/>
                <w:color w:val="auto"/>
              </w:rPr>
            </w:pPr>
          </w:p>
        </w:tc>
        <w:tc>
          <w:tcPr>
            <w:tcW w:w="4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Wilkes-Barre, PA 18702</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Phone: (800) 880-6972</w:t>
            </w:r>
          </w:p>
        </w:tc>
        <w:tc>
          <w:tcPr>
            <w:tcW w:w="740" w:type="dxa"/>
            <w:vAlign w:val="bottom"/>
          </w:tcPr>
          <w:p>
            <w:pPr>
              <w:spacing w:after="0"/>
              <w:rPr>
                <w:sz w:val="24"/>
                <w:szCs w:val="24"/>
                <w:color w:val="auto"/>
              </w:rPr>
            </w:pPr>
          </w:p>
        </w:tc>
        <w:tc>
          <w:tcPr>
            <w:tcW w:w="4060" w:type="dxa"/>
            <w:vAlign w:val="bottom"/>
          </w:tcPr>
          <w:p>
            <w:pPr>
              <w:ind w:left="680"/>
              <w:spacing w:after="0"/>
              <w:rPr>
                <w:sz w:val="20"/>
                <w:szCs w:val="20"/>
                <w:color w:val="auto"/>
              </w:rPr>
            </w:pPr>
            <w:r>
              <w:rPr>
                <w:rFonts w:ascii="Courier New" w:cs="Courier New" w:eastAsia="Courier New" w:hAnsi="Courier New"/>
                <w:sz w:val="18"/>
                <w:szCs w:val="18"/>
                <w:color w:val="auto"/>
              </w:rPr>
              <w:t>Phone: (800) 880-6972</w:t>
            </w:r>
          </w:p>
        </w:tc>
        <w:tc>
          <w:tcPr>
            <w:tcW w:w="0" w:type="dxa"/>
            <w:vAlign w:val="bottom"/>
          </w:tcPr>
          <w:p>
            <w:pPr>
              <w:spacing w:after="0"/>
              <w:rPr>
                <w:sz w:val="1"/>
                <w:szCs w:val="1"/>
                <w:color w:val="auto"/>
              </w:rPr>
            </w:pPr>
          </w:p>
        </w:tc>
      </w:tr>
      <w:tr>
        <w:trPr>
          <w:trHeight w:val="608"/>
        </w:trPr>
        <w:tc>
          <w:tcPr>
            <w:tcW w:w="3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60" w:type="dxa"/>
            <w:vAlign w:val="bottom"/>
          </w:tcPr>
          <w:p>
            <w:pPr>
              <w:ind w:left="680"/>
              <w:spacing w:after="0"/>
              <w:rPr>
                <w:sz w:val="20"/>
                <w:szCs w:val="20"/>
                <w:color w:val="auto"/>
              </w:rPr>
            </w:pPr>
            <w:r>
              <w:rPr>
                <w:rFonts w:ascii="Courier New" w:cs="Courier New" w:eastAsia="Courier New" w:hAnsi="Courier New"/>
                <w:sz w:val="18"/>
                <w:szCs w:val="18"/>
                <w:color w:val="auto"/>
              </w:rPr>
              <w:t>JEWELCOR MANAGEMENT, INC.</w:t>
            </w:r>
          </w:p>
        </w:tc>
        <w:tc>
          <w:tcPr>
            <w:tcW w:w="0" w:type="dxa"/>
            <w:vAlign w:val="bottom"/>
          </w:tcPr>
          <w:p>
            <w:pPr>
              <w:spacing w:after="0"/>
              <w:rPr>
                <w:sz w:val="1"/>
                <w:szCs w:val="1"/>
                <w:color w:val="auto"/>
              </w:rPr>
            </w:pPr>
          </w:p>
        </w:tc>
      </w:tr>
      <w:tr>
        <w:trPr>
          <w:trHeight w:val="608"/>
        </w:trPr>
        <w:tc>
          <w:tcPr>
            <w:tcW w:w="3640" w:type="dxa"/>
            <w:vAlign w:val="bottom"/>
          </w:tcPr>
          <w:p>
            <w:pPr>
              <w:spacing w:after="0"/>
              <w:rPr>
                <w:sz w:val="20"/>
                <w:szCs w:val="20"/>
                <w:color w:val="auto"/>
              </w:rPr>
            </w:pPr>
            <w:r>
              <w:rPr>
                <w:rFonts w:ascii="Courier New" w:cs="Courier New" w:eastAsia="Courier New" w:hAnsi="Courier New"/>
                <w:sz w:val="18"/>
                <w:szCs w:val="18"/>
                <w:color w:val="auto"/>
              </w:rPr>
              <w:t>August _______, 1999</w:t>
            </w:r>
          </w:p>
        </w:tc>
        <w:tc>
          <w:tcPr>
            <w:tcW w:w="7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- 27</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26" w:name="page27"/>
    <w:bookmarkEnd w:id="26"/>
    <w:p>
      <w:pPr>
        <w:jc w:val="center"/>
        <w:ind w:right="167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TRANSACTIONS IN DESIGNS, INC. COMMON STOCK</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JMI AND JMI NOMINEES</w:t>
      </w:r>
    </w:p>
    <w:p>
      <w:pPr>
        <w:spacing w:after="0" w:line="169" w:lineRule="exact"/>
        <w:rPr>
          <w:sz w:val="20"/>
          <w:szCs w:val="20"/>
          <w:color w:val="auto"/>
        </w:rPr>
      </w:pPr>
    </w:p>
    <w:p>
      <w:pPr>
        <w:ind w:right="1779" w:firstLine="316"/>
        <w:spacing w:after="0" w:line="265" w:lineRule="auto"/>
        <w:rPr>
          <w:sz w:val="20"/>
          <w:szCs w:val="20"/>
          <w:color w:val="auto"/>
        </w:rPr>
      </w:pPr>
      <w:r>
        <w:rPr>
          <w:rFonts w:ascii="Courier New" w:cs="Courier New" w:eastAsia="Courier New" w:hAnsi="Courier New"/>
          <w:sz w:val="18"/>
          <w:szCs w:val="18"/>
          <w:color w:val="auto"/>
        </w:rPr>
        <w:t>The following table sets forth information with respect to all purchases of Common Stock of the Company by JMI during the past two years. Except as set forth below, to the knowledge of JMI, no participant in this solicitation or JMI Nominee has purchased or sold securities of the Company within the past two years.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740" w:type="dxa"/>
            <w:vAlign w:val="bottom"/>
          </w:tcPr>
          <w:p>
            <w:pPr>
              <w:spacing w:after="0"/>
              <w:rPr>
                <w:sz w:val="20"/>
                <w:szCs w:val="20"/>
                <w:color w:val="auto"/>
              </w:rPr>
            </w:pPr>
            <w:r>
              <w:rPr>
                <w:rFonts w:ascii="Courier New" w:cs="Courier New" w:eastAsia="Courier New" w:hAnsi="Courier New"/>
                <w:sz w:val="18"/>
                <w:szCs w:val="18"/>
                <w:color w:val="auto"/>
              </w:rPr>
              <w:t>JEWELCOR MANAGEMENT, INC.</w:t>
            </w:r>
          </w:p>
        </w:tc>
        <w:tc>
          <w:tcPr>
            <w:tcW w:w="37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Trade Date</w:t>
            </w:r>
          </w:p>
        </w:tc>
        <w:tc>
          <w:tcPr>
            <w:tcW w:w="3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Number of Shares Purchased</w:t>
            </w:r>
          </w:p>
        </w:tc>
        <w:tc>
          <w:tcPr>
            <w:tcW w:w="2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Total Cost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10/26/98</w:t>
            </w:r>
          </w:p>
        </w:tc>
        <w:tc>
          <w:tcPr>
            <w:tcW w:w="3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50,000</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$36,765.00</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11/9/98</w:t>
            </w:r>
          </w:p>
        </w:tc>
        <w:tc>
          <w:tcPr>
            <w:tcW w:w="3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225,000</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$164,265.00</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11/10/98</w:t>
            </w:r>
          </w:p>
        </w:tc>
        <w:tc>
          <w:tcPr>
            <w:tcW w:w="3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166,700</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$105,036.00</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11/17/98</w:t>
            </w:r>
          </w:p>
        </w:tc>
        <w:tc>
          <w:tcPr>
            <w:tcW w:w="3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600,000</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$330,015.00</w:t>
            </w:r>
          </w:p>
        </w:tc>
      </w:tr>
      <w:tr>
        <w:trPr>
          <w:trHeight w:val="296"/>
        </w:trPr>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11/30/98</w:t>
            </w:r>
          </w:p>
        </w:tc>
        <w:tc>
          <w:tcPr>
            <w:tcW w:w="370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528,500</w:t>
            </w:r>
          </w:p>
        </w:tc>
        <w:tc>
          <w:tcPr>
            <w:tcW w:w="2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$340,897.50</w:t>
            </w:r>
          </w:p>
        </w:tc>
      </w:tr>
    </w:tbl>
    <w:p>
      <w:pPr>
        <w:spacing w:after="0" w:line="10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Please see the section titled "Information about JMI" in this Proxy Statement for information regarding the relationship between JMI, Mr. Seymour Holtzman and certain other persons.</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- 28 -</w:t>
      </w:r>
    </w:p>
    <w:p>
      <w:pPr>
        <w:sectPr>
          <w:pgSz w:w="11900" w:h="16838" w:orient="portrait"/>
          <w:cols w:equalWidth="0" w:num="1">
            <w:col w:w="10219"/>
          </w:cols>
          <w:pgMar w:left="240" w:top="691" w:right="1440" w:bottom="1440" w:gutter="0" w:footer="0" w:header="0"/>
        </w:sectPr>
      </w:pPr>
    </w:p>
    <w:bookmarkStart w:id="27" w:name="page28"/>
    <w:bookmarkEnd w:id="27"/>
    <w:p>
      <w:pPr>
        <w:ind w:left="3580"/>
        <w:spacing w:after="0"/>
        <w:rPr>
          <w:sz w:val="20"/>
          <w:szCs w:val="20"/>
          <w:color w:val="auto"/>
        </w:rPr>
      </w:pPr>
      <w:r>
        <w:rPr>
          <w:rFonts w:ascii="Courier New" w:cs="Courier New" w:eastAsia="Courier New" w:hAnsi="Courier New"/>
          <w:sz w:val="18"/>
          <w:szCs w:val="18"/>
          <w:color w:val="auto"/>
        </w:rPr>
        <w:t>FORM OF PROXY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MEETING OF STOCKHOLDERS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PROXY IS SOLICITED ON BEHALF OF JEWELCOR MANAGEMENT, INC.</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ANNUAL MEETING OF STOCKHOLDERS TO BE HELD ON SEPTEMBER 22, 1999</w:t>
      </w:r>
    </w:p>
    <w:p>
      <w:pPr>
        <w:spacing w:after="0" w:line="169" w:lineRule="exact"/>
        <w:rPr>
          <w:sz w:val="20"/>
          <w:szCs w:val="20"/>
          <w:color w:val="auto"/>
        </w:rPr>
      </w:pPr>
    </w:p>
    <w:p>
      <w:pPr>
        <w:jc w:val="both"/>
        <w:ind w:left="960"/>
        <w:spacing w:after="0"/>
        <w:tabs>
          <w:tab w:leader="none" w:pos="1560" w:val="left"/>
          <w:tab w:leader="none" w:pos="3040" w:val="left"/>
          <w:tab w:leader="none" w:pos="4420" w:val="left"/>
          <w:tab w:leader="none" w:pos="4840" w:val="left"/>
          <w:tab w:leader="none" w:pos="6000" w:val="left"/>
          <w:tab w:leader="none" w:pos="6720" w:val="left"/>
          <w:tab w:leader="none" w:pos="7580" w:val="left"/>
        </w:tabs>
        <w:rPr>
          <w:sz w:val="20"/>
          <w:szCs w:val="20"/>
          <w:color w:val="auto"/>
        </w:rPr>
      </w:pPr>
      <w:r>
        <w:rPr>
          <w:rFonts w:ascii="Courier New" w:cs="Courier New" w:eastAsia="Courier New" w:hAnsi="Courier New"/>
          <w:sz w:val="18"/>
          <w:szCs w:val="18"/>
          <w:color w:val="auto"/>
        </w:rPr>
        <w:t>The</w:t>
        <w:tab/>
        <w:t>undersigned</w:t>
      </w:r>
      <w:r>
        <w:rPr>
          <w:sz w:val="20"/>
          <w:szCs w:val="20"/>
          <w:color w:val="auto"/>
        </w:rPr>
        <w:tab/>
      </w:r>
      <w:r>
        <w:rPr>
          <w:rFonts w:ascii="Courier New" w:cs="Courier New" w:eastAsia="Courier New" w:hAnsi="Courier New"/>
          <w:sz w:val="18"/>
          <w:szCs w:val="18"/>
          <w:color w:val="auto"/>
        </w:rPr>
        <w:t>stockholder</w:t>
        <w:tab/>
        <w:t>of</w:t>
        <w:tab/>
        <w:t>Designs,</w:t>
      </w:r>
      <w:r>
        <w:rPr>
          <w:sz w:val="20"/>
          <w:szCs w:val="20"/>
          <w:color w:val="auto"/>
        </w:rPr>
        <w:tab/>
      </w:r>
      <w:r>
        <w:rPr>
          <w:rFonts w:ascii="Courier New" w:cs="Courier New" w:eastAsia="Courier New" w:hAnsi="Courier New"/>
          <w:sz w:val="18"/>
          <w:szCs w:val="18"/>
          <w:color w:val="auto"/>
        </w:rPr>
        <w:t>Inc.</w:t>
        <w:tab/>
        <w:t>hereby</w:t>
      </w:r>
      <w:r>
        <w:rPr>
          <w:sz w:val="20"/>
          <w:szCs w:val="20"/>
          <w:color w:val="auto"/>
        </w:rPr>
        <w:tab/>
      </w:r>
      <w:r>
        <w:rPr>
          <w:rFonts w:ascii="Courier New" w:cs="Courier New" w:eastAsia="Courier New" w:hAnsi="Courier New"/>
          <w:sz w:val="16"/>
          <w:szCs w:val="16"/>
          <w:color w:val="auto"/>
        </w:rPr>
        <w:t>appoints</w:t>
      </w:r>
    </w:p>
    <w:p>
      <w:pPr>
        <w:spacing w:after="0" w:line="29"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____________________ and _________________,</w:t>
      </w:r>
      <w:r>
        <w:rPr>
          <w:sz w:val="20"/>
          <w:szCs w:val="20"/>
          <w:color w:val="auto"/>
        </w:rPr>
        <w:tab/>
      </w:r>
      <w:r>
        <w:rPr>
          <w:rFonts w:ascii="Courier New" w:cs="Courier New" w:eastAsia="Courier New" w:hAnsi="Courier New"/>
          <w:sz w:val="16"/>
          <w:szCs w:val="16"/>
          <w:color w:val="auto"/>
        </w:rPr>
        <w:t>and each of them with full power of</w:t>
      </w:r>
    </w:p>
    <w:p>
      <w:pPr>
        <w:jc w:val="both"/>
        <w:ind w:right="1779"/>
        <w:spacing w:after="0" w:line="244" w:lineRule="auto"/>
        <w:rPr>
          <w:sz w:val="20"/>
          <w:szCs w:val="20"/>
          <w:color w:val="auto"/>
        </w:rPr>
      </w:pPr>
      <w:r>
        <w:rPr>
          <w:rFonts w:ascii="Courier New" w:cs="Courier New" w:eastAsia="Courier New" w:hAnsi="Courier New"/>
          <w:sz w:val="18"/>
          <w:szCs w:val="18"/>
          <w:color w:val="auto"/>
        </w:rPr>
        <w:t>substitution and to each substitute appointed pursuant to such power, as proxy or proxies, to cast all votes, as designated hereon, which the undersigned stockholder is entitled to cast at the Annual Meeting of the Stockholders of Designs, Inc. to be held at 1:00 p.m. local time on September 22, 1999, at One Post Office Square, Boston, Massachusetts 02109, and, at any and all adjournments and postponements thereof, with all powers which the undersigned would possess if personally present (i) as designated below with respect to the matters set forth below and described in the accompanying Notice and Proxy Statement, and (ii) in their discretion with respect to any other business that may properly come before the Annual Meeting. The undersigned stockholder hereby revokes any proxy or proxies heretofore given by the undersigned to others for such Annual Meeting.</w:t>
      </w:r>
    </w:p>
    <w:p>
      <w:pPr>
        <w:spacing w:after="0" w:line="114"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THIS PROXY WHEN PROPERLY EXECUTED AND RETURNED WILL BE VOTED IN THE MANNER DIRECTED BY THE UNDERSIGNED STOCKHOLDER. IF NO DIRECTION IS MADE, THIS PROXY WILL BE VOTED (1) FOR THE ELECTION OF ALL NOMINEES LISTED IN PROPOSAL 1 AND (2) FOR PROPOSAL 2.</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PLEASE ACT PROMPTLY.</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PLEASE SIGN AND DATE THE REVERSE SIDE OF THIS PROXY CARD</w:t>
      </w:r>
    </w:p>
    <w:p>
      <w:pPr>
        <w:jc w:val="center"/>
        <w:ind w:right="1779"/>
        <w:spacing w:after="0"/>
        <w:rPr>
          <w:sz w:val="20"/>
          <w:szCs w:val="20"/>
          <w:color w:val="auto"/>
        </w:rPr>
      </w:pPr>
      <w:r>
        <w:rPr>
          <w:rFonts w:ascii="Courier New" w:cs="Courier New" w:eastAsia="Courier New" w:hAnsi="Courier New"/>
          <w:sz w:val="18"/>
          <w:szCs w:val="18"/>
          <w:color w:val="auto"/>
        </w:rPr>
        <w:t>AND RETURN IT IN THE ENCLOSED ENVELOPE TODAY</w:t>
      </w:r>
    </w:p>
    <w:p>
      <w:pPr>
        <w:spacing w:after="0" w:line="372" w:lineRule="exact"/>
        <w:rPr>
          <w:sz w:val="20"/>
          <w:szCs w:val="20"/>
          <w:color w:val="auto"/>
        </w:rPr>
      </w:pPr>
    </w:p>
    <w:p>
      <w:pPr>
        <w:ind w:left="960" w:right="1779" w:hanging="952"/>
        <w:spacing w:after="0" w:line="34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 To elect the nominees for director below for a term of one year;</w:t>
      </w:r>
    </w:p>
    <w:p>
      <w:pPr>
        <w:sectPr>
          <w:pgSz w:w="11900" w:h="16838" w:orient="portrait"/>
          <w:cols w:equalWidth="0" w:num="1">
            <w:col w:w="10219"/>
          </w:cols>
          <w:pgMar w:left="240" w:top="691" w:right="1440" w:bottom="1440" w:gutter="0" w:footer="0" w:header="0"/>
        </w:sectPr>
      </w:pPr>
    </w:p>
    <w:p>
      <w:pPr>
        <w:spacing w:after="0" w:line="18" w:lineRule="exact"/>
        <w:rPr>
          <w:sz w:val="20"/>
          <w:szCs w:val="20"/>
          <w:color w:val="auto"/>
        </w:rPr>
      </w:pPr>
    </w:p>
    <w:p>
      <w:pPr>
        <w:ind w:left="960"/>
        <w:spacing w:after="0" w:line="420" w:lineRule="auto"/>
        <w:rPr>
          <w:sz w:val="20"/>
          <w:szCs w:val="20"/>
          <w:color w:val="auto"/>
        </w:rPr>
      </w:pPr>
      <w:r>
        <w:rPr>
          <w:rFonts w:ascii="Courier New" w:cs="Courier New" w:eastAsia="Courier New" w:hAnsi="Courier New"/>
          <w:sz w:val="16"/>
          <w:szCs w:val="16"/>
          <w:color w:val="auto"/>
        </w:rPr>
        <w:t>FOR all nominees listed below |_| (except as marked to the contrary below)</w:t>
      </w:r>
    </w:p>
    <w:p>
      <w:pPr>
        <w:spacing w:after="0" w:line="20" w:lineRule="exact"/>
        <w:rPr>
          <w:sz w:val="20"/>
          <w:szCs w:val="20"/>
          <w:color w:val="auto"/>
        </w:rPr>
      </w:pPr>
      <w:r>
        <w:rPr>
          <w:sz w:val="20"/>
          <w:szCs w:val="20"/>
          <w:color w:val="auto"/>
        </w:rPr>
        <w:br w:type="column"/>
      </w:r>
    </w:p>
    <w:p>
      <w:pPr>
        <w:jc w:val="both"/>
        <w:ind w:right="1879"/>
        <w:spacing w:after="0" w:line="292" w:lineRule="auto"/>
        <w:rPr>
          <w:sz w:val="20"/>
          <w:szCs w:val="20"/>
          <w:color w:val="auto"/>
        </w:rPr>
      </w:pPr>
      <w:r>
        <w:rPr>
          <w:rFonts w:ascii="Courier New" w:cs="Courier New" w:eastAsia="Courier New" w:hAnsi="Courier New"/>
          <w:sz w:val="18"/>
          <w:szCs w:val="18"/>
          <w:color w:val="auto"/>
        </w:rPr>
        <w:t>WITHHOLD AUTHORITY |_| to vote for all nominees listed below</w:t>
      </w:r>
    </w:p>
    <w:p>
      <w:pPr>
        <w:spacing w:after="0" w:line="66" w:lineRule="exact"/>
        <w:rPr>
          <w:sz w:val="20"/>
          <w:szCs w:val="20"/>
          <w:color w:val="auto"/>
        </w:rPr>
      </w:pPr>
    </w:p>
    <w:p>
      <w:pPr>
        <w:sectPr>
          <w:pgSz w:w="11900" w:h="16838" w:orient="portrait"/>
          <w:cols w:equalWidth="0" w:num="2">
            <w:col w:w="5160" w:space="640"/>
            <w:col w:w="4419"/>
          </w:cols>
          <w:pgMar w:left="240" w:top="691" w:right="1440" w:bottom="1440" w:gutter="0" w:footer="0" w:header="0"/>
          <w:type w:val="continuous"/>
        </w:sectPr>
      </w:pPr>
    </w:p>
    <w:p>
      <w:pPr>
        <w:ind w:left="960" w:right="1779"/>
        <w:spacing w:after="0" w:line="347" w:lineRule="auto"/>
        <w:rPr>
          <w:sz w:val="20"/>
          <w:szCs w:val="20"/>
          <w:color w:val="auto"/>
        </w:rPr>
      </w:pPr>
      <w:r>
        <w:rPr>
          <w:rFonts w:ascii="Courier New" w:cs="Courier New" w:eastAsia="Courier New" w:hAnsi="Courier New"/>
          <w:sz w:val="18"/>
          <w:szCs w:val="18"/>
          <w:color w:val="auto"/>
        </w:rPr>
        <w:t>(INSTRUCTION: To withhold authority to vote for any individual nominee, strike a line through the nominee's name in the list below.)</w:t>
      </w:r>
    </w:p>
    <w:p>
      <w:pPr>
        <w:spacing w:after="0" w:line="18"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John J. Schultz</w:t>
      </w:r>
      <w:r>
        <w:rPr>
          <w:sz w:val="20"/>
          <w:szCs w:val="20"/>
          <w:color w:val="auto"/>
        </w:rPr>
        <w:tab/>
      </w:r>
      <w:r>
        <w:rPr>
          <w:rFonts w:ascii="Courier New" w:cs="Courier New" w:eastAsia="Courier New" w:hAnsi="Courier New"/>
          <w:sz w:val="16"/>
          <w:szCs w:val="16"/>
          <w:color w:val="auto"/>
        </w:rPr>
        <w:t>Robert L. Patron</w:t>
      </w:r>
    </w:p>
    <w:p>
      <w:pPr>
        <w:spacing w:after="0" w:line="29"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Jeremiah P. Murphy, Jr.</w:t>
      </w:r>
      <w:r>
        <w:rPr>
          <w:sz w:val="20"/>
          <w:szCs w:val="20"/>
          <w:color w:val="auto"/>
        </w:rPr>
        <w:tab/>
      </w:r>
      <w:r>
        <w:rPr>
          <w:rFonts w:ascii="Courier New" w:cs="Courier New" w:eastAsia="Courier New" w:hAnsi="Courier New"/>
          <w:sz w:val="16"/>
          <w:szCs w:val="16"/>
          <w:color w:val="auto"/>
        </w:rPr>
        <w:t>Jesse H. Choper</w:t>
      </w:r>
    </w:p>
    <w:p>
      <w:pPr>
        <w:ind w:left="960"/>
        <w:spacing w:after="0"/>
        <w:rPr>
          <w:sz w:val="20"/>
          <w:szCs w:val="20"/>
          <w:color w:val="auto"/>
        </w:rPr>
      </w:pPr>
      <w:r>
        <w:rPr>
          <w:rFonts w:ascii="Courier New" w:cs="Courier New" w:eastAsia="Courier New" w:hAnsi="Courier New"/>
          <w:sz w:val="18"/>
          <w:szCs w:val="18"/>
          <w:color w:val="auto"/>
        </w:rPr>
        <w:t>Joseph Pennacchio</w:t>
      </w:r>
    </w:p>
    <w:p>
      <w:pPr>
        <w:spacing w:after="0" w:line="372" w:lineRule="exact"/>
        <w:rPr>
          <w:sz w:val="20"/>
          <w:szCs w:val="20"/>
          <w:color w:val="auto"/>
        </w:rPr>
      </w:pPr>
    </w:p>
    <w:p>
      <w:pPr>
        <w:ind w:left="960" w:right="1779" w:hanging="952"/>
        <w:spacing w:after="0" w:line="34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Jewelcor Management, Inc.'s proposal to terminate the Shareholder Rights Agreement, dated as of May 1, 1995.</w:t>
      </w:r>
    </w:p>
    <w:p>
      <w:pPr>
        <w:spacing w:after="0" w:line="18" w:lineRule="exact"/>
        <w:rPr>
          <w:sz w:val="20"/>
          <w:szCs w:val="20"/>
          <w:color w:val="auto"/>
        </w:rPr>
      </w:pPr>
    </w:p>
    <w:p>
      <w:pPr>
        <w:ind w:left="1900"/>
        <w:spacing w:after="0"/>
        <w:tabs>
          <w:tab w:leader="none" w:pos="4000" w:val="left"/>
          <w:tab w:leader="none" w:pos="6200" w:val="left"/>
        </w:tabs>
        <w:rPr>
          <w:sz w:val="20"/>
          <w:szCs w:val="20"/>
          <w:color w:val="auto"/>
        </w:rPr>
      </w:pPr>
      <w:r>
        <w:rPr>
          <w:rFonts w:ascii="Courier New" w:cs="Courier New" w:eastAsia="Courier New" w:hAnsi="Courier New"/>
          <w:sz w:val="18"/>
          <w:szCs w:val="18"/>
          <w:color w:val="auto"/>
        </w:rPr>
        <w:t>FOR |_|</w:t>
      </w:r>
      <w:r>
        <w:rPr>
          <w:sz w:val="20"/>
          <w:szCs w:val="20"/>
          <w:color w:val="auto"/>
        </w:rPr>
        <w:tab/>
      </w:r>
      <w:r>
        <w:rPr>
          <w:rFonts w:ascii="Courier New" w:cs="Courier New" w:eastAsia="Courier New" w:hAnsi="Courier New"/>
          <w:sz w:val="18"/>
          <w:szCs w:val="18"/>
          <w:color w:val="auto"/>
        </w:rPr>
        <w:t>AGAINST |_|</w:t>
      </w:r>
      <w:r>
        <w:rPr>
          <w:sz w:val="20"/>
          <w:szCs w:val="20"/>
          <w:color w:val="auto"/>
        </w:rPr>
        <w:tab/>
      </w:r>
      <w:r>
        <w:rPr>
          <w:rFonts w:ascii="Courier New" w:cs="Courier New" w:eastAsia="Courier New" w:hAnsi="Courier New"/>
          <w:sz w:val="16"/>
          <w:szCs w:val="16"/>
          <w:color w:val="auto"/>
        </w:rPr>
        <w:t>ABSTAIN |_|</w:t>
      </w:r>
    </w:p>
    <w:p>
      <w:pPr>
        <w:sectPr>
          <w:pgSz w:w="11900" w:h="16838" w:orient="portrait"/>
          <w:cols w:equalWidth="0" w:num="1">
            <w:col w:w="10219"/>
          </w:cols>
          <w:pgMar w:left="240" w:top="691" w:right="1440" w:bottom="1440" w:gutter="0" w:footer="0" w:header="0"/>
          <w:type w:val="continuous"/>
        </w:sectPr>
      </w:pPr>
    </w:p>
    <w:bookmarkStart w:id="28" w:name="page29"/>
    <w:bookmarkEnd w:id="28"/>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This proxy may be revoked prior to the time it is voted by delivering to the Secretary of the Company either a written revocation or a proxy bearing a later date or by appearing at the Annual Meeting and voting in person.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Dated:_________________________________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Signature:_____________________________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Signature:_____________________________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Title:_________________________________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Please date and sign here exactly as name</w:t>
      </w:r>
    </w:p>
    <w:p>
      <w:pPr>
        <w:spacing w:after="0" w:line="5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appears hereon. When signing as attorney,</w:t>
      </w:r>
    </w:p>
    <w:p>
      <w:pPr>
        <w:spacing w:after="0" w:line="20" w:lineRule="exact"/>
        <w:rPr>
          <w:sz w:val="20"/>
          <w:szCs w:val="20"/>
          <w:color w:val="auto"/>
        </w:rPr>
      </w:pPr>
    </w:p>
    <w:p>
      <w:pPr>
        <w:ind w:left="4120"/>
        <w:spacing w:after="0"/>
        <w:tabs>
          <w:tab w:leader="none" w:pos="5780" w:val="left"/>
        </w:tabs>
        <w:rPr>
          <w:sz w:val="20"/>
          <w:szCs w:val="20"/>
          <w:color w:val="auto"/>
        </w:rPr>
      </w:pPr>
      <w:r>
        <w:rPr>
          <w:rFonts w:ascii="Courier New" w:cs="Courier New" w:eastAsia="Courier New" w:hAnsi="Courier New"/>
          <w:sz w:val="18"/>
          <w:szCs w:val="18"/>
          <w:color w:val="auto"/>
        </w:rPr>
        <w:t>administrator,</w:t>
      </w:r>
      <w:r>
        <w:rPr>
          <w:sz w:val="20"/>
          <w:szCs w:val="20"/>
          <w:color w:val="auto"/>
        </w:rPr>
        <w:tab/>
      </w:r>
      <w:r>
        <w:rPr>
          <w:rFonts w:ascii="Courier New" w:cs="Courier New" w:eastAsia="Courier New" w:hAnsi="Courier New"/>
          <w:sz w:val="16"/>
          <w:szCs w:val="16"/>
          <w:color w:val="auto"/>
        </w:rPr>
        <w:t>trustee or guardian, give</w:t>
      </w:r>
    </w:p>
    <w:p>
      <w:pPr>
        <w:ind w:left="4120"/>
        <w:spacing w:after="0"/>
        <w:tabs>
          <w:tab w:leader="none" w:pos="4720" w:val="left"/>
          <w:tab w:leader="none" w:pos="6420" w:val="left"/>
          <w:tab w:leader="none" w:pos="7460" w:val="left"/>
        </w:tabs>
        <w:rPr>
          <w:sz w:val="20"/>
          <w:szCs w:val="20"/>
          <w:color w:val="auto"/>
        </w:rPr>
      </w:pPr>
      <w:r>
        <w:rPr>
          <w:rFonts w:ascii="Courier New" w:cs="Courier New" w:eastAsia="Courier New" w:hAnsi="Courier New"/>
          <w:sz w:val="18"/>
          <w:szCs w:val="18"/>
          <w:color w:val="auto"/>
        </w:rPr>
        <w:t>full</w:t>
        <w:tab/>
        <w:t>title as such;</w:t>
        <w:tab/>
        <w:t>and when</w:t>
      </w:r>
      <w:r>
        <w:rPr>
          <w:sz w:val="20"/>
          <w:szCs w:val="20"/>
          <w:color w:val="auto"/>
        </w:rPr>
        <w:tab/>
      </w:r>
      <w:r>
        <w:rPr>
          <w:rFonts w:ascii="Courier New" w:cs="Courier New" w:eastAsia="Courier New" w:hAnsi="Courier New"/>
          <w:sz w:val="16"/>
          <w:szCs w:val="16"/>
          <w:color w:val="auto"/>
        </w:rPr>
        <w:t>stock has</w:t>
      </w:r>
    </w:p>
    <w:p>
      <w:pPr>
        <w:ind w:left="4120"/>
        <w:spacing w:after="0"/>
        <w:tabs>
          <w:tab w:leader="none" w:pos="4720" w:val="left"/>
          <w:tab w:leader="none" w:pos="5580" w:val="left"/>
          <w:tab w:leader="none" w:pos="6420" w:val="left"/>
        </w:tabs>
        <w:rPr>
          <w:sz w:val="20"/>
          <w:szCs w:val="20"/>
          <w:color w:val="auto"/>
        </w:rPr>
      </w:pPr>
      <w:r>
        <w:rPr>
          <w:rFonts w:ascii="Courier New" w:cs="Courier New" w:eastAsia="Courier New" w:hAnsi="Courier New"/>
          <w:sz w:val="18"/>
          <w:szCs w:val="18"/>
          <w:color w:val="auto"/>
        </w:rPr>
        <w:t>been</w:t>
        <w:tab/>
        <w:t>issued</w:t>
        <w:tab/>
        <w:t>in the</w:t>
      </w:r>
      <w:r>
        <w:rPr>
          <w:sz w:val="20"/>
          <w:szCs w:val="20"/>
          <w:color w:val="auto"/>
        </w:rPr>
        <w:tab/>
      </w:r>
      <w:r>
        <w:rPr>
          <w:rFonts w:ascii="Courier New" w:cs="Courier New" w:eastAsia="Courier New" w:hAnsi="Courier New"/>
          <w:sz w:val="16"/>
          <w:szCs w:val="16"/>
          <w:color w:val="auto"/>
        </w:rPr>
        <w:t>name of two or more</w:t>
      </w:r>
    </w:p>
    <w:p>
      <w:pPr>
        <w:ind w:left="4120"/>
        <w:spacing w:after="0"/>
        <w:rPr>
          <w:sz w:val="20"/>
          <w:szCs w:val="20"/>
          <w:color w:val="auto"/>
        </w:rPr>
      </w:pPr>
      <w:r>
        <w:rPr>
          <w:rFonts w:ascii="Courier New" w:cs="Courier New" w:eastAsia="Courier New" w:hAnsi="Courier New"/>
          <w:sz w:val="18"/>
          <w:szCs w:val="18"/>
          <w:color w:val="auto"/>
        </w:rPr>
        <w:t>persons, all must sign.</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lvl w:ilvl="1">
      <w:lvlJc w:val="left"/>
      <w:lvlText w:val="-"/>
      <w:numFmt w:val="bullet"/>
      <w:start w:val="1"/>
    </w:lvl>
  </w:abstractNum>
  <w:abstractNum w:abstractNumId="2">
    <w:nsid w:val="5BD062C2"/>
    <w:multiLevelType w:val="hybridMultilevel"/>
    <w:lvl w:ilvl="0">
      <w:lvlJc w:val="left"/>
      <w:lvlText w:val="o"/>
      <w:numFmt w:val="bullet"/>
      <w:start w:val="1"/>
    </w:lvl>
  </w:abstractNum>
  <w:abstractNum w:abstractNumId="3">
    <w:nsid w:val="12200854"/>
    <w:multiLevelType w:val="hybridMultilevel"/>
    <w:lvl w:ilvl="0">
      <w:lvlJc w:val="left"/>
      <w:lvlText w:val="o"/>
      <w:numFmt w:val="bullet"/>
      <w:start w:val="1"/>
    </w:lvl>
    <w:lvl w:ilvl="1">
      <w:lvlJc w:val="left"/>
      <w:lvlText w:val="-"/>
      <w:numFmt w:val="bullet"/>
      <w:start w:val="1"/>
    </w:lvl>
  </w:abstractNum>
  <w:abstractNum w:abstractNumId="4">
    <w:nsid w:val="4DB127F8"/>
    <w:multiLevelType w:val="hybridMultilevel"/>
    <w:lvl w:ilvl="0">
      <w:lvlJc w:val="left"/>
      <w:lvlText w:val="o"/>
      <w:numFmt w:val="bullet"/>
      <w:start w:val="1"/>
    </w:lvl>
    <w:lvl w:ilvl="1">
      <w:lvlJc w:val="left"/>
      <w:lvlText w:val="-"/>
      <w:numFmt w:val="bullet"/>
      <w:start w:val="1"/>
    </w:lvl>
  </w:abstractNum>
  <w:abstractNum w:abstractNumId="5">
    <w:nsid w:val="216231B"/>
    <w:multiLevelType w:val="hybridMultilevel"/>
    <w:lvl w:ilvl="0">
      <w:lvlJc w:val="left"/>
      <w:lvlText w:val="o"/>
      <w:numFmt w:val="bullet"/>
      <w:start w:val="1"/>
    </w:lvl>
    <w:lvl w:ilvl="1">
      <w:lvlJc w:val="left"/>
      <w:lvlText w:val="-"/>
      <w:numFmt w:val="bullet"/>
      <w:start w:val="1"/>
    </w:lvl>
  </w:abstractNum>
  <w:abstractNum w:abstractNumId="6">
    <w:nsid w:val="1F16E9E8"/>
    <w:multiLevelType w:val="hybridMultilevel"/>
    <w:lvl w:ilvl="0">
      <w:lvlJc w:val="left"/>
      <w:lvlText w:val="o"/>
      <w:numFmt w:val="bullet"/>
      <w:start w:val="1"/>
    </w:lvl>
  </w:abstractNum>
  <w:abstractNum w:abstractNumId="7">
    <w:nsid w:val="1190CDE7"/>
    <w:multiLevelType w:val="hybridMultilevel"/>
    <w:lvl w:ilvl="0">
      <w:lvlJc w:val="left"/>
      <w:lvlText w:val="o"/>
      <w:numFmt w:val="bullet"/>
      <w:start w:val="1"/>
    </w:lvl>
    <w:lvl w:ilvl="1">
      <w:lvlJc w:val="left"/>
      <w:lvlText w:val="%2."/>
      <w:numFmt w:val="decimal"/>
      <w:start w:val="1"/>
    </w:lvl>
    <w:lvl w:ilvl="2">
      <w:lvlJc w:val="left"/>
      <w:lvlText w:val="-"/>
      <w:numFmt w:val="bullet"/>
      <w:start w:val="1"/>
    </w:lvl>
  </w:abstractNum>
  <w:abstractNum w:abstractNumId="8">
    <w:nsid w:val="66EF438D"/>
    <w:multiLevelType w:val="hybridMultilevel"/>
    <w:lvl w:ilvl="0">
      <w:lvlJc w:val="left"/>
      <w:lvlText w:val="%1."/>
      <w:numFmt w:val="decimal"/>
      <w:start w:val="7"/>
    </w:lvl>
  </w:abstractNum>
  <w:abstractNum w:abstractNumId="9">
    <w:nsid w:val="140E0F76"/>
    <w:multiLevelType w:val="hybridMultilevel"/>
    <w:lvl w:ilvl="0">
      <w:lvlJc w:val="left"/>
      <w:lvlText w:val="o"/>
      <w:numFmt w:val="bullet"/>
      <w:start w:val="1"/>
    </w:lvl>
    <w:lvl w:ilvl="1">
      <w:lvlJc w:val="left"/>
      <w:lvlText w:val="-"/>
      <w:numFmt w:val="bullet"/>
      <w:start w:val="1"/>
    </w:lvl>
  </w:abstractNum>
  <w:abstractNum w:abstractNumId="10">
    <w:nsid w:val="3352255A"/>
    <w:multiLevelType w:val="hybridMultilevel"/>
    <w:lvl w:ilvl="0">
      <w:lvlJc w:val="left"/>
      <w:lvlText w:val="(%1)"/>
      <w:numFmt w:val="lowerRoman"/>
      <w:start w:val="7"/>
    </w:lvl>
    <w:lvl w:ilvl="1">
      <w:lvlJc w:val="left"/>
      <w:lvlText w:val="-"/>
      <w:numFmt w:val="bullet"/>
      <w:start w:val="1"/>
    </w:lvl>
  </w:abstractNum>
  <w:abstractNum w:abstractNumId="11">
    <w:nsid w:val="109CF92E"/>
    <w:multiLevelType w:val="hybridMultilevel"/>
    <w:lvl w:ilvl="0">
      <w:lvlJc w:val="left"/>
      <w:lvlText w:val="(%1)"/>
      <w:numFmt w:val="lowerRoman"/>
      <w:start w:val="3"/>
    </w:lvl>
  </w:abstractNum>
  <w:abstractNum w:abstractNumId="12">
    <w:nsid w:val="DED7263"/>
    <w:multiLevelType w:val="hybridMultilevel"/>
    <w:lvl w:ilvl="0">
      <w:lvlJc w:val="left"/>
      <w:lvlText w:val="a"/>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2020-02-22T13:10:33Z</dcterms:created>
  <dcterms:modified xsi:type="dcterms:W3CDTF">2020-02-22T13:10:33Z</dcterms:modified>
</cp:coreProperties>
</file>