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July 8, 2004</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1440"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38" w:orient="portrait"/>
          <w:cols w:equalWidth="0" w:num="2">
            <w:col w:w="5300" w:space="720"/>
            <w:col w:w="4199"/>
          </w:cols>
          <w:pgMar w:left="240" w:top="447" w:right="1440" w:bottom="1440" w:gutter="0" w:footer="0" w:header="0"/>
          <w:type w:val="continuous"/>
        </w:sectPr>
      </w:pPr>
    </w:p>
    <w:p>
      <w:pPr>
        <w:ind w:left="5700"/>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1" w:lineRule="exact"/>
        <w:rPr>
          <w:sz w:val="24"/>
          <w:szCs w:val="24"/>
          <w:color w:val="auto"/>
        </w:rPr>
      </w:pPr>
    </w:p>
    <w:p>
      <w:pPr>
        <w:ind w:left="1280" w:hanging="429"/>
        <w:spacing w:after="0"/>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Exhibit No. Description</w:t>
      </w:r>
    </w:p>
    <w:p>
      <w:pPr>
        <w:ind w:left="1060"/>
        <w:spacing w:after="0"/>
        <w:tabs>
          <w:tab w:leader="none" w:pos="2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3" w:lineRule="exact"/>
        <w:rPr>
          <w:sz w:val="24"/>
          <w:szCs w:val="24"/>
          <w:color w:val="auto"/>
        </w:rPr>
      </w:pPr>
    </w:p>
    <w:p>
      <w:pPr>
        <w:ind w:left="2540" w:right="2619" w:hanging="1368"/>
        <w:spacing w:after="0" w:line="235" w:lineRule="auto"/>
        <w:tabs>
          <w:tab w:leader="none" w:pos="25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Press Release announcing Sales for June 2004 for Casual Male Retail Group, Inc.</w:t>
      </w:r>
    </w:p>
    <w:p>
      <w:pPr>
        <w:spacing w:after="0" w:line="200" w:lineRule="exact"/>
        <w:rPr>
          <w:sz w:val="24"/>
          <w:szCs w:val="24"/>
          <w:color w:val="auto"/>
        </w:rPr>
      </w:pPr>
    </w:p>
    <w:p>
      <w:pPr>
        <w:spacing w:after="0" w:line="205"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On July 8, 2004, Casual Male Retail Group, Inc. (the "Company") issued a press release announcing the Company's sales for the month ended July 3, 2004. A copy of this press release is attached hereto as Exhibit 99.1.</w:t>
      </w:r>
    </w:p>
    <w:p>
      <w:pPr>
        <w:sectPr>
          <w:pgSz w:w="11900" w:h="16838" w:orient="portrait"/>
          <w:cols w:equalWidth="0" w:num="1">
            <w:col w:w="10219"/>
          </w:cols>
          <w:pgMar w:left="240" w:top="447" w:right="1440"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7" w:lineRule="auto"/>
        <w:rPr>
          <w:sz w:val="20"/>
          <w:szCs w:val="20"/>
          <w:color w:val="auto"/>
        </w:rPr>
      </w:pPr>
      <w:r>
        <w:rPr>
          <w:rFonts w:ascii="Courier New" w:cs="Courier New" w:eastAsia="Courier New" w:hAnsi="Courier New"/>
          <w:sz w:val="18"/>
          <w:szCs w:val="18"/>
          <w:color w:val="auto"/>
        </w:rPr>
        <w:t>Title: Executive Vice President</w:t>
      </w:r>
    </w:p>
    <w:p>
      <w:pPr>
        <w:spacing w:after="0" w:line="5"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and Chief Financial Officer</w:t>
      </w:r>
    </w:p>
    <w:p>
      <w:pPr>
        <w:spacing w:after="0" w:line="200" w:lineRule="exact"/>
        <w:rPr>
          <w:sz w:val="20"/>
          <w:szCs w:val="20"/>
          <w:color w:val="auto"/>
        </w:rPr>
      </w:pPr>
    </w:p>
    <w:p>
      <w:pPr>
        <w:spacing w:after="0" w:line="22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July 8, 2004</w:t>
      </w:r>
    </w:p>
    <w:p>
      <w:pPr>
        <w:sectPr>
          <w:pgSz w:w="11900" w:h="16838" w:orient="portrait"/>
          <w:cols w:equalWidth="0" w:num="1">
            <w:col w:w="10219"/>
          </w:cols>
          <w:pgMar w:left="240" w:top="14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Information, Contact:</w:t>
      </w:r>
    </w:p>
    <w:p>
      <w:pPr>
        <w:spacing w:after="0" w:line="238" w:lineRule="auto"/>
        <w:rPr>
          <w:sz w:val="20"/>
          <w:szCs w:val="20"/>
          <w:color w:val="auto"/>
        </w:rPr>
      </w:pPr>
      <w:r>
        <w:rPr>
          <w:rFonts w:ascii="Courier New" w:cs="Courier New" w:eastAsia="Courier New" w:hAnsi="Courier New"/>
          <w:sz w:val="18"/>
          <w:szCs w:val="18"/>
          <w:color w:val="auto"/>
        </w:rPr>
        <w:t>Company Contact: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 Investor Relations</w:t>
      </w:r>
    </w:p>
    <w:p>
      <w:pPr>
        <w:spacing w:after="0" w:line="238" w:lineRule="auto"/>
        <w:rPr>
          <w:sz w:val="20"/>
          <w:szCs w:val="20"/>
          <w:color w:val="auto"/>
        </w:rPr>
      </w:pPr>
      <w:r>
        <w:rPr>
          <w:rFonts w:ascii="Courier New" w:cs="Courier New" w:eastAsia="Courier New" w:hAnsi="Courier New"/>
          <w:sz w:val="18"/>
          <w:szCs w:val="18"/>
          <w:color w:val="auto"/>
        </w:rPr>
        <w:t>(561) 514-0115</w:t>
      </w:r>
    </w:p>
    <w:p>
      <w:pPr>
        <w:spacing w:after="0" w:line="207" w:lineRule="exact"/>
        <w:rPr>
          <w:sz w:val="20"/>
          <w:szCs w:val="20"/>
          <w:color w:val="auto"/>
        </w:rPr>
      </w:pPr>
    </w:p>
    <w:p>
      <w:pPr>
        <w:ind w:right="4839"/>
        <w:spacing w:after="0" w:line="235" w:lineRule="auto"/>
        <w:rPr>
          <w:sz w:val="20"/>
          <w:szCs w:val="20"/>
          <w:color w:val="auto"/>
        </w:rPr>
      </w:pPr>
      <w:r>
        <w:rPr>
          <w:rFonts w:ascii="Courier New" w:cs="Courier New" w:eastAsia="Courier New" w:hAnsi="Courier New"/>
          <w:sz w:val="18"/>
          <w:szCs w:val="18"/>
          <w:color w:val="auto"/>
        </w:rPr>
        <w:t>James R. Palczynski, Integrated Corporate Relations (203) 682-8229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Bard, Weber Shandwick</w:t>
      </w:r>
    </w:p>
    <w:p>
      <w:pPr>
        <w:spacing w:after="0" w:line="238" w:lineRule="auto"/>
        <w:rPr>
          <w:sz w:val="20"/>
          <w:szCs w:val="20"/>
          <w:color w:val="auto"/>
        </w:rPr>
      </w:pPr>
      <w:r>
        <w:rPr>
          <w:rFonts w:ascii="Courier New" w:cs="Courier New" w:eastAsia="Courier New" w:hAnsi="Courier New"/>
          <w:sz w:val="18"/>
          <w:szCs w:val="18"/>
          <w:color w:val="auto"/>
        </w:rPr>
        <w:t>212-445-8368</w:t>
      </w:r>
    </w:p>
    <w:p>
      <w:pPr>
        <w:spacing w:after="0" w:line="202" w:lineRule="exact"/>
        <w:rPr>
          <w:sz w:val="20"/>
          <w:szCs w:val="20"/>
          <w:color w:val="auto"/>
        </w:rPr>
      </w:pPr>
    </w:p>
    <w:p>
      <w:pPr>
        <w:jc w:val="right"/>
        <w:ind w:right="4739"/>
        <w:spacing w:after="0"/>
        <w:rPr>
          <w:sz w:val="20"/>
          <w:szCs w:val="20"/>
          <w:color w:val="auto"/>
        </w:rPr>
      </w:pPr>
      <w:r>
        <w:rPr>
          <w:rFonts w:ascii="Courier New" w:cs="Courier New" w:eastAsia="Courier New" w:hAnsi="Courier New"/>
          <w:sz w:val="18"/>
          <w:szCs w:val="18"/>
          <w:color w:val="auto"/>
        </w:rPr>
        <w:t>Casual Male Announces Comparable Store</w:t>
      </w:r>
    </w:p>
    <w:p>
      <w:pPr>
        <w:jc w:val="right"/>
        <w:ind w:right="4739"/>
        <w:spacing w:after="0" w:line="238" w:lineRule="auto"/>
        <w:rPr>
          <w:sz w:val="20"/>
          <w:szCs w:val="20"/>
          <w:color w:val="auto"/>
        </w:rPr>
      </w:pPr>
      <w:r>
        <w:rPr>
          <w:rFonts w:ascii="Courier New" w:cs="Courier New" w:eastAsia="Courier New" w:hAnsi="Courier New"/>
          <w:sz w:val="18"/>
          <w:szCs w:val="18"/>
          <w:color w:val="auto"/>
        </w:rPr>
        <w:t>Sales Increase of 2.1% for June 2004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CANTON, Mass., July 8, 2004 -- Casual Male Retail Group, Inc.</w:t>
      </w:r>
    </w:p>
    <w:p>
      <w:pPr>
        <w:spacing w:after="0" w:line="238" w:lineRule="auto"/>
        <w:rPr>
          <w:sz w:val="20"/>
          <w:szCs w:val="20"/>
          <w:color w:val="auto"/>
        </w:rPr>
      </w:pPr>
      <w:r>
        <w:rPr>
          <w:rFonts w:ascii="Courier New" w:cs="Courier New" w:eastAsia="Courier New" w:hAnsi="Courier New"/>
          <w:sz w:val="18"/>
          <w:szCs w:val="18"/>
          <w:color w:val="auto"/>
        </w:rPr>
        <w:t>(NASDAQ/NMS: "CMRG" -), retail brand operator of Casual Male Big &amp;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Tall, the exclusive retailer of the Comfort Zone by George Foreman(r), GF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Sport by George Foreman(r) and Signature Collection by George Foreman(r),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well as other major national brands, today announced its sales</w:t>
      </w:r>
    </w:p>
    <w:p>
      <w:pPr>
        <w:spacing w:after="0" w:line="238" w:lineRule="auto"/>
        <w:rPr>
          <w:sz w:val="20"/>
          <w:szCs w:val="20"/>
          <w:color w:val="auto"/>
        </w:rPr>
      </w:pPr>
      <w:r>
        <w:rPr>
          <w:rFonts w:ascii="Courier New" w:cs="Courier New" w:eastAsia="Courier New" w:hAnsi="Courier New"/>
          <w:sz w:val="18"/>
          <w:szCs w:val="18"/>
          <w:color w:val="auto"/>
        </w:rPr>
        <w:t>results for June 2004.</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Casual Male reported June sales results for the Casual Male Big and Tall stores, catalog and e-commerce for the five week period ended July 3, 2004, increased 1.4% to $33.9 million from $33.4 million reported for the prior year's five week period ended July 5, 2003. Comparable store sales increased 2.1% for the month. For the first nine weeks of the second quarter of fiscal 2004, Casual Male comparable store sales have increased 6.2%.</w:t>
      </w:r>
    </w:p>
    <w:p>
      <w:pPr>
        <w:spacing w:after="0" w:line="211"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David Levin, CEO and President stated, "We continue to expect second quarter same store sales in the mid single digits. We have continued to see strong improvements in our gross margin rate, with a reduced incidence of promotion. Further, our inventory position is current and appropriate, which bodes well for margins for the remainder of the quarter."</w:t>
      </w:r>
    </w:p>
    <w:p>
      <w:pPr>
        <w:spacing w:after="0" w:line="210"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CMRG, the largest retailer of big and tall men's apparel, operates 488 Casual Male Big &amp; Tall stores, the Casual Male e-commerce site, Casual Male catalog business, 52 Levi's(r) Outlet by Designs and Docker(r) Outlet by Designs stores and 27 Ecko Unltd(r) outlet and retail stores, pending consummation of the previously announced sale, throughout the United States and Puerto Rico. The Company is headquartered in Canton, Massachusetts and its common stock is listed on the Nasdaq National Market under the symbol "CMRG."</w:t>
      </w:r>
    </w:p>
    <w:p>
      <w:pPr>
        <w:spacing w:after="0" w:line="212" w:lineRule="exact"/>
        <w:rPr>
          <w:sz w:val="20"/>
          <w:szCs w:val="20"/>
          <w:color w:val="auto"/>
        </w:rPr>
      </w:pPr>
    </w:p>
    <w:p>
      <w:pPr>
        <w:ind w:right="2839"/>
        <w:spacing w:after="0" w:line="271" w:lineRule="auto"/>
        <w:rPr>
          <w:sz w:val="20"/>
          <w:szCs w:val="20"/>
          <w:color w:val="auto"/>
        </w:rPr>
      </w:pPr>
      <w:r>
        <w:rPr>
          <w:rFonts w:ascii="Courier New" w:cs="Courier New" w:eastAsia="Courier New" w:hAnsi="Courier New"/>
          <w:sz w:val="16"/>
          <w:szCs w:val="16"/>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w:t>
      </w:r>
    </w:p>
    <w:p>
      <w:pPr>
        <w:spacing w:after="0" w:line="178" w:lineRule="exact"/>
        <w:rPr>
          <w:sz w:val="20"/>
          <w:szCs w:val="20"/>
          <w:color w:val="auto"/>
        </w:rPr>
      </w:pPr>
    </w:p>
    <w:p>
      <w:pPr>
        <w:spacing w:after="0"/>
        <w:tabs>
          <w:tab w:leader="none" w:pos="840" w:val="left"/>
          <w:tab w:leader="none" w:pos="1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8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2019-12-19T22:11:47Z</dcterms:created>
  <dcterms:modified xsi:type="dcterms:W3CDTF">2019-12-19T22:11:47Z</dcterms:modified>
</cp:coreProperties>
</file>