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14A</w:t>
      </w:r>
    </w:p>
    <w:p>
      <w:pPr>
        <w:jc w:val="center"/>
        <w:ind w:right="2199"/>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319"/>
        <w:spacing w:after="0"/>
        <w:rPr>
          <w:sz w:val="20"/>
          <w:szCs w:val="20"/>
          <w:color w:val="auto"/>
        </w:rPr>
      </w:pPr>
      <w:r>
        <w:rPr>
          <w:rFonts w:ascii="Courier New" w:cs="Courier New" w:eastAsia="Courier New" w:hAnsi="Courier New"/>
          <w:sz w:val="18"/>
          <w:szCs w:val="18"/>
          <w:color w:val="auto"/>
        </w:rPr>
        <w:t>Information Required In Proxy Statement</w:t>
      </w:r>
    </w:p>
    <w:p>
      <w:pPr>
        <w:ind w:left="2740"/>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Filed by the Registrant (X)</w:t>
      </w:r>
    </w:p>
    <w:p>
      <w:pPr>
        <w:ind w:left="1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120"/>
        <w:spacing w:after="0"/>
        <w:rPr>
          <w:sz w:val="20"/>
          <w:szCs w:val="20"/>
          <w:color w:val="auto"/>
        </w:rPr>
      </w:pPr>
      <w:r>
        <w:rPr>
          <w:rFonts w:ascii="Courier New" w:cs="Courier New" w:eastAsia="Courier New" w:hAnsi="Courier New"/>
          <w:sz w:val="18"/>
          <w:szCs w:val="18"/>
          <w:color w:val="auto"/>
        </w:rPr>
        <w:t>Check the appropriate box:</w:t>
      </w:r>
    </w:p>
    <w:p>
      <w:pPr>
        <w:ind w:left="120"/>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540" w:right="2199" w:hanging="427"/>
        <w:spacing w:after="0" w:line="235"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120"/>
        <w:spacing w:after="0"/>
        <w:rPr>
          <w:sz w:val="20"/>
          <w:szCs w:val="20"/>
          <w:color w:val="auto"/>
        </w:rPr>
      </w:pPr>
      <w:r>
        <w:rPr>
          <w:rFonts w:ascii="Courier New" w:cs="Courier New" w:eastAsia="Courier New" w:hAnsi="Courier New"/>
          <w:sz w:val="18"/>
          <w:szCs w:val="18"/>
          <w:color w:val="auto"/>
        </w:rPr>
        <w:t>( ) Definitive Proxy Statement</w:t>
      </w:r>
    </w:p>
    <w:p>
      <w:pPr>
        <w:ind w:left="120"/>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120"/>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DESIGNS,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TALKING POINTS FOR SHAREHOLDER SOLICITATION:</w:t>
      </w:r>
    </w:p>
    <w:p>
      <w:pPr>
        <w:spacing w:after="0" w:line="200" w:lineRule="exact"/>
        <w:rPr>
          <w:sz w:val="24"/>
          <w:szCs w:val="24"/>
          <w:color w:val="auto"/>
        </w:rPr>
      </w:pPr>
    </w:p>
    <w:p>
      <w:pPr>
        <w:spacing w:after="0" w:line="209" w:lineRule="exact"/>
        <w:rPr>
          <w:sz w:val="24"/>
          <w:szCs w:val="24"/>
          <w:color w:val="auto"/>
        </w:rPr>
      </w:pPr>
    </w:p>
    <w:p>
      <w:pPr>
        <w:ind w:left="640" w:right="273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you know, we filed our consent revocation statement on Friday, December 11.</w:t>
      </w:r>
    </w:p>
    <w:p>
      <w:pPr>
        <w:spacing w:after="0" w:line="208" w:lineRule="exact"/>
        <w:rPr>
          <w:rFonts w:ascii="Courier New" w:cs="Courier New" w:eastAsia="Courier New" w:hAnsi="Courier New"/>
          <w:sz w:val="18"/>
          <w:szCs w:val="18"/>
          <w:color w:val="auto"/>
        </w:rPr>
      </w:pPr>
    </w:p>
    <w:p>
      <w:pPr>
        <w:ind w:left="640" w:right="283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the Board of Director's response to Jewelcor's consent solicitation filed last week.</w:t>
      </w:r>
    </w:p>
    <w:p>
      <w:pPr>
        <w:spacing w:after="0" w:line="208" w:lineRule="exact"/>
        <w:rPr>
          <w:rFonts w:ascii="Courier New" w:cs="Courier New" w:eastAsia="Courier New" w:hAnsi="Courier New"/>
          <w:sz w:val="18"/>
          <w:szCs w:val="18"/>
          <w:color w:val="auto"/>
        </w:rPr>
      </w:pPr>
    </w:p>
    <w:p>
      <w:pPr>
        <w:ind w:left="640" w:right="2319" w:hanging="527"/>
        <w:spacing w:after="0" w:line="275"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Board of Directors hired Shields &amp; Company to advise the Special Committee and the Board of Directors with respect to strategic alternatives, including the possible sale of the Company, which will maximize shareholder value in the short term.</w:t>
      </w:r>
    </w:p>
    <w:p>
      <w:pPr>
        <w:spacing w:after="0" w:line="182" w:lineRule="exact"/>
        <w:rPr>
          <w:rFonts w:ascii="Courier New" w:cs="Courier New" w:eastAsia="Courier New" w:hAnsi="Courier New"/>
          <w:sz w:val="16"/>
          <w:szCs w:val="16"/>
          <w:color w:val="auto"/>
        </w:rPr>
      </w:pPr>
    </w:p>
    <w:p>
      <w:pPr>
        <w:ind w:left="640" w:right="2319" w:hanging="527"/>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Shields &amp; Company, Inc. is a Boston-based investment banking firm founded in 1991 to assist public and private companies with independent, professional financial advice in corporate finance matters. The firm has steadily grown and its range of services has expanded and been applied to numerous companies in the New England area. Shields and Company has maintained a working relationship with Designs, Inc. since 1993.</w:t>
      </w:r>
    </w:p>
    <w:p>
      <w:pPr>
        <w:spacing w:after="0" w:line="211" w:lineRule="exact"/>
        <w:rPr>
          <w:rFonts w:ascii="Courier New" w:cs="Courier New" w:eastAsia="Courier New" w:hAnsi="Courier New"/>
          <w:sz w:val="18"/>
          <w:szCs w:val="18"/>
          <w:color w:val="auto"/>
        </w:rPr>
      </w:pPr>
    </w:p>
    <w:p>
      <w:pPr>
        <w:ind w:left="64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SHIELDS, MANAGING DIRECTOR AB HARVARD COLLEGE</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640"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co-founding Shields &amp; Company, Inc. in 1991, Mr. Shields was a Managing Director of Bear Stearns &amp; Co. As manager of its Boston Corporate Finance Department, he directed the firm's corporate finance services to both public and private companies. Mr. Shields has extensive experience in all areas of corporate finance, mergers and acquisitions, valuations, capital raising for private and public companies, and financial advisory services. Mr. Shields serves on the Board of Directors of eleven public and private companies including BJ's Wholesale, Versar Inc., Seaboard Corporation and Leejay Bed &amp; Bath. He is a past president of the Harvard Business School Association of Boston, and former chairman of the Newton-Wellesley Hospital.</w:t>
      </w:r>
    </w:p>
    <w:p>
      <w:pPr>
        <w:spacing w:after="0" w:line="207" w:lineRule="exact"/>
        <w:rPr>
          <w:rFonts w:ascii="Courier New" w:cs="Courier New" w:eastAsia="Courier New" w:hAnsi="Courier New"/>
          <w:sz w:val="18"/>
          <w:szCs w:val="18"/>
          <w:color w:val="auto"/>
        </w:rPr>
      </w:pPr>
    </w:p>
    <w:p>
      <w:pPr>
        <w:ind w:left="64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C. BLOOMBERG, MANAGING DIRECTOR AB DARTMOUTH COLLEGE</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640" w:right="2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Prior to joining Shields &amp; Company, Inc., Mr. Bloomberg was a Senior Managing Director in the Corporate Finance Department of Bear Stearns &amp; Co., specializing in (I) retailing and consumer goods companies, as</w:t>
      </w:r>
    </w:p>
    <w:p>
      <w:pPr>
        <w:sectPr>
          <w:pgSz w:w="11900" w:h="16884" w:orient="portrait"/>
          <w:cols w:equalWidth="0" w:num="1">
            <w:col w:w="10219"/>
          </w:cols>
          <w:pgMar w:left="240" w:top="447" w:right="1440" w:bottom="0" w:gutter="0" w:footer="0" w:header="0"/>
        </w:sectPr>
      </w:pPr>
    </w:p>
    <w:bookmarkStart w:id="1" w:name="page2"/>
    <w:bookmarkEnd w:id="1"/>
    <w:p>
      <w:pPr>
        <w:ind w:left="527" w:right="2619"/>
        <w:spacing w:after="0" w:line="237" w:lineRule="auto"/>
        <w:rPr>
          <w:sz w:val="20"/>
          <w:szCs w:val="20"/>
          <w:color w:val="auto"/>
        </w:rPr>
      </w:pPr>
      <w:r>
        <w:rPr>
          <w:rFonts w:ascii="Courier New" w:cs="Courier New" w:eastAsia="Courier New" w:hAnsi="Courier New"/>
          <w:sz w:val="18"/>
          <w:szCs w:val="18"/>
          <w:color w:val="auto"/>
        </w:rPr>
        <w:t>co-head of the firm's merchandising group, and (ii) mergers and acquisitions. In addition, Mr. Bloomberg was vice chairman of the firm's valuation committee, which reviewed all fairness opinions issued by the firm.</w:t>
      </w:r>
    </w:p>
    <w:p>
      <w:pPr>
        <w:spacing w:after="0" w:line="200" w:lineRule="exact"/>
        <w:rPr>
          <w:sz w:val="20"/>
          <w:szCs w:val="20"/>
          <w:color w:val="auto"/>
        </w:rPr>
      </w:pPr>
    </w:p>
    <w:p>
      <w:pPr>
        <w:spacing w:after="0" w:line="210" w:lineRule="exact"/>
        <w:rPr>
          <w:sz w:val="20"/>
          <w:szCs w:val="20"/>
          <w:color w:val="auto"/>
        </w:rPr>
      </w:pPr>
    </w:p>
    <w:p>
      <w:pPr>
        <w:ind w:left="527" w:right="251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calling to encourage you not to execute a consent for Jewelcor for the following reasons:</w:t>
      </w:r>
    </w:p>
    <w:p>
      <w:pPr>
        <w:spacing w:after="0" w:line="208" w:lineRule="exact"/>
        <w:rPr>
          <w:rFonts w:ascii="Courier New" w:cs="Courier New" w:eastAsia="Courier New" w:hAnsi="Courier New"/>
          <w:sz w:val="18"/>
          <w:szCs w:val="18"/>
          <w:color w:val="auto"/>
        </w:rPr>
      </w:pPr>
    </w:p>
    <w:p>
      <w:pPr>
        <w:jc w:val="both"/>
        <w:ind w:left="1047" w:right="2419" w:hanging="520"/>
        <w:spacing w:after="0" w:line="236" w:lineRule="auto"/>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currently a process in place with excellent investment bankers to maximize shareholder value possibly through the sale of the business.</w:t>
      </w:r>
    </w:p>
    <w:p>
      <w:pPr>
        <w:spacing w:after="0" w:line="208" w:lineRule="exact"/>
        <w:rPr>
          <w:rFonts w:ascii="Courier New" w:cs="Courier New" w:eastAsia="Courier New" w:hAnsi="Courier New"/>
          <w:sz w:val="18"/>
          <w:szCs w:val="18"/>
          <w:color w:val="auto"/>
        </w:rPr>
      </w:pPr>
    </w:p>
    <w:p>
      <w:pPr>
        <w:ind w:left="1047" w:right="2319" w:hanging="520"/>
        <w:spacing w:after="0" w:line="237" w:lineRule="auto"/>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process is being managed by an independent committee of the Board of Directors led by Jim Groninger. Jim is a former managing director of Paine Webber's Boston office, he took the Company public in 1986 and he has extensive insight into the Company's business strategy and relationship with Levi Strauss &amp; Co.</w:t>
      </w:r>
    </w:p>
    <w:p>
      <w:pPr>
        <w:spacing w:after="0" w:line="209" w:lineRule="exact"/>
        <w:rPr>
          <w:rFonts w:ascii="Courier New" w:cs="Courier New" w:eastAsia="Courier New" w:hAnsi="Courier New"/>
          <w:sz w:val="18"/>
          <w:szCs w:val="18"/>
          <w:color w:val="auto"/>
        </w:rPr>
      </w:pPr>
    </w:p>
    <w:p>
      <w:pPr>
        <w:ind w:left="1047" w:right="2319" w:hanging="520"/>
        <w:spacing w:after="0" w:line="236" w:lineRule="auto"/>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Pete Thigpen is the former president of the Levi's brand and has maintained excellent relationships with the people at Levi Strauss &amp; Co.</w:t>
      </w:r>
    </w:p>
    <w:p>
      <w:pPr>
        <w:spacing w:after="0" w:line="208" w:lineRule="exact"/>
        <w:rPr>
          <w:rFonts w:ascii="Courier New" w:cs="Courier New" w:eastAsia="Courier New" w:hAnsi="Courier New"/>
          <w:sz w:val="18"/>
          <w:szCs w:val="18"/>
          <w:color w:val="auto"/>
        </w:rPr>
      </w:pPr>
    </w:p>
    <w:p>
      <w:pPr>
        <w:ind w:left="1047" w:right="2199" w:hanging="520"/>
        <w:spacing w:after="0" w:line="236" w:lineRule="auto"/>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Bernard Manuel is the CEO of Cygne Design and has significant experience in both the retail and manufacturing arenas. He has a broad base of contact both domestic and abroad.</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Obviously, because our existing operating strategy is focused largely on the success of the Levi's and Dockers Outlets, the Trademark License Agreement with Levi Strauss &amp; Co. is critical to the future viability of the Company. Having Pete Thigpen on the Committee together with the experience the Company and senior management has had with Levi Strauss &amp; Co. will increase the likelihood of a successful transfer of the license agreement. Levi's has the right in a change of control to terminate the license agreement. They have to support the transaction in order for a successful sale of the business to occur.</w:t>
      </w:r>
    </w:p>
    <w:p>
      <w:pPr>
        <w:spacing w:after="0" w:line="214" w:lineRule="exact"/>
        <w:rPr>
          <w:rFonts w:ascii="Courier New" w:cs="Courier New" w:eastAsia="Courier New" w:hAnsi="Courier New"/>
          <w:sz w:val="18"/>
          <w:szCs w:val="18"/>
          <w:color w:val="auto"/>
        </w:rPr>
      </w:pPr>
    </w:p>
    <w:p>
      <w:pPr>
        <w:ind w:left="527" w:right="251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Jewelcor's proposal mirrors our existing strategy which consists of the following initiatives:</w:t>
      </w:r>
    </w:p>
    <w:p>
      <w:pPr>
        <w:spacing w:after="0" w:line="202" w:lineRule="exact"/>
        <w:rPr>
          <w:rFonts w:ascii="Courier New" w:cs="Courier New" w:eastAsia="Courier New" w:hAnsi="Courier New"/>
          <w:sz w:val="18"/>
          <w:szCs w:val="18"/>
          <w:color w:val="auto"/>
        </w:rPr>
      </w:pPr>
    </w:p>
    <w:p>
      <w:pPr>
        <w:ind w:left="1047" w:hanging="520"/>
        <w:spacing w:after="0"/>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Focus predominantly on the Levi's and Dockers Outlets.</w:t>
      </w:r>
    </w:p>
    <w:p>
      <w:pPr>
        <w:spacing w:after="0" w:line="4" w:lineRule="exact"/>
        <w:rPr>
          <w:rFonts w:ascii="Courier New" w:cs="Courier New" w:eastAsia="Courier New" w:hAnsi="Courier New"/>
          <w:sz w:val="18"/>
          <w:szCs w:val="18"/>
          <w:color w:val="auto"/>
        </w:rPr>
      </w:pPr>
    </w:p>
    <w:p>
      <w:pPr>
        <w:ind w:left="1047" w:right="2199" w:hanging="520"/>
        <w:spacing w:after="0" w:line="236" w:lineRule="auto"/>
        <w:tabs>
          <w:tab w:leader="none" w:pos="1047"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Closure of unprofitable stores where economically feasible taking into consideration the current performance of the stores and the contingent lease liabilities.</w:t>
      </w:r>
    </w:p>
    <w:p>
      <w:pPr>
        <w:spacing w:after="0" w:line="6" w:lineRule="exact"/>
        <w:rPr>
          <w:rFonts w:ascii="Courier New" w:cs="Courier New" w:eastAsia="Courier New" w:hAnsi="Courier New"/>
          <w:sz w:val="18"/>
          <w:szCs w:val="18"/>
          <w:color w:val="auto"/>
        </w:rPr>
      </w:pPr>
    </w:p>
    <w:p>
      <w:pPr>
        <w:ind w:left="1047" w:right="2319" w:hanging="520"/>
        <w:spacing w:after="0" w:line="268" w:lineRule="auto"/>
        <w:tabs>
          <w:tab w:leader="none" w:pos="1047"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Consistent reduction of overhead levels to support a largely outlet-based operation. Essentially we have been "right-sizing" the business over the past two years to support our shift in</w:t>
      </w:r>
    </w:p>
    <w:p>
      <w:pPr>
        <w:ind w:left="1047"/>
        <w:spacing w:after="0" w:line="233" w:lineRule="auto"/>
        <w:rPr>
          <w:sz w:val="20"/>
          <w:szCs w:val="20"/>
          <w:color w:val="auto"/>
        </w:rPr>
      </w:pPr>
      <w:r>
        <w:rPr>
          <w:rFonts w:ascii="Courier New" w:cs="Courier New" w:eastAsia="Courier New" w:hAnsi="Courier New"/>
          <w:sz w:val="18"/>
          <w:szCs w:val="18"/>
          <w:color w:val="auto"/>
        </w:rPr>
        <w:t>strategy.</w:t>
      </w:r>
    </w:p>
    <w:p>
      <w:pPr>
        <w:spacing w:after="0" w:line="5" w:lineRule="exact"/>
        <w:rPr>
          <w:sz w:val="20"/>
          <w:szCs w:val="20"/>
          <w:color w:val="auto"/>
        </w:rPr>
      </w:pPr>
    </w:p>
    <w:p>
      <w:pPr>
        <w:ind w:left="1047" w:right="2199" w:hanging="519"/>
        <w:spacing w:after="0" w:line="235" w:lineRule="auto"/>
        <w:tabs>
          <w:tab w:leader="none" w:pos="1026"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Abandoning the BTC private label strategy we did this in fiscal 1997.</w:t>
      </w:r>
    </w:p>
    <w:p>
      <w:pPr>
        <w:spacing w:after="0" w:line="5" w:lineRule="exact"/>
        <w:rPr>
          <w:sz w:val="20"/>
          <w:szCs w:val="20"/>
          <w:color w:val="auto"/>
        </w:rPr>
      </w:pPr>
    </w:p>
    <w:p>
      <w:pPr>
        <w:ind w:left="527" w:hanging="527"/>
        <w:spacing w:after="0"/>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primary focus at this time is to maximize sales during this</w:t>
      </w:r>
    </w:p>
    <w:p>
      <w:pPr>
        <w:spacing w:after="0" w:line="203" w:lineRule="exact"/>
        <w:rPr>
          <w:sz w:val="20"/>
          <w:szCs w:val="20"/>
          <w:color w:val="auto"/>
        </w:rPr>
      </w:pPr>
    </w:p>
    <w:p>
      <w:pPr>
        <w:ind w:left="527" w:right="2519"/>
        <w:spacing w:after="0" w:line="236" w:lineRule="auto"/>
        <w:rPr>
          <w:sz w:val="20"/>
          <w:szCs w:val="20"/>
          <w:color w:val="auto"/>
        </w:rPr>
      </w:pPr>
      <w:r>
        <w:rPr>
          <w:rFonts w:ascii="Courier New" w:cs="Courier New" w:eastAsia="Courier New" w:hAnsi="Courier New"/>
          <w:sz w:val="18"/>
          <w:szCs w:val="18"/>
          <w:color w:val="auto"/>
        </w:rPr>
        <w:t>critical Christmas season any disruption of the management of the Company and interference with our existing operating strategy would have an adverse impact on the business.</w:t>
      </w:r>
    </w:p>
    <w:p>
      <w:pPr>
        <w:spacing w:after="0" w:line="209" w:lineRule="exact"/>
        <w:rPr>
          <w:sz w:val="20"/>
          <w:szCs w:val="20"/>
          <w:color w:val="auto"/>
        </w:rPr>
      </w:pPr>
    </w:p>
    <w:p>
      <w:pPr>
        <w:ind w:left="527" w:right="241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filing our 10Q with the Securities and Exchange Commission today. This document gives a detailed accounting of the performance of our various business segments and should provide you with substantial insight into the progress we have made and continue to make in executing our business strategies.</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Conclusion, I would like to ask you to let the process unfold. The Board of Directors has established a very short time table for the Special Committee and the Company's financial advisors explore the various strategic alternatives available to the Company. There are a number of candidates available who might be willing to purchase the Company and we believe the existing team is best suited to accomplish this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 w:right="2199" w:firstLine="527"/>
        <w:spacing w:after="0" w:line="273" w:lineRule="auto"/>
        <w:rPr>
          <w:sz w:val="20"/>
          <w:szCs w:val="20"/>
          <w:color w:val="auto"/>
        </w:rPr>
      </w:pPr>
      <w:r>
        <w:rPr>
          <w:rFonts w:ascii="Courier New" w:cs="Courier New" w:eastAsia="Courier New" w:hAnsi="Courier New"/>
          <w:sz w:val="16"/>
          <w:szCs w:val="16"/>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the current members of the Board of Directors of</w:t>
      </w:r>
    </w:p>
    <w:p>
      <w:pPr>
        <w:sectPr>
          <w:pgSz w:w="11900" w:h="16838" w:orient="portrait"/>
          <w:cols w:equalWidth="0" w:num="1">
            <w:col w:w="10106"/>
          </w:cols>
          <w:pgMar w:left="353" w:top="142" w:right="1440" w:bottom="0" w:gutter="0" w:footer="0" w:header="0"/>
        </w:sectPr>
      </w:pPr>
    </w:p>
    <w:bookmarkStart w:id="2" w:name="page3"/>
    <w:bookmarkEnd w:id="2"/>
    <w:p>
      <w:pPr>
        <w:ind w:right="2199"/>
        <w:spacing w:after="0" w:line="238" w:lineRule="auto"/>
        <w:rPr>
          <w:sz w:val="20"/>
          <w:szCs w:val="20"/>
          <w:color w:val="auto"/>
        </w:rPr>
      </w:pPr>
      <w:r>
        <w:rPr>
          <w:rFonts w:ascii="Courier New" w:cs="Courier New" w:eastAsia="Courier New" w:hAnsi="Courier New"/>
          <w:sz w:val="18"/>
          <w:szCs w:val="18"/>
          <w:color w:val="auto"/>
        </w:rPr>
        <w:t>Designs and electing a new slate of directors. The participants in this solicitation may include the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57,326, 63,003, 29,601, and 9,900 shares of Designs common stock, respectively (including shares subject to stock options exercisable within 60 days).</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Designs has retained Shields &amp; Company, Inc. (the "Financial Advisor") to act as its financial advisor in connection with the Solicitation for which they received and may receive substantial fees, as well as reimbursement of reasonable out-of-pocket expenses. In addition, Designs has agreed to indemnify the Financial Advisor and certain persons related to them against certain liabilities arising out of their engagement. The Financial Advisor is an investment banking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lvl w:ilvl="1">
      <w:lvlJc w:val="left"/>
      <w:lvlText w:val="-"/>
      <w:numFmt w:val="bullet"/>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2019-12-20T06:30:47Z</dcterms:created>
  <dcterms:modified xsi:type="dcterms:W3CDTF">2019-12-20T06:30:47Z</dcterms:modified>
</cp:coreProperties>
</file>