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2005</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640" w:right="7779"/>
        <w:spacing w:after="0" w:line="536" w:lineRule="auto"/>
        <w:tabs>
          <w:tab w:leader="none" w:pos="1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120" w:type="dxa"/>
            <w:vAlign w:val="bottom"/>
          </w:tcPr>
          <w:p>
            <w:pPr>
              <w:spacing w:after="0"/>
              <w:rPr>
                <w:sz w:val="17"/>
                <w:szCs w:val="17"/>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21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2 of 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9"/>
              </w:rPr>
              <w:t>-----------------------</w:t>
            </w:r>
          </w:p>
        </w:tc>
        <w:tc>
          <w:tcPr>
            <w:tcW w:w="2120" w:type="dxa"/>
            <w:vAlign w:val="bottom"/>
          </w:tcPr>
          <w:p>
            <w:pPr>
              <w:spacing w:after="0"/>
              <w:rPr>
                <w:sz w:val="17"/>
                <w:szCs w:val="17"/>
                <w:color w:val="auto"/>
              </w:rPr>
            </w:pP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Chilton Investment Company, LLC</w:t>
      </w:r>
    </w:p>
    <w:p>
      <w:pPr>
        <w:ind w:left="640"/>
        <w:spacing w:after="0" w:line="238" w:lineRule="auto"/>
        <w:rPr>
          <w:sz w:val="20"/>
          <w:szCs w:val="20"/>
          <w:color w:val="auto"/>
        </w:rPr>
      </w:pPr>
      <w:r>
        <w:rPr>
          <w:rFonts w:ascii="Courier New" w:cs="Courier New" w:eastAsia="Courier New" w:hAnsi="Courier New"/>
          <w:sz w:val="18"/>
          <w:szCs w:val="18"/>
          <w:color w:val="auto"/>
        </w:rPr>
        <w:t>87-0742367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020" w:hanging="427"/>
        <w:spacing w:after="0" w:line="238" w:lineRule="auto"/>
        <w:tabs>
          <w:tab w:leader="none" w:pos="8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427"/>
        <w:spacing w:after="0" w:line="238" w:lineRule="auto"/>
        <w:tabs>
          <w:tab w:leader="none" w:pos="8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State of Delaware</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hanging="737"/>
        <w:spacing w:after="0" w:line="238"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3,861,687</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28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6"/>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sectPr>
      </w:pPr>
    </w:p>
    <w:bookmarkStart w:id="1" w:name="page2"/>
    <w:bookmarkEnd w:id="1"/>
    <w:p>
      <w:pPr>
        <w:ind w:left="420"/>
        <w:spacing w:after="0"/>
        <w:tabs>
          <w:tab w:leader="none" w:pos="146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w:t>
      </w:r>
    </w:p>
    <w:p>
      <w:pPr>
        <w:ind w:left="220"/>
        <w:spacing w:after="0"/>
        <w:tabs>
          <w:tab w:leader="none" w:pos="1460" w:val="left"/>
          <w:tab w:leader="none" w:pos="220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ind w:left="320"/>
        <w:spacing w:after="0"/>
        <w:rPr>
          <w:sz w:val="20"/>
          <w:szCs w:val="20"/>
          <w:color w:val="auto"/>
        </w:rPr>
      </w:pPr>
      <w:r>
        <w:rPr>
          <w:rFonts w:ascii="Courier New" w:cs="Courier New" w:eastAsia="Courier New" w:hAnsi="Courier New"/>
          <w:sz w:val="18"/>
          <w:szCs w:val="18"/>
          <w:color w:val="auto"/>
        </w:rPr>
        <w:t>PERSON</w:t>
      </w:r>
    </w:p>
    <w:p>
      <w:pPr>
        <w:ind w:left="420"/>
        <w:spacing w:after="0" w:line="237" w:lineRule="auto"/>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3,861,687</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20" w:right="5479" w:hanging="737"/>
        <w:spacing w:after="0" w:line="357" w:lineRule="auto"/>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3,861,687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319" w:hanging="632"/>
        <w:spacing w:after="0" w:line="235"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802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9"/>
              </w:rPr>
              <w:t>-----------------------</w:t>
            </w:r>
          </w:p>
        </w:tc>
        <w:tc>
          <w:tcPr>
            <w:tcW w:w="2120" w:type="dxa"/>
            <w:vAlign w:val="bottom"/>
          </w:tcPr>
          <w:p>
            <w:pPr>
              <w:spacing w:after="0"/>
              <w:rPr>
                <w:sz w:val="17"/>
                <w:szCs w:val="17"/>
                <w:color w:val="auto"/>
              </w:rPr>
            </w:pPr>
          </w:p>
        </w:tc>
        <w:tc>
          <w:tcPr>
            <w:tcW w:w="3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2120" w:type="dxa"/>
            <w:vAlign w:val="bottom"/>
          </w:tcPr>
          <w:p>
            <w:pPr>
              <w:ind w:left="700"/>
              <w:spacing w:after="0" w:line="203" w:lineRule="exact"/>
              <w:rPr>
                <w:sz w:val="20"/>
                <w:szCs w:val="20"/>
                <w:color w:val="auto"/>
              </w:rPr>
            </w:pPr>
            <w:r>
              <w:rPr>
                <w:rFonts w:ascii="Courier New" w:cs="Courier New" w:eastAsia="Courier New" w:hAnsi="Courier New"/>
                <w:sz w:val="18"/>
                <w:szCs w:val="18"/>
                <w:color w:val="auto"/>
              </w:rPr>
              <w:t>13G</w:t>
            </w:r>
          </w:p>
        </w:tc>
        <w:tc>
          <w:tcPr>
            <w:tcW w:w="3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Page 3 of 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9"/>
              </w:rPr>
              <w:t>-----------------------</w:t>
            </w:r>
          </w:p>
        </w:tc>
        <w:tc>
          <w:tcPr>
            <w:tcW w:w="2120" w:type="dxa"/>
            <w:vAlign w:val="bottom"/>
          </w:tcPr>
          <w:p>
            <w:pPr>
              <w:spacing w:after="0"/>
              <w:rPr>
                <w:sz w:val="17"/>
                <w:szCs w:val="17"/>
                <w:color w:val="auto"/>
              </w:rPr>
            </w:pPr>
          </w:p>
        </w:tc>
        <w:tc>
          <w:tcPr>
            <w:tcW w:w="3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Rule 13d-2(b) of Regulation 13D-G under the Securities Exchange Act of 1934, as amended, the Schedule 13G initially filed on November 10, 2005 by Chilton Investment Company, LLC (the "Reporting Person") with respect to the Common Stock, $0.01 par value (the "Common Stock"), of Casual Male Retail Group, Inc., a Delaware corporation (the "Schedule 13G"), is hereby amended by this Amendment No. 1 to the Schedule 13G to report a change in the information reported in the Schedule 13G. The Schedule 13G is hereby amended as follows: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is hereby amended and restated in its entirety to read:</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2540" w:right="1999" w:hanging="636"/>
        <w:spacing w:after="0" w:line="275" w:lineRule="auto"/>
        <w:tabs>
          <w:tab w:leader="none" w:pos="2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Amount beneficially owned: 3,861,687 shares (including 659,277 shares that can be acquired pursuant to immediately convertible 5% convertible senior subordinated notes due 2024).</w:t>
      </w:r>
    </w:p>
    <w:p>
      <w:pPr>
        <w:spacing w:after="0" w:line="176" w:lineRule="exact"/>
        <w:rPr>
          <w:rFonts w:ascii="Courier New" w:cs="Courier New" w:eastAsia="Courier New" w:hAnsi="Courier New"/>
          <w:sz w:val="16"/>
          <w:szCs w:val="16"/>
          <w:color w:val="auto"/>
        </w:rPr>
      </w:pPr>
    </w:p>
    <w:p>
      <w:pPr>
        <w:ind w:left="2640" w:hanging="630"/>
        <w:spacing w:after="0"/>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11.0%</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6" w:lineRule="exact"/>
        <w:rPr>
          <w:rFonts w:ascii="Courier New" w:cs="Courier New" w:eastAsia="Courier New" w:hAnsi="Courier New"/>
          <w:sz w:val="18"/>
          <w:szCs w:val="18"/>
          <w:color w:val="auto"/>
        </w:rPr>
      </w:pPr>
    </w:p>
    <w:p>
      <w:pPr>
        <w:ind w:left="3280" w:right="3679" w:hanging="638"/>
        <w:spacing w:after="0" w:line="235" w:lineRule="auto"/>
        <w:tabs>
          <w:tab w:leader="none" w:pos="32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3,861,687</w:t>
      </w:r>
    </w:p>
    <w:p>
      <w:pPr>
        <w:spacing w:after="0" w:line="5" w:lineRule="exact"/>
        <w:rPr>
          <w:rFonts w:ascii="Courier New" w:cs="Courier New" w:eastAsia="Courier New" w:hAnsi="Courier New"/>
          <w:sz w:val="18"/>
          <w:szCs w:val="18"/>
          <w:color w:val="auto"/>
        </w:rPr>
      </w:pPr>
    </w:p>
    <w:p>
      <w:pPr>
        <w:ind w:left="3280" w:right="3479" w:hanging="638"/>
        <w:spacing w:after="0" w:line="235" w:lineRule="auto"/>
        <w:tabs>
          <w:tab w:leader="none" w:pos="32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5" w:lineRule="exact"/>
        <w:rPr>
          <w:rFonts w:ascii="Courier New" w:cs="Courier New" w:eastAsia="Courier New" w:hAnsi="Courier New"/>
          <w:sz w:val="18"/>
          <w:szCs w:val="18"/>
          <w:color w:val="auto"/>
        </w:rPr>
      </w:pPr>
    </w:p>
    <w:p>
      <w:pPr>
        <w:ind w:left="3280" w:right="3359" w:hanging="638"/>
        <w:spacing w:after="0" w:line="268" w:lineRule="auto"/>
        <w:tabs>
          <w:tab w:leader="none" w:pos="3280" w:val="left"/>
        </w:tabs>
        <w:numPr>
          <w:ilvl w:val="2"/>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3,861,687</w:t>
      </w:r>
    </w:p>
    <w:p>
      <w:pPr>
        <w:ind w:left="3280" w:right="3159" w:hanging="638"/>
        <w:spacing w:after="0" w:line="235" w:lineRule="auto"/>
        <w:tabs>
          <w:tab w:leader="none" w:pos="32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2006</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James Steinthal</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James Steinthal</w:t>
      </w:r>
    </w:p>
    <w:p>
      <w:pPr>
        <w:ind w:left="4220"/>
        <w:spacing w:after="0" w:line="237" w:lineRule="auto"/>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2]"/>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lvl w:ilvl="1">
      <w:lvlJc w:val="left"/>
      <w:lvlText w:val="(%2)"/>
      <w:numFmt w:val="lowerLetter"/>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
      <w:numFmt w:val="bullet"/>
      <w:start w:val="1"/>
    </w:lvl>
    <w:lvl w:ilvl="1">
      <w:lvlJc w:val="left"/>
      <w:lvlText w:val="%2."/>
      <w:numFmt w:val="decimal"/>
      <w:start w:val="5"/>
    </w:lvl>
  </w:abstractNum>
  <w:abstractNum w:abstractNumId="6">
    <w:nsid w:val="12200854"/>
    <w:multiLevelType w:val="hybridMultilevel"/>
    <w:lvl w:ilvl="0">
      <w:lvlJc w:val="left"/>
      <w:lvlText w:val="-"/>
      <w:numFmt w:val="bullet"/>
      <w:start w:val="1"/>
    </w:lvl>
    <w:lvl w:ilvl="1">
      <w:lvlJc w:val="left"/>
      <w:lvlText w:val="%2."/>
      <w:numFmt w:val="decimal"/>
      <w:start w:val="8"/>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2019-12-11T21:18:54Z</dcterms:created>
  <dcterms:modified xsi:type="dcterms:W3CDTF">2019-12-11T21:18:54Z</dcterms:modified>
</cp:coreProperties>
</file>