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ectPr>
          <w:pgSz w:w="11900" w:h="16838" w:orient="portrait"/>
          <w:cols w:equalWidth="0" w:num="1">
            <w:col w:w="11520"/>
          </w:cols>
          <w:pgMar w:left="240" w:top="225" w:right="139" w:bottom="1440" w:gutter="0" w:footer="0" w:header="0"/>
        </w:sectPr>
      </w:pPr>
    </w:p>
    <w:p>
      <w:pPr>
        <w:spacing w:after="0" w:line="6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52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6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34"/>
        </w:trPr>
        <w:tc>
          <w:tcPr>
            <w:tcW w:w="6520" w:type="dxa"/>
            <w:vAlign w:val="bottom"/>
          </w:tcPr>
          <w:p>
            <w:pPr>
              <w:jc w:val="center"/>
              <w:ind w:right="197"/>
              <w:spacing w:after="0" w:line="13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5"/>
        </w:trPr>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20" w:type="dxa"/>
            <w:vAlign w:val="bottom"/>
            <w:vMerge w:val="restart"/>
          </w:tcPr>
          <w:p>
            <w:pPr>
              <w:jc w:val="center"/>
              <w:ind w:right="19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3"/>
        </w:trPr>
        <w:tc>
          <w:tcPr>
            <w:tcW w:w="6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520" w:type="dxa"/>
            <w:vAlign w:val="bottom"/>
            <w:vMerge w:val="restart"/>
          </w:tcPr>
          <w:p>
            <w:pPr>
              <w:jc w:val="center"/>
              <w:ind w:right="197"/>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-934720</wp:posOffset>
            </wp:positionV>
            <wp:extent cx="7323455" cy="569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3455" cy="56902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40" w:space="340"/>
            <w:col w:w="8840"/>
          </w:cols>
          <w:pgMar w:left="240" w:top="225" w:right="13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0">
        <w:r>
          <w:rPr>
            <w:rFonts w:ascii="Arial" w:cs="Arial" w:eastAsia="Arial" w:hAnsi="Arial"/>
            <w:sz w:val="21"/>
            <w:szCs w:val="21"/>
            <w:u w:val="single" w:color="auto"/>
            <w:color w:val="0000EE"/>
          </w:rPr>
          <w:t>LEVIN DAVID 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1">
        <w:r>
          <w:rPr>
            <w:rFonts w:ascii="Arial" w:cs="Arial" w:eastAsia="Arial" w:hAnsi="Arial"/>
            <w:sz w:val="20"/>
            <w:szCs w:val="20"/>
            <w:u w:val="single" w:color="auto"/>
            <w:color w:val="0000EE"/>
          </w:rPr>
          <w:t>CASUAL MALE RETAIL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CMRG </w:t>
      </w:r>
      <w:r>
        <w:rPr>
          <w:rFonts w:ascii="Arial" w:cs="Arial" w:eastAsia="Arial" w:hAnsi="Arial"/>
          <w:sz w:val="21"/>
          <w:szCs w:val="21"/>
          <w:color w:val="000000"/>
        </w:rPr>
        <w:t>]</w:t>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07/01/2003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86"/>
        <w:spacing w:after="0"/>
        <w:rPr>
          <w:sz w:val="20"/>
          <w:szCs w:val="20"/>
          <w:color w:val="auto"/>
        </w:rPr>
      </w:pPr>
      <w:r>
        <w:rPr>
          <w:rFonts w:ascii="Arial" w:cs="Arial" w:eastAsia="Arial" w:hAnsi="Arial"/>
          <w:sz w:val="17"/>
          <w:szCs w:val="17"/>
          <w:color w:val="0000FF"/>
        </w:rPr>
        <w:t>President and CEO</w:t>
      </w:r>
    </w:p>
    <w:p>
      <w:pPr>
        <w:spacing w:after="0" w:line="196" w:lineRule="exact"/>
        <w:rPr>
          <w:sz w:val="24"/>
          <w:szCs w:val="24"/>
          <w:color w:val="auto"/>
        </w:rPr>
      </w:pPr>
    </w:p>
    <w:p>
      <w:pPr>
        <w:sectPr>
          <w:pgSz w:w="11900" w:h="16838" w:orient="portrait"/>
          <w:cols w:equalWidth="0" w:num="3">
            <w:col w:w="3340" w:space="720"/>
            <w:col w:w="3620" w:space="354"/>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07/01/2009</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75,000</w:t>
            </w:r>
          </w:p>
        </w:tc>
        <w:tc>
          <w:tcPr>
            <w:tcW w:w="860" w:type="dxa"/>
            <w:vAlign w:val="bottom"/>
            <w:gridSpan w:val="3"/>
            <w:vMerge w:val="restart"/>
          </w:tcPr>
          <w:p>
            <w:pPr>
              <w:ind w:left="340"/>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0</w:t>
            </w:r>
          </w:p>
        </w:tc>
        <w:tc>
          <w:tcPr>
            <w:tcW w:w="900" w:type="dxa"/>
            <w:vAlign w:val="bottom"/>
            <w:gridSpan w:val="2"/>
            <w:vMerge w:val="restart"/>
          </w:tcPr>
          <w:p>
            <w:pPr>
              <w:ind w:left="40"/>
              <w:spacing w:after="0"/>
              <w:rPr>
                <w:sz w:val="20"/>
                <w:szCs w:val="20"/>
                <w:color w:val="auto"/>
              </w:rPr>
            </w:pPr>
            <w:r>
              <w:rPr>
                <w:rFonts w:ascii="Arial" w:cs="Arial" w:eastAsia="Arial" w:hAnsi="Arial"/>
                <w:sz w:val="26"/>
                <w:szCs w:val="26"/>
                <w:color w:val="0000FF"/>
                <w:w w:val="89"/>
                <w:vertAlign w:val="subscript"/>
              </w:rPr>
              <w:t>75,000</w:t>
            </w:r>
            <w:r>
              <w:rPr>
                <w:rFonts w:ascii="Arial" w:cs="Arial" w:eastAsia="Arial" w:hAnsi="Arial"/>
                <w:sz w:val="11"/>
                <w:szCs w:val="11"/>
                <w:color w:val="008000"/>
                <w:w w:val="89"/>
              </w:rPr>
              <w:t>(2)(3)(4)</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3"/>
                <w:szCs w:val="13"/>
                <w:color w:val="0000FF"/>
              </w:rPr>
              <w:t>5.01</w:t>
            </w:r>
          </w:p>
        </w:tc>
        <w:tc>
          <w:tcPr>
            <w:tcW w:w="1080" w:type="dxa"/>
            <w:vAlign w:val="bottom"/>
            <w:vMerge w:val="restart"/>
          </w:tcPr>
          <w:p>
            <w:pPr>
              <w:jc w:val="right"/>
              <w:ind w:right="153"/>
              <w:spacing w:after="0"/>
              <w:rPr>
                <w:sz w:val="20"/>
                <w:szCs w:val="20"/>
                <w:color w:val="auto"/>
              </w:rPr>
            </w:pPr>
            <w:r>
              <w:rPr>
                <w:rFonts w:ascii="Arial" w:cs="Arial" w:eastAsia="Arial" w:hAnsi="Arial"/>
                <w:sz w:val="13"/>
                <w:szCs w:val="13"/>
                <w:color w:val="0000FF"/>
              </w:rPr>
              <w:t>07/01/2003</w:t>
            </w: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75,000</w:t>
            </w:r>
          </w:p>
        </w:tc>
        <w:tc>
          <w:tcPr>
            <w:tcW w:w="3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0000FF"/>
              </w:rPr>
              <w:t>07/01/2013</w:t>
            </w:r>
          </w:p>
        </w:tc>
        <w:tc>
          <w:tcPr>
            <w:tcW w:w="7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480" w:type="dxa"/>
            <w:vAlign w:val="bottom"/>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4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If the Issuer achieves a two percent increase on comparative store sales in the fourth quarter of fiscal 2004, as compared to comparative store sales in the fourth quarter of fiscal 2003, the vesting of the stock option will automatically be accelerated such that it will vest over three years with one-third vesting each year, commencing on July 1, 2004.</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has previously reported grants of options to purchase an aggregate of 500,000 shares of the Issuer's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has previously reported direct beneficial ownership of 212,806 shares of the Issuer's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has previously reported indirect beneficial ownership of 15,500 shares of the Issuer's common stock.</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Arlene C. Feldman,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07/03/2003</w:t>
            </w:r>
          </w:p>
        </w:tc>
        <w:tc>
          <w:tcPr>
            <w:tcW w:w="0" w:type="dxa"/>
            <w:vAlign w:val="bottom"/>
          </w:tcPr>
          <w:p>
            <w:pPr>
              <w:spacing w:after="0"/>
              <w:rPr>
                <w:sz w:val="1"/>
                <w:szCs w:val="1"/>
                <w:color w:val="auto"/>
              </w:rPr>
            </w:pPr>
          </w:p>
        </w:tc>
      </w:tr>
      <w:tr>
        <w:trPr>
          <w:trHeight w:val="92"/>
        </w:trPr>
        <w:tc>
          <w:tcPr>
            <w:tcW w:w="208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 for David A. Levin</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217798" TargetMode="External"/><Relationship Id="rId11"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2019-12-16T05:25:56Z</dcterms:created>
  <dcterms:modified xsi:type="dcterms:W3CDTF">2019-12-16T05:25:56Z</dcterms:modified>
</cp:coreProperties>
</file>