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Surette Allison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220"/>
              <w:spacing w:after="0"/>
              <w:rPr>
                <w:sz w:val="20"/>
                <w:szCs w:val="20"/>
                <w:color w:val="auto"/>
              </w:rPr>
            </w:pPr>
            <w:r>
              <w:rPr>
                <w:rFonts w:ascii="Arial" w:cs="Arial" w:eastAsia="Arial" w:hAnsi="Arial"/>
                <w:sz w:val="17"/>
                <w:szCs w:val="17"/>
                <w:color w:val="0000FF"/>
              </w:rPr>
              <w:t>Chief Merchandising Officer</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05/01/2023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w w:val="89"/>
              </w:rPr>
              <w:t>13,952</w:t>
            </w:r>
            <w:r>
              <w:rPr>
                <w:rFonts w:ascii="Arial" w:cs="Arial" w:eastAsia="Arial" w:hAnsi="Arial"/>
                <w:sz w:val="21"/>
                <w:szCs w:val="21"/>
                <w:color w:val="008000"/>
                <w:w w:val="89"/>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05/01/2023</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4" w:lineRule="exact"/>
              <w:rPr>
                <w:sz w:val="20"/>
                <w:szCs w:val="20"/>
                <w:color w:val="auto"/>
              </w:rPr>
            </w:pPr>
            <w:r>
              <w:rPr>
                <w:rFonts w:ascii="Arial" w:cs="Arial" w:eastAsia="Arial" w:hAnsi="Arial"/>
                <w:sz w:val="13"/>
                <w:szCs w:val="13"/>
                <w:color w:val="0000FF"/>
              </w:rPr>
              <w:t>13,952</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05/01/2033</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tcPr>
          <w:p>
            <w:pPr>
              <w:ind w:left="300"/>
              <w:spacing w:after="0" w:line="124" w:lineRule="exact"/>
              <w:rPr>
                <w:sz w:val="20"/>
                <w:szCs w:val="20"/>
                <w:color w:val="auto"/>
              </w:rPr>
            </w:pPr>
            <w:r>
              <w:rPr>
                <w:rFonts w:ascii="Arial" w:cs="Arial" w:eastAsia="Arial" w:hAnsi="Arial"/>
                <w:sz w:val="13"/>
                <w:szCs w:val="13"/>
                <w:color w:val="0000FF"/>
              </w:rPr>
              <w:t>13,952</w:t>
            </w:r>
          </w:p>
        </w:tc>
        <w:tc>
          <w:tcPr>
            <w:tcW w:w="72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("RSUs") represent the time-based portion of the 2023-2025 Long-Term Incentive Plan award to the Reporting Person. The RSU's vest and become exercisable in four equal installments on May 1, 2024, April 1, 2025, April 1, 2026 and April 1, 2027.</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as defined in the Company's 2016 Incentive Compensation Plan, represents a contingent right to receive one share of DXLG common stock.</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Allison Surette</w:t>
            </w:r>
          </w:p>
        </w:tc>
        <w:tc>
          <w:tcPr>
            <w:tcW w:w="12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05/03/2023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3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2023-05-03T15:28:04Z</dcterms:created>
  <dcterms:modified xsi:type="dcterms:W3CDTF">2023-05-03T15:28:04Z</dcterms:modified>
</cp:coreProperties>
</file>