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157480</wp:posOffset>
            </wp:positionV>
            <wp:extent cx="72612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225"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196215</wp:posOffset>
            </wp:positionV>
            <wp:extent cx="72612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225" cy="7620"/>
                    </a:xfrm>
                    <a:prstGeom prst="rect">
                      <a:avLst/>
                    </a:prstGeom>
                    <a:noFill/>
                  </pic:spPr>
                </pic:pic>
              </a:graphicData>
            </a:graphic>
          </wp:anchor>
        </w:drawing>
        <w:t>UNITED STATES</w:t>
      </w:r>
    </w:p>
    <w:p>
      <w:pPr>
        <w:spacing w:after="0" w:line="17" w:lineRule="exact"/>
        <w:rPr>
          <w:sz w:val="24"/>
          <w:szCs w:val="24"/>
          <w:color w:val="auto"/>
        </w:rPr>
      </w:pPr>
    </w:p>
    <w:p>
      <w:pPr>
        <w:jc w:val="center"/>
        <w:ind w:right="-34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4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2273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2730" cy="762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34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2273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2730" cy="762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343"/>
        <w:spacing w:after="0"/>
        <w:rPr>
          <w:sz w:val="20"/>
          <w:szCs w:val="20"/>
          <w:color w:val="auto"/>
        </w:rPr>
      </w:pPr>
      <w:r>
        <w:rPr>
          <w:rFonts w:ascii="Arial" w:cs="Arial" w:eastAsia="Arial" w:hAnsi="Arial"/>
          <w:sz w:val="19"/>
          <w:szCs w:val="19"/>
          <w:b w:val="1"/>
          <w:bCs w:val="1"/>
          <w:color w:val="auto"/>
        </w:rPr>
        <w:t>CURRENT REPORT</w:t>
      </w:r>
    </w:p>
    <w:p>
      <w:pPr>
        <w:spacing w:after="0" w:line="19" w:lineRule="exact"/>
        <w:rPr>
          <w:sz w:val="24"/>
          <w:szCs w:val="24"/>
          <w:color w:val="auto"/>
        </w:rPr>
      </w:pPr>
    </w:p>
    <w:p>
      <w:pPr>
        <w:jc w:val="center"/>
        <w:ind w:right="-343"/>
        <w:spacing w:after="0"/>
        <w:rPr>
          <w:sz w:val="20"/>
          <w:szCs w:val="20"/>
          <w:color w:val="auto"/>
        </w:rPr>
      </w:pPr>
      <w:r>
        <w:rPr>
          <w:rFonts w:ascii="Arial" w:cs="Arial" w:eastAsia="Arial" w:hAnsi="Arial"/>
          <w:sz w:val="19"/>
          <w:szCs w:val="19"/>
          <w:b w:val="1"/>
          <w:bCs w:val="1"/>
          <w:color w:val="auto"/>
        </w:rPr>
        <w:t>Pursuant to Section 13 or 15(d)</w:t>
      </w:r>
    </w:p>
    <w:p>
      <w:pPr>
        <w:jc w:val="center"/>
        <w:ind w:right="-343"/>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9" w:lineRule="exact"/>
        <w:rPr>
          <w:sz w:val="24"/>
          <w:szCs w:val="24"/>
          <w:color w:val="auto"/>
        </w:rPr>
      </w:pPr>
    </w:p>
    <w:p>
      <w:pPr>
        <w:ind w:left="3164"/>
        <w:spacing w:after="0"/>
        <w:rPr>
          <w:sz w:val="20"/>
          <w:szCs w:val="20"/>
          <w:color w:val="auto"/>
        </w:rPr>
      </w:pPr>
      <w:r>
        <w:rPr>
          <w:rFonts w:ascii="Arial" w:cs="Arial" w:eastAsia="Arial" w:hAnsi="Arial"/>
          <w:sz w:val="19"/>
          <w:szCs w:val="19"/>
          <w:b w:val="1"/>
          <w:bCs w:val="1"/>
          <w:color w:val="auto"/>
        </w:rPr>
        <w:t>Date of Report (Date of earliest event reported): May 21,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213995</wp:posOffset>
            </wp:positionV>
            <wp:extent cx="152273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2730" cy="762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343"/>
        <w:spacing w:after="0"/>
        <w:rPr>
          <w:sz w:val="20"/>
          <w:szCs w:val="20"/>
          <w:color w:val="auto"/>
        </w:rPr>
      </w:pPr>
      <w:r>
        <w:rPr>
          <w:rFonts w:ascii="Arial" w:cs="Arial" w:eastAsia="Arial" w:hAnsi="Arial"/>
          <w:sz w:val="39"/>
          <w:szCs w:val="39"/>
          <w:b w:val="1"/>
          <w:bCs w:val="1"/>
          <w:color w:val="auto"/>
        </w:rPr>
        <w:t>DESTINATION XL GROUP, INC.</w:t>
      </w:r>
    </w:p>
    <w:p>
      <w:pPr>
        <w:spacing w:after="0" w:line="37" w:lineRule="exact"/>
        <w:rPr>
          <w:sz w:val="24"/>
          <w:szCs w:val="24"/>
          <w:color w:val="auto"/>
        </w:rPr>
      </w:pPr>
    </w:p>
    <w:p>
      <w:pPr>
        <w:jc w:val="center"/>
        <w:ind w:right="-34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211455</wp:posOffset>
            </wp:positionV>
            <wp:extent cx="15227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2730" cy="7620"/>
                    </a:xfrm>
                    <a:prstGeom prst="rect">
                      <a:avLst/>
                    </a:prstGeom>
                    <a:noFill/>
                  </pic:spPr>
                </pic:pic>
              </a:graphicData>
            </a:graphic>
          </wp:anchor>
        </w:drawing>
      </w:r>
    </w:p>
    <w:p>
      <w:pPr>
        <w:sectPr>
          <w:pgSz w:w="11900" w:h="16838" w:orient="portrait"/>
          <w:cols w:equalWidth="0" w:num="1">
            <w:col w:w="11084"/>
          </w:cols>
          <w:pgMar w:left="236" w:top="344" w:right="579" w:bottom="1440" w:gutter="0" w:footer="0" w:header="0"/>
        </w:sectPr>
      </w:pPr>
    </w:p>
    <w:p>
      <w:pPr>
        <w:spacing w:after="0" w:line="200" w:lineRule="exact"/>
        <w:rPr>
          <w:sz w:val="24"/>
          <w:szCs w:val="24"/>
          <w:color w:val="auto"/>
        </w:rPr>
      </w:pPr>
    </w:p>
    <w:p>
      <w:pPr>
        <w:spacing w:after="0" w:line="369" w:lineRule="exact"/>
        <w:rPr>
          <w:sz w:val="24"/>
          <w:szCs w:val="24"/>
          <w:color w:val="auto"/>
        </w:rPr>
      </w:pPr>
    </w:p>
    <w:p>
      <w:pPr>
        <w:ind w:left="1624"/>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jc w:val="center"/>
        <w:ind w:right="2340"/>
        <w:spacing w:after="0"/>
        <w:rPr>
          <w:sz w:val="20"/>
          <w:szCs w:val="20"/>
          <w:color w:val="auto"/>
        </w:rPr>
      </w:pPr>
      <w:r>
        <w:rPr>
          <w:rFonts w:ascii="Arial" w:cs="Arial" w:eastAsia="Arial" w:hAnsi="Arial"/>
          <w:sz w:val="14"/>
          <w:szCs w:val="14"/>
          <w:b w:val="1"/>
          <w:bCs w:val="1"/>
          <w:color w:val="auto"/>
        </w:rPr>
        <w:t>01-34219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04-2623104</w:t>
      </w:r>
    </w:p>
    <w:p>
      <w:pPr>
        <w:spacing w:after="0" w:line="37" w:lineRule="exact"/>
        <w:rPr>
          <w:sz w:val="24"/>
          <w:szCs w:val="24"/>
          <w:color w:val="auto"/>
        </w:rPr>
      </w:pPr>
    </w:p>
    <w:p>
      <w:pPr>
        <w:sectPr>
          <w:pgSz w:w="11900" w:h="16838" w:orient="portrait"/>
          <w:cols w:equalWidth="0" w:num="3">
            <w:col w:w="4824" w:space="720"/>
            <w:col w:w="2960" w:space="720"/>
            <w:col w:w="1860"/>
          </w:cols>
          <w:pgMar w:left="236" w:top="344" w:right="579" w:bottom="1440" w:gutter="0" w:footer="0" w:header="0"/>
          <w:type w:val="continuous"/>
        </w:sectPr>
      </w:pPr>
    </w:p>
    <w:p>
      <w:pPr>
        <w:spacing w:after="0" w:line="11" w:lineRule="exact"/>
        <w:rPr>
          <w:sz w:val="24"/>
          <w:szCs w:val="24"/>
          <w:color w:val="auto"/>
        </w:rPr>
      </w:pPr>
    </w:p>
    <w:p>
      <w:pPr>
        <w:jc w:val="center"/>
        <w:ind w:right="876"/>
        <w:spacing w:after="0"/>
        <w:rPr>
          <w:sz w:val="20"/>
          <w:szCs w:val="20"/>
          <w:color w:val="auto"/>
        </w:rPr>
      </w:pPr>
      <w:r>
        <w:rPr>
          <w:rFonts w:ascii="Arial" w:cs="Arial" w:eastAsia="Arial" w:hAnsi="Arial"/>
          <w:sz w:val="11"/>
          <w:szCs w:val="11"/>
          <w:b w:val="1"/>
          <w:bCs w:val="1"/>
          <w:color w:val="auto"/>
        </w:rPr>
        <w:t>(State or Other Jurisdiction</w:t>
      </w:r>
    </w:p>
    <w:p>
      <w:pPr>
        <w:jc w:val="center"/>
        <w:ind w:right="876"/>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(Commission</w:t>
      </w: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1"/>
          <w:szCs w:val="11"/>
          <w:b w:val="1"/>
          <w:bCs w:val="1"/>
          <w:color w:val="auto"/>
        </w:rPr>
        <w:t>Identification No.)</w:t>
      </w:r>
    </w:p>
    <w:p>
      <w:pPr>
        <w:spacing w:after="0" w:line="212" w:lineRule="exact"/>
        <w:rPr>
          <w:sz w:val="24"/>
          <w:szCs w:val="24"/>
          <w:color w:val="auto"/>
        </w:rPr>
      </w:pPr>
    </w:p>
    <w:p>
      <w:pPr>
        <w:sectPr>
          <w:pgSz w:w="11900" w:h="16838" w:orient="portrait"/>
          <w:cols w:equalWidth="0" w:num="3">
            <w:col w:w="4764" w:space="720"/>
            <w:col w:w="2900" w:space="720"/>
            <w:col w:w="1980"/>
          </w:cols>
          <w:pgMar w:left="236" w:top="344" w:right="579" w:bottom="1440" w:gutter="0" w:footer="0" w:header="0"/>
          <w:type w:val="continuous"/>
        </w:sectPr>
      </w:pPr>
    </w:p>
    <w:p>
      <w:pPr>
        <w:ind w:left="1964"/>
        <w:spacing w:after="0"/>
        <w:rPr>
          <w:sz w:val="20"/>
          <w:szCs w:val="20"/>
          <w:color w:val="auto"/>
        </w:rPr>
      </w:pPr>
      <w:r>
        <w:rPr>
          <w:rFonts w:ascii="Arial" w:cs="Arial" w:eastAsia="Arial" w:hAnsi="Arial"/>
          <w:sz w:val="14"/>
          <w:szCs w:val="14"/>
          <w:b w:val="1"/>
          <w:bCs w:val="1"/>
          <w:color w:val="auto"/>
        </w:rPr>
        <w:t>555 Turnpike Street, Canton, Massachusetts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02021</w:t>
      </w:r>
    </w:p>
    <w:p>
      <w:pPr>
        <w:spacing w:after="0" w:line="48" w:lineRule="exact"/>
        <w:rPr>
          <w:sz w:val="24"/>
          <w:szCs w:val="24"/>
          <w:color w:val="auto"/>
        </w:rPr>
      </w:pPr>
    </w:p>
    <w:p>
      <w:pPr>
        <w:sectPr>
          <w:pgSz w:w="11900" w:h="16838" w:orient="portrait"/>
          <w:cols w:equalWidth="0" w:num="2">
            <w:col w:w="8524" w:space="720"/>
            <w:col w:w="1840"/>
          </w:cols>
          <w:pgMar w:left="236" w:top="344" w:right="579" w:bottom="1440" w:gutter="0" w:footer="0" w:header="0"/>
          <w:type w:val="continuous"/>
        </w:sectPr>
      </w:pPr>
    </w:p>
    <w:p>
      <w:pPr>
        <w:ind w:left="2324"/>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200" w:lineRule="exact"/>
        <w:rPr>
          <w:sz w:val="24"/>
          <w:szCs w:val="24"/>
          <w:color w:val="auto"/>
        </w:rPr>
      </w:pPr>
    </w:p>
    <w:p>
      <w:pPr>
        <w:sectPr>
          <w:pgSz w:w="11900" w:h="16838" w:orient="portrait"/>
          <w:cols w:equalWidth="0" w:num="2">
            <w:col w:w="8404" w:space="720"/>
            <w:col w:w="1960"/>
          </w:cols>
          <w:pgMar w:left="236" w:top="344" w:right="579" w:bottom="1440" w:gutter="0" w:footer="0" w:header="0"/>
          <w:type w:val="continuous"/>
        </w:sectPr>
      </w:pPr>
    </w:p>
    <w:p>
      <w:pPr>
        <w:spacing w:after="0" w:line="160" w:lineRule="exact"/>
        <w:rPr>
          <w:sz w:val="24"/>
          <w:szCs w:val="24"/>
          <w:color w:val="auto"/>
        </w:rPr>
      </w:pPr>
    </w:p>
    <w:p>
      <w:pPr>
        <w:jc w:val="center"/>
        <w:ind w:right="-343"/>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2273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2730" cy="7620"/>
                    </a:xfrm>
                    <a:prstGeom prst="rect">
                      <a:avLst/>
                    </a:prstGeom>
                    <a:noFill/>
                  </pic:spPr>
                </pic:pic>
              </a:graphicData>
            </a:graphic>
          </wp:anchor>
        </w:drawing>
      </w:r>
    </w:p>
    <w:p>
      <w:pPr>
        <w:sectPr>
          <w:pgSz w:w="11900" w:h="16838" w:orient="portrait"/>
          <w:cols w:equalWidth="0" w:num="1">
            <w:col w:w="11084"/>
          </w:cols>
          <w:pgMar w:left="236" w:top="344" w:right="579" w:bottom="1440" w:gutter="0" w:footer="0" w:header="0"/>
          <w:type w:val="continuous"/>
        </w:sectPr>
      </w:pPr>
    </w:p>
    <w:p>
      <w:pPr>
        <w:spacing w:after="0" w:line="200" w:lineRule="exact"/>
        <w:rPr>
          <w:sz w:val="24"/>
          <w:szCs w:val="24"/>
          <w:color w:val="auto"/>
        </w:rPr>
      </w:pPr>
    </w:p>
    <w:p>
      <w:pPr>
        <w:spacing w:after="0" w:line="344"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w:t>
      </w:r>
      <w:r>
        <w:rPr>
          <w:rFonts w:ascii="Arial" w:cs="Arial" w:eastAsia="Arial" w:hAnsi="Arial"/>
          <w:sz w:val="14"/>
          <w:szCs w:val="14"/>
          <w:u w:val="single" w:color="auto"/>
          <w:color w:val="auto"/>
        </w:rPr>
        <w:t>see</w:t>
      </w:r>
    </w:p>
    <w:p>
      <w:pPr>
        <w:spacing w:after="0" w:line="44"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 A.2. below):</w:t>
      </w:r>
    </w:p>
    <w:p>
      <w:pPr>
        <w:spacing w:after="0" w:line="105"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7" w:lineRule="exact"/>
        <w:rPr>
          <w:rFonts w:ascii="MS PGothic" w:cs="MS PGothic" w:eastAsia="MS PGothic" w:hAnsi="MS PGothic"/>
          <w:sz w:val="16"/>
          <w:szCs w:val="16"/>
          <w:color w:val="auto"/>
        </w:rPr>
      </w:pPr>
    </w:p>
    <w:p>
      <w:pPr>
        <w:ind w:left="444" w:hanging="444"/>
        <w:spacing w:after="0"/>
        <w:tabs>
          <w:tab w:leader="none" w:pos="4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444" w:hanging="444"/>
        <w:spacing w:after="0"/>
        <w:tabs>
          <w:tab w:leader="none" w:pos="4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444" w:hanging="444"/>
        <w:spacing w:after="0"/>
        <w:tabs>
          <w:tab w:leader="none" w:pos="4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72612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2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181610</wp:posOffset>
            </wp:positionV>
            <wp:extent cx="72612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084"/>
          </w:cols>
          <w:pgMar w:left="236" w:top="344" w:right="57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186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1865" cy="35560"/>
                    </a:xfrm>
                    <a:prstGeom prst="rect">
                      <a:avLst/>
                    </a:prstGeom>
                    <a:noFill/>
                  </pic:spPr>
                </pic:pic>
              </a:graphicData>
            </a:graphic>
          </wp:anchor>
        </w:drawing>
        <w:t>Item 7.01 -Regulation FD Disclosure</w:t>
      </w:r>
    </w:p>
    <w:p>
      <w:pPr>
        <w:spacing w:after="0" w:line="109" w:lineRule="exact"/>
        <w:rPr>
          <w:sz w:val="20"/>
          <w:szCs w:val="20"/>
          <w:color w:val="auto"/>
        </w:rPr>
      </w:pPr>
    </w:p>
    <w:p>
      <w:pPr>
        <w:ind w:left="4" w:right="120"/>
        <w:spacing w:after="0" w:line="265" w:lineRule="auto"/>
        <w:rPr>
          <w:sz w:val="20"/>
          <w:szCs w:val="20"/>
          <w:color w:val="auto"/>
        </w:rPr>
      </w:pPr>
      <w:r>
        <w:rPr>
          <w:rFonts w:ascii="Arial" w:cs="Arial" w:eastAsia="Arial" w:hAnsi="Arial"/>
          <w:sz w:val="16"/>
          <w:szCs w:val="16"/>
          <w:color w:val="auto"/>
        </w:rPr>
        <w:t>The Company will be presenting a slide presentation to various investment groups at upcoming investor conferences beginning May 22, 2014. The Company has updated its forward-looking information slide to add information regarding non-GAAP financial measures and has added two new slides to its current presentation. A copy of the slides is attached to this report as Exhibit 99.1 and is incorporated by reference herein.</w:t>
      </w:r>
    </w:p>
    <w:p>
      <w:pPr>
        <w:spacing w:after="0" w:line="162" w:lineRule="exact"/>
        <w:rPr>
          <w:sz w:val="20"/>
          <w:szCs w:val="20"/>
          <w:color w:val="auto"/>
        </w:rPr>
      </w:pPr>
    </w:p>
    <w:p>
      <w:pPr>
        <w:ind w:left="4" w:right="180"/>
        <w:spacing w:after="0" w:line="265" w:lineRule="auto"/>
        <w:rPr>
          <w:sz w:val="20"/>
          <w:szCs w:val="20"/>
          <w:color w:val="auto"/>
        </w:rPr>
      </w:pPr>
      <w:r>
        <w:rPr>
          <w:rFonts w:ascii="Arial" w:cs="Arial" w:eastAsia="Arial" w:hAnsi="Arial"/>
          <w:sz w:val="16"/>
          <w:szCs w:val="16"/>
          <w:color w:val="auto"/>
        </w:rPr>
        <w:t>One of the slides includes financial information not prepared in accordance with generally accepted accounting principles (“Non-GAAP Financial Measures”). The Company believes that the non-GAAP measures are useful as an additional means for investors to evaluate the Company’s operating results, when reviewed in conjunction with the Company’s GAAP financial statements.</w:t>
      </w:r>
    </w:p>
    <w:p>
      <w:pPr>
        <w:spacing w:after="0" w:line="162" w:lineRule="exact"/>
        <w:rPr>
          <w:sz w:val="20"/>
          <w:szCs w:val="20"/>
          <w:color w:val="auto"/>
        </w:rPr>
      </w:pPr>
    </w:p>
    <w:p>
      <w:pPr>
        <w:ind w:left="4"/>
        <w:spacing w:after="0" w:line="265" w:lineRule="auto"/>
        <w:rPr>
          <w:sz w:val="20"/>
          <w:szCs w:val="20"/>
          <w:color w:val="auto"/>
        </w:rPr>
      </w:pPr>
      <w:r>
        <w:rPr>
          <w:rFonts w:ascii="Arial" w:cs="Arial" w:eastAsia="Arial" w:hAnsi="Arial"/>
          <w:sz w:val="16"/>
          <w:szCs w:val="16"/>
          <w:color w:val="auto"/>
        </w:rPr>
        <w:t>A reconciliation of the Non-GAAP Financial Measures to financial information prepared in accordance with generally accepted accounting principles (“GAAP”), as required by Regulation G, is included as Appendix A to the investor presentation. A copy of the Appendix A slide is attached to this report as Exhibit 99.2 and is incorporated by reference herein.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The full slide presentation is available on the investor relations page of the Company’s website at </w:t>
      </w:r>
      <w:r>
        <w:rPr>
          <w:rFonts w:ascii="Arial" w:cs="Arial" w:eastAsia="Arial" w:hAnsi="Arial"/>
          <w:sz w:val="16"/>
          <w:szCs w:val="16"/>
          <w:u w:val="single" w:color="auto"/>
          <w:color w:val="auto"/>
        </w:rPr>
        <w:t>www.destinationxl.com</w:t>
      </w:r>
      <w:r>
        <w:rPr>
          <w:rFonts w:ascii="Arial" w:cs="Arial" w:eastAsia="Arial" w:hAnsi="Arial"/>
          <w:sz w:val="16"/>
          <w:szCs w:val="16"/>
          <w:color w:val="auto"/>
        </w:rPr>
        <w:t>.</w:t>
      </w:r>
    </w:p>
    <w:p>
      <w:pPr>
        <w:spacing w:after="0" w:line="202" w:lineRule="exact"/>
        <w:rPr>
          <w:sz w:val="20"/>
          <w:szCs w:val="20"/>
          <w:color w:val="auto"/>
        </w:rPr>
      </w:pPr>
    </w:p>
    <w:p>
      <w:pPr>
        <w:ind w:left="4"/>
        <w:spacing w:after="0" w:line="279" w:lineRule="auto"/>
        <w:rPr>
          <w:sz w:val="20"/>
          <w:szCs w:val="20"/>
          <w:color w:val="auto"/>
        </w:rPr>
      </w:pPr>
      <w:r>
        <w:rPr>
          <w:rFonts w:ascii="Arial" w:cs="Arial" w:eastAsia="Arial" w:hAnsi="Arial"/>
          <w:sz w:val="15"/>
          <w:szCs w:val="15"/>
          <w:color w:val="auto"/>
        </w:rPr>
        <w:t>The slides contained in the exhibit include statements intended as “forward-looking statements,” which are subject to the cautionary statement about forward-looking statements set forth in the exhibit. The additional slides are being furnished, not filed, pursuant to Regulation FD. Accordingly, the slides will not be incorporated by reference into any registration statement filed by the Company under the Securities Act of 1933, as amended, unless specifically identified therein as being incorporated therein by reference. The furnishing of these slides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24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21" w:lineRule="exact"/>
        <w:rPr>
          <w:sz w:val="20"/>
          <w:szCs w:val="20"/>
          <w:color w:val="auto"/>
        </w:rPr>
      </w:pPr>
    </w:p>
    <w:p>
      <w:pPr>
        <w:ind w:left="444" w:hanging="444"/>
        <w:spacing w:after="0"/>
        <w:tabs>
          <w:tab w:leader="none" w:pos="444"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5"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380" w:type="dxa"/>
            <w:vAlign w:val="bottom"/>
          </w:tcPr>
          <w:p>
            <w:pPr>
              <w:jc w:val="center"/>
              <w:spacing w:after="0"/>
              <w:rPr>
                <w:sz w:val="20"/>
                <w:szCs w:val="20"/>
                <w:color w:val="auto"/>
              </w:rPr>
            </w:pPr>
            <w:r>
              <w:rPr>
                <w:rFonts w:ascii="Arial" w:cs="Arial" w:eastAsia="Arial" w:hAnsi="Arial"/>
                <w:sz w:val="13"/>
                <w:szCs w:val="13"/>
                <w:color w:val="auto"/>
                <w:w w:val="97"/>
              </w:rPr>
              <w:t>Exhibit</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60" w:type="dxa"/>
            <w:vAlign w:val="bottom"/>
          </w:tcPr>
          <w:p>
            <w:pPr>
              <w:spacing w:after="0"/>
              <w:rPr>
                <w:sz w:val="13"/>
                <w:szCs w:val="13"/>
                <w:color w:val="auto"/>
              </w:rPr>
            </w:pPr>
          </w:p>
        </w:tc>
      </w:tr>
      <w:tr>
        <w:trPr>
          <w:trHeight w:val="149"/>
        </w:trPr>
        <w:tc>
          <w:tcPr>
            <w:tcW w:w="380" w:type="dxa"/>
            <w:vAlign w:val="bottom"/>
          </w:tcPr>
          <w:p>
            <w:pPr>
              <w:jc w:val="center"/>
              <w:spacing w:after="0"/>
              <w:rPr>
                <w:sz w:val="20"/>
                <w:szCs w:val="20"/>
                <w:color w:val="auto"/>
              </w:rPr>
            </w:pPr>
            <w:r>
              <w:rPr>
                <w:rFonts w:ascii="Arial" w:cs="Arial" w:eastAsia="Arial" w:hAnsi="Arial"/>
                <w:sz w:val="13"/>
                <w:szCs w:val="13"/>
                <w:color w:val="auto"/>
                <w:w w:val="88"/>
              </w:rPr>
              <w:t>No.</w:t>
            </w:r>
          </w:p>
        </w:tc>
        <w:tc>
          <w:tcPr>
            <w:tcW w:w="5320" w:type="dxa"/>
            <w:vAlign w:val="bottom"/>
            <w:gridSpan w:val="3"/>
          </w:tcPr>
          <w:p>
            <w:pPr>
              <w:ind w:left="560"/>
              <w:spacing w:after="0"/>
              <w:rPr>
                <w:sz w:val="20"/>
                <w:szCs w:val="20"/>
                <w:color w:val="auto"/>
              </w:rPr>
            </w:pPr>
            <w:r>
              <w:rPr>
                <w:rFonts w:ascii="Arial" w:cs="Arial" w:eastAsia="Arial" w:hAnsi="Arial"/>
                <w:sz w:val="13"/>
                <w:szCs w:val="13"/>
                <w:color w:val="auto"/>
              </w:rPr>
              <w:t>Description</w:t>
            </w:r>
          </w:p>
        </w:tc>
      </w:tr>
      <w:tr>
        <w:trPr>
          <w:trHeight w:val="20"/>
        </w:trPr>
        <w:tc>
          <w:tcPr>
            <w:tcW w:w="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81"/>
        </w:trPr>
        <w:tc>
          <w:tcPr>
            <w:tcW w:w="38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5320" w:type="dxa"/>
            <w:vAlign w:val="bottom"/>
            <w:gridSpan w:val="3"/>
          </w:tcPr>
          <w:p>
            <w:pPr>
              <w:ind w:left="560"/>
              <w:spacing w:after="0"/>
              <w:rPr>
                <w:sz w:val="20"/>
                <w:szCs w:val="20"/>
                <w:color w:val="auto"/>
              </w:rPr>
            </w:pPr>
            <w:r>
              <w:rPr>
                <w:rFonts w:ascii="Arial" w:cs="Arial" w:eastAsia="Arial" w:hAnsi="Arial"/>
                <w:sz w:val="16"/>
                <w:szCs w:val="16"/>
                <w:color w:val="auto"/>
                <w:w w:val="90"/>
              </w:rPr>
              <w:t>Supplemental or Updated Slides to Investor Presentation dated May 2014.</w:t>
            </w:r>
          </w:p>
        </w:tc>
      </w:tr>
      <w:tr>
        <w:trPr>
          <w:trHeight w:val="301"/>
        </w:trPr>
        <w:tc>
          <w:tcPr>
            <w:tcW w:w="380" w:type="dxa"/>
            <w:vAlign w:val="bottom"/>
          </w:tcPr>
          <w:p>
            <w:pPr>
              <w:jc w:val="center"/>
              <w:spacing w:after="0"/>
              <w:rPr>
                <w:sz w:val="20"/>
                <w:szCs w:val="20"/>
                <w:color w:val="auto"/>
              </w:rPr>
            </w:pPr>
            <w:r>
              <w:rPr>
                <w:rFonts w:ascii="Arial" w:cs="Arial" w:eastAsia="Arial" w:hAnsi="Arial"/>
                <w:sz w:val="16"/>
                <w:szCs w:val="16"/>
                <w:color w:val="auto"/>
                <w:w w:val="89"/>
              </w:rPr>
              <w:t>99.2</w:t>
            </w:r>
          </w:p>
        </w:tc>
        <w:tc>
          <w:tcPr>
            <w:tcW w:w="5320" w:type="dxa"/>
            <w:vAlign w:val="bottom"/>
            <w:gridSpan w:val="3"/>
          </w:tcPr>
          <w:p>
            <w:pPr>
              <w:ind w:left="560"/>
              <w:spacing w:after="0"/>
              <w:rPr>
                <w:sz w:val="20"/>
                <w:szCs w:val="20"/>
                <w:color w:val="auto"/>
              </w:rPr>
            </w:pPr>
            <w:r>
              <w:rPr>
                <w:rFonts w:ascii="Arial" w:cs="Arial" w:eastAsia="Arial" w:hAnsi="Arial"/>
                <w:sz w:val="16"/>
                <w:szCs w:val="16"/>
                <w:color w:val="auto"/>
                <w:w w:val="97"/>
              </w:rPr>
              <w:t>Appendix A Slide –Reconciliation of Non-GAAP Financial Measures.</w:t>
            </w:r>
          </w:p>
        </w:tc>
      </w:tr>
    </w:tbl>
    <w:p>
      <w:pPr>
        <w:sectPr>
          <w:pgSz w:w="11900" w:h="16838" w:orient="portrait"/>
          <w:cols w:equalWidth="0" w:num="1">
            <w:col w:w="11344"/>
          </w:cols>
          <w:pgMar w:left="236" w:top="256"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186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1865" cy="35560"/>
                    </a:xfrm>
                    <a:prstGeom prst="rect">
                      <a:avLst/>
                    </a:prstGeom>
                    <a:noFill/>
                  </pic:spPr>
                </pic:pic>
              </a:graphicData>
            </a:graphic>
          </wp:anchor>
        </w:drawing>
        <w:t>SIGNATURE</w:t>
      </w:r>
    </w:p>
    <w:p>
      <w:pPr>
        <w:spacing w:after="0" w:line="206"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7880" w:type="dxa"/>
            <w:vAlign w:val="bottom"/>
            <w:gridSpan w:val="2"/>
          </w:tcPr>
          <w:p>
            <w:pPr>
              <w:ind w:left="2300"/>
              <w:spacing w:after="0"/>
              <w:rPr>
                <w:sz w:val="20"/>
                <w:szCs w:val="20"/>
                <w:color w:val="auto"/>
              </w:rPr>
            </w:pPr>
            <w:r>
              <w:rPr>
                <w:rFonts w:ascii="Arial" w:cs="Arial" w:eastAsia="Arial" w:hAnsi="Arial"/>
                <w:sz w:val="16"/>
                <w:szCs w:val="16"/>
                <w:color w:val="auto"/>
              </w:rPr>
              <w:t>DESTINATION XL GROUP, INC.</w:t>
            </w:r>
          </w:p>
        </w:tc>
      </w:tr>
      <w:tr>
        <w:trPr>
          <w:trHeight w:val="386"/>
        </w:trPr>
        <w:tc>
          <w:tcPr>
            <w:tcW w:w="3560" w:type="dxa"/>
            <w:vAlign w:val="bottom"/>
          </w:tcPr>
          <w:p>
            <w:pPr>
              <w:spacing w:after="0"/>
              <w:rPr>
                <w:sz w:val="20"/>
                <w:szCs w:val="20"/>
                <w:color w:val="auto"/>
              </w:rPr>
            </w:pPr>
            <w:r>
              <w:rPr>
                <w:rFonts w:ascii="Arial" w:cs="Arial" w:eastAsia="Arial" w:hAnsi="Arial"/>
                <w:sz w:val="16"/>
                <w:szCs w:val="16"/>
                <w:color w:val="auto"/>
              </w:rPr>
              <w:t>Date: May 21, 2014</w:t>
            </w:r>
          </w:p>
        </w:tc>
        <w:tc>
          <w:tcPr>
            <w:tcW w:w="2840" w:type="dxa"/>
            <w:vAlign w:val="bottom"/>
          </w:tcPr>
          <w:p>
            <w:pPr>
              <w:ind w:left="2300"/>
              <w:spacing w:after="0"/>
              <w:rPr>
                <w:sz w:val="20"/>
                <w:szCs w:val="20"/>
                <w:color w:val="auto"/>
              </w:rPr>
            </w:pPr>
            <w:r>
              <w:rPr>
                <w:rFonts w:ascii="Arial" w:cs="Arial" w:eastAsia="Arial" w:hAnsi="Arial"/>
                <w:sz w:val="16"/>
                <w:szCs w:val="16"/>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Robert S. Molloy</w:t>
            </w:r>
          </w:p>
        </w:tc>
      </w:tr>
      <w:tr>
        <w:trPr>
          <w:trHeight w:val="184"/>
        </w:trPr>
        <w:tc>
          <w:tcPr>
            <w:tcW w:w="3560" w:type="dxa"/>
            <w:vAlign w:val="bottom"/>
          </w:tcPr>
          <w:p>
            <w:pPr>
              <w:spacing w:after="0"/>
              <w:rPr>
                <w:sz w:val="16"/>
                <w:szCs w:val="16"/>
                <w:color w:val="auto"/>
              </w:rPr>
            </w:pPr>
          </w:p>
        </w:tc>
        <w:tc>
          <w:tcPr>
            <w:tcW w:w="2840" w:type="dxa"/>
            <w:vAlign w:val="bottom"/>
          </w:tcPr>
          <w:p>
            <w:pPr>
              <w:ind w:left="2300"/>
              <w:spacing w:after="0"/>
              <w:rPr>
                <w:sz w:val="20"/>
                <w:szCs w:val="20"/>
                <w:color w:val="auto"/>
              </w:rPr>
            </w:pPr>
            <w:r>
              <w:rPr>
                <w:rFonts w:ascii="Arial" w:cs="Arial" w:eastAsia="Arial" w:hAnsi="Arial"/>
                <w:sz w:val="16"/>
                <w:szCs w:val="16"/>
                <w:color w:val="auto"/>
              </w:rPr>
              <w:t>Name:</w:t>
            </w:r>
          </w:p>
        </w:tc>
        <w:tc>
          <w:tcPr>
            <w:tcW w:w="5040" w:type="dxa"/>
            <w:vAlign w:val="bottom"/>
          </w:tcPr>
          <w:p>
            <w:pPr>
              <w:spacing w:after="0"/>
              <w:rPr>
                <w:sz w:val="20"/>
                <w:szCs w:val="20"/>
                <w:color w:val="auto"/>
              </w:rPr>
            </w:pPr>
            <w:r>
              <w:rPr>
                <w:rFonts w:ascii="Arial" w:cs="Arial" w:eastAsia="Arial" w:hAnsi="Arial"/>
                <w:sz w:val="16"/>
                <w:szCs w:val="16"/>
                <w:color w:val="auto"/>
              </w:rPr>
              <w:t>Robert S. Molloy</w:t>
            </w:r>
          </w:p>
        </w:tc>
      </w:tr>
      <w:tr>
        <w:trPr>
          <w:trHeight w:val="193"/>
        </w:trPr>
        <w:tc>
          <w:tcPr>
            <w:tcW w:w="3560" w:type="dxa"/>
            <w:vAlign w:val="bottom"/>
          </w:tcPr>
          <w:p>
            <w:pPr>
              <w:spacing w:after="0"/>
              <w:rPr>
                <w:sz w:val="16"/>
                <w:szCs w:val="16"/>
                <w:color w:val="auto"/>
              </w:rPr>
            </w:pPr>
          </w:p>
        </w:tc>
        <w:tc>
          <w:tcPr>
            <w:tcW w:w="2840" w:type="dxa"/>
            <w:vAlign w:val="bottom"/>
          </w:tcPr>
          <w:p>
            <w:pPr>
              <w:ind w:left="2300"/>
              <w:spacing w:after="0"/>
              <w:rPr>
                <w:sz w:val="20"/>
                <w:szCs w:val="20"/>
                <w:color w:val="auto"/>
              </w:rPr>
            </w:pPr>
            <w:r>
              <w:rPr>
                <w:rFonts w:ascii="Arial" w:cs="Arial" w:eastAsia="Arial" w:hAnsi="Arial"/>
                <w:sz w:val="16"/>
                <w:szCs w:val="16"/>
                <w:color w:val="auto"/>
              </w:rPr>
              <w:t>Title:</w:t>
            </w:r>
          </w:p>
        </w:tc>
        <w:tc>
          <w:tcPr>
            <w:tcW w:w="5040" w:type="dxa"/>
            <w:vAlign w:val="bottom"/>
          </w:tcPr>
          <w:p>
            <w:pPr>
              <w:spacing w:after="0"/>
              <w:rPr>
                <w:sz w:val="20"/>
                <w:szCs w:val="20"/>
                <w:color w:val="auto"/>
              </w:rPr>
            </w:pPr>
            <w:r>
              <w:rPr>
                <w:rFonts w:ascii="Arial" w:cs="Arial" w:eastAsia="Arial" w:hAnsi="Arial"/>
                <w:sz w:val="16"/>
                <w:szCs w:val="16"/>
                <w:color w:val="auto"/>
              </w:rPr>
              <w:t>Senior Vice President, General Counsel</w:t>
            </w:r>
          </w:p>
        </w:tc>
      </w:tr>
      <w:tr>
        <w:trPr>
          <w:trHeight w:val="205"/>
        </w:trPr>
        <w:tc>
          <w:tcPr>
            <w:tcW w:w="35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and Secretary</w:t>
            </w:r>
          </w:p>
        </w:tc>
      </w:tr>
    </w:tbl>
    <w:p>
      <w:pPr>
        <w:sectPr>
          <w:pgSz w:w="11900" w:h="16838" w:orient="portrait"/>
          <w:cols w:equalWidth="0" w:num="1">
            <w:col w:w="11440"/>
          </w:cols>
          <w:pgMar w:left="240" w:top="256"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23282B"/>
        </w:rPr>
        <w:t>Exhibit 99.1</w:t>
      </w:r>
    </w:p>
    <w:p>
      <w:pPr>
        <w:spacing w:after="0" w:line="393" w:lineRule="exact"/>
        <w:rPr>
          <w:sz w:val="20"/>
          <w:szCs w:val="20"/>
          <w:color w:val="auto"/>
        </w:rPr>
      </w:pPr>
    </w:p>
    <w:p>
      <w:pPr>
        <w:spacing w:after="0"/>
        <w:rPr>
          <w:sz w:val="20"/>
          <w:szCs w:val="20"/>
          <w:color w:val="auto"/>
        </w:rPr>
      </w:pPr>
      <w:r>
        <w:rPr>
          <w:rFonts w:ascii="Arial" w:cs="Arial" w:eastAsia="Arial" w:hAnsi="Arial"/>
          <w:sz w:val="33"/>
          <w:szCs w:val="33"/>
          <w:b w:val="1"/>
          <w:bCs w:val="1"/>
          <w:color w:val="354047"/>
        </w:rPr>
        <w:t>FORWARD LOOKING STATEMENTS AND NON-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139700</wp:posOffset>
            </wp:positionV>
            <wp:extent cx="6817360" cy="4606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7360" cy="460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60"/>
        <w:spacing w:after="0"/>
        <w:rPr>
          <w:sz w:val="20"/>
          <w:szCs w:val="20"/>
          <w:color w:val="auto"/>
        </w:rPr>
      </w:pPr>
      <w:r>
        <w:rPr>
          <w:rFonts w:ascii="Arial" w:cs="Arial" w:eastAsia="Arial" w:hAnsi="Arial"/>
          <w:sz w:val="19"/>
          <w:szCs w:val="19"/>
          <w:color w:val="354047"/>
        </w:rPr>
        <w:t>Forward Looking Statements:</w:t>
      </w:r>
    </w:p>
    <w:p>
      <w:pPr>
        <w:spacing w:after="0" w:line="70" w:lineRule="exact"/>
        <w:rPr>
          <w:sz w:val="20"/>
          <w:szCs w:val="20"/>
          <w:color w:val="auto"/>
        </w:rPr>
      </w:pPr>
    </w:p>
    <w:p>
      <w:pPr>
        <w:ind w:left="240" w:right="200" w:firstLine="12"/>
        <w:spacing w:after="0" w:line="247" w:lineRule="auto"/>
        <w:rPr>
          <w:sz w:val="20"/>
          <w:szCs w:val="20"/>
          <w:color w:val="auto"/>
        </w:rPr>
      </w:pPr>
      <w:r>
        <w:rPr>
          <w:rFonts w:ascii="Arial" w:cs="Arial" w:eastAsia="Arial" w:hAnsi="Arial"/>
          <w:sz w:val="18"/>
          <w:szCs w:val="18"/>
          <w:color w:val="354047"/>
        </w:rPr>
        <w:t>Certain information contained in this presentation, including, but not limited to, sales, cash flows, operating margins and store counts for fiscal 2014, constitute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Such forward-looking statements are subject to various risks and uncertainties that could cause actual results to differ materially from those indicated. Such risks and uncertainties may include, but are not limited to: the failure to implement the Company's business plan for increased profitability and growth in the Company's retail stores sales and direct-to-consumer business, the failure to achieve improvement in the Company's competitive position, changes in or miscalculation of fashion trends, extreme or unseasonable weather conditions, economic downturns,a weakness in overallconsumer demand, trade and security restrictions and political or financial instability in countries where goods are manufactured, increases in raw material costs from inflation and other factors, the interruption of merchandise flow from the Company's distribution facility, competitive pressures, and the adverse effects of natural disasters, war, acts of terrorism or threats of either, or other armed conflict, on the United States and international economies. These, and other risks and uncertainties, are detailed in the Company's Annual Report on Form 10-K filed with the Securities and Exchange Commission for the fiscal year ended February 1, 2014 filed on March 17, 2014 and other Company filings with the Securities and Exchange Commission. The Company assumes no duty to update or revise its forward-looking statements even if experience or future changes make it clear that any projected results expressed or implied therein will not be realized.</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color w:val="354047"/>
        </w:rPr>
        <w:t>Non-GAAP Measures:</w:t>
      </w:r>
    </w:p>
    <w:p>
      <w:pPr>
        <w:spacing w:after="0" w:line="46" w:lineRule="exact"/>
        <w:rPr>
          <w:sz w:val="20"/>
          <w:szCs w:val="20"/>
          <w:color w:val="auto"/>
        </w:rPr>
      </w:pPr>
    </w:p>
    <w:p>
      <w:pPr>
        <w:ind w:left="240" w:right="240" w:firstLine="12"/>
        <w:spacing w:after="0" w:line="250" w:lineRule="auto"/>
        <w:rPr>
          <w:sz w:val="20"/>
          <w:szCs w:val="20"/>
          <w:color w:val="auto"/>
        </w:rPr>
      </w:pPr>
      <w:r>
        <w:rPr>
          <w:rFonts w:ascii="Arial" w:cs="Arial" w:eastAsia="Arial" w:hAnsi="Arial"/>
          <w:sz w:val="18"/>
          <w:szCs w:val="18"/>
          <w:color w:val="354047"/>
        </w:rPr>
        <w:t>EBITDA, Adjusted EBITDA, EBITDA Margin and Adjusted EBITDA Margin are non-GAAP measures. The Company believes that these non-GAAP measures are useful as additional means for investors to evaluate the Company's operating results, when reviewed in conjunction with the Company's GAAP financial statements. Please see Appendix A for additional information concerning these non-GAAP measures and a reconciliation to their respective 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160" w:type="dxa"/>
        <w:tblCellMar>
          <w:top w:w="0" w:type="dxa"/>
          <w:left w:w="0" w:type="dxa"/>
          <w:bottom w:w="0" w:type="dxa"/>
          <w:right w:w="0" w:type="dxa"/>
        </w:tblCellMar>
      </w:tblPr>
      <w:tr>
        <w:trPr>
          <w:trHeight w:val="233"/>
        </w:trPr>
        <w:tc>
          <w:tcPr>
            <w:tcW w:w="3940" w:type="dxa"/>
            <w:vAlign w:val="bottom"/>
          </w:tcPr>
          <w:p>
            <w:pPr>
              <w:spacing w:after="0"/>
              <w:rPr>
                <w:sz w:val="20"/>
                <w:szCs w:val="20"/>
                <w:color w:val="auto"/>
              </w:rPr>
            </w:pPr>
            <w:r>
              <w:rPr>
                <w:rFonts w:ascii="Arial" w:cs="Arial" w:eastAsia="Arial" w:hAnsi="Arial"/>
                <w:sz w:val="16"/>
                <w:szCs w:val="16"/>
                <w:color w:val="4D5D67"/>
              </w:rPr>
              <w:t>Destination XL Group, Inc.</w:t>
            </w:r>
          </w:p>
        </w:tc>
        <w:tc>
          <w:tcPr>
            <w:tcW w:w="2200" w:type="dxa"/>
            <w:vAlign w:val="bottom"/>
          </w:tcPr>
          <w:p>
            <w:pPr>
              <w:jc w:val="right"/>
              <w:spacing w:after="0"/>
              <w:rPr>
                <w:sz w:val="20"/>
                <w:szCs w:val="20"/>
                <w:color w:val="auto"/>
              </w:rPr>
            </w:pPr>
            <w:r>
              <w:rPr>
                <w:rFonts w:ascii="Arial" w:cs="Arial" w:eastAsia="Arial" w:hAnsi="Arial"/>
                <w:sz w:val="19"/>
                <w:szCs w:val="19"/>
                <w:color w:val="8CA1A5"/>
              </w:rPr>
              <w:t>2</w:t>
            </w:r>
          </w:p>
        </w:tc>
      </w:tr>
    </w:tbl>
    <w:p>
      <w:pPr>
        <w:sectPr>
          <w:pgSz w:w="11900" w:h="16838" w:orient="portrait"/>
          <w:cols w:equalWidth="0" w:num="1">
            <w:col w:w="10680"/>
          </w:cols>
          <w:pgMar w:left="880" w:top="206" w:right="339" w:bottom="1440" w:gutter="0" w:footer="0" w:header="0"/>
        </w:sectPr>
      </w:pPr>
    </w:p>
    <w:bookmarkStart w:id="4" w:name="page5"/>
    <w:bookmarkEnd w:id="4"/>
    <w:p>
      <w:pPr>
        <w:spacing w:after="0" w:line="189" w:lineRule="auto"/>
        <w:framePr w:w="1280" w:h="164" w:wrap="auto" w:vAnchor="page" w:hAnchor="page" w:x="9620" w:y="7532"/>
        <w:rPr>
          <w:rFonts w:ascii="Arial" w:cs="Arial" w:eastAsia="Arial" w:hAnsi="Arial"/>
          <w:sz w:val="18"/>
          <w:szCs w:val="18"/>
          <w:color w:val="23282B"/>
        </w:rPr>
      </w:pPr>
      <w:r>
        <w:rPr>
          <w:rFonts w:ascii="Arial" w:cs="Arial" w:eastAsia="Arial" w:hAnsi="Arial"/>
          <w:sz w:val="18"/>
          <w:szCs w:val="18"/>
          <w:color w:val="23282B"/>
        </w:rPr>
        <w:t>*Average store</w:t>
      </w:r>
    </w:p>
    <w:p>
      <w:pPr>
        <w:ind w:left="360"/>
        <w:spacing w:after="0"/>
        <w:rPr>
          <w:sz w:val="20"/>
          <w:szCs w:val="20"/>
          <w:color w:val="auto"/>
        </w:rPr>
      </w:pPr>
      <w:r>
        <w:rPr>
          <w:rFonts w:ascii="Arial" w:cs="Arial" w:eastAsia="Arial" w:hAnsi="Arial"/>
          <w:sz w:val="45"/>
          <w:szCs w:val="45"/>
          <w:b w:val="1"/>
          <w:bCs w:val="1"/>
          <w:color w:val="354047"/>
        </w:rPr>
        <w:drawing>
          <wp:anchor simplePos="0" relativeHeight="251657728" behindDoc="1" locked="0" layoutInCell="0" allowOverlap="1">
            <wp:simplePos x="0" y="0"/>
            <wp:positionH relativeFrom="page">
              <wp:posOffset>137160</wp:posOffset>
            </wp:positionH>
            <wp:positionV relativeFrom="page">
              <wp:posOffset>88900</wp:posOffset>
            </wp:positionV>
            <wp:extent cx="7301865" cy="5624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1865" cy="5624195"/>
                    </a:xfrm>
                    <a:prstGeom prst="rect">
                      <a:avLst/>
                    </a:prstGeom>
                    <a:noFill/>
                  </pic:spPr>
                </pic:pic>
              </a:graphicData>
            </a:graphic>
          </wp:anchor>
        </w:drawing>
        <w:t>SALES MODEL–CMXL vs. DXL</w:t>
      </w:r>
    </w:p>
    <w:p>
      <w:pPr>
        <w:spacing w:after="0" w:line="200" w:lineRule="exact"/>
        <w:rPr>
          <w:rFonts w:ascii="Arial" w:cs="Arial" w:eastAsia="Arial" w:hAnsi="Arial"/>
          <w:sz w:val="18"/>
          <w:szCs w:val="18"/>
          <w:color w:val="23282B"/>
        </w:rPr>
      </w:pPr>
    </w:p>
    <w:p>
      <w:pPr>
        <w:spacing w:after="0" w:line="215" w:lineRule="exact"/>
        <w:rPr>
          <w:rFonts w:ascii="Arial" w:cs="Arial" w:eastAsia="Arial" w:hAnsi="Arial"/>
          <w:sz w:val="18"/>
          <w:szCs w:val="18"/>
          <w:color w:val="23282B"/>
        </w:rPr>
      </w:pPr>
    </w:p>
    <w:p>
      <w:pPr>
        <w:ind w:left="7240"/>
        <w:spacing w:after="0"/>
        <w:rPr>
          <w:sz w:val="20"/>
          <w:szCs w:val="20"/>
          <w:color w:val="auto"/>
        </w:rPr>
      </w:pPr>
      <w:r>
        <w:rPr>
          <w:rFonts w:ascii="Arial" w:cs="Arial" w:eastAsia="Arial" w:hAnsi="Arial"/>
          <w:sz w:val="29"/>
          <w:szCs w:val="29"/>
          <w:b w:val="1"/>
          <w:bCs w:val="1"/>
          <w:color w:val="23282B"/>
        </w:rPr>
        <w:t>Pro-Forma</w:t>
      </w:r>
    </w:p>
    <w:p>
      <w:pPr>
        <w:spacing w:after="0" w:line="200" w:lineRule="exact"/>
        <w:rPr>
          <w:rFonts w:ascii="Arial" w:cs="Arial" w:eastAsia="Arial" w:hAnsi="Arial"/>
          <w:sz w:val="18"/>
          <w:szCs w:val="18"/>
          <w:color w:val="23282B"/>
        </w:rPr>
      </w:pPr>
    </w:p>
    <w:p>
      <w:pPr>
        <w:spacing w:after="0" w:line="200" w:lineRule="exact"/>
        <w:rPr>
          <w:rFonts w:ascii="Arial" w:cs="Arial" w:eastAsia="Arial" w:hAnsi="Arial"/>
          <w:sz w:val="18"/>
          <w:szCs w:val="18"/>
          <w:color w:val="23282B"/>
        </w:rPr>
      </w:pPr>
    </w:p>
    <w:p>
      <w:pPr>
        <w:spacing w:after="0" w:line="200" w:lineRule="exact"/>
        <w:rPr>
          <w:rFonts w:ascii="Arial" w:cs="Arial" w:eastAsia="Arial" w:hAnsi="Arial"/>
          <w:sz w:val="18"/>
          <w:szCs w:val="18"/>
          <w:color w:val="23282B"/>
        </w:rPr>
      </w:pPr>
    </w:p>
    <w:p>
      <w:pPr>
        <w:spacing w:after="0" w:line="200" w:lineRule="exact"/>
        <w:rPr>
          <w:rFonts w:ascii="Arial" w:cs="Arial" w:eastAsia="Arial" w:hAnsi="Arial"/>
          <w:sz w:val="18"/>
          <w:szCs w:val="18"/>
          <w:color w:val="23282B"/>
        </w:rPr>
      </w:pPr>
    </w:p>
    <w:p>
      <w:pPr>
        <w:spacing w:after="0" w:line="264" w:lineRule="exact"/>
        <w:rPr>
          <w:rFonts w:ascii="Arial" w:cs="Arial" w:eastAsia="Arial" w:hAnsi="Arial"/>
          <w:sz w:val="18"/>
          <w:szCs w:val="18"/>
          <w:color w:val="23282B"/>
        </w:rPr>
      </w:pPr>
    </w:p>
    <w:tbl>
      <w:tblPr>
        <w:tblLayout w:type="fixed"/>
        <w:tblInd w:w="0" w:type="dxa"/>
        <w:tblCellMar>
          <w:top w:w="0" w:type="dxa"/>
          <w:left w:w="0" w:type="dxa"/>
          <w:bottom w:w="0" w:type="dxa"/>
          <w:right w:w="0" w:type="dxa"/>
        </w:tblCellMar>
      </w:tblPr>
      <w:tr>
        <w:trPr>
          <w:trHeight w:val="349"/>
        </w:trPr>
        <w:tc>
          <w:tcPr>
            <w:tcW w:w="3040" w:type="dxa"/>
            <w:vAlign w:val="bottom"/>
          </w:tcPr>
          <w:p>
            <w:pPr>
              <w:spacing w:after="0"/>
              <w:rPr>
                <w:sz w:val="24"/>
                <w:szCs w:val="24"/>
                <w:color w:val="auto"/>
              </w:rPr>
            </w:pPr>
          </w:p>
        </w:tc>
        <w:tc>
          <w:tcPr>
            <w:tcW w:w="1960" w:type="dxa"/>
            <w:vAlign w:val="bottom"/>
            <w:vMerge w:val="restart"/>
          </w:tcPr>
          <w:p>
            <w:pPr>
              <w:jc w:val="center"/>
              <w:spacing w:after="0"/>
              <w:rPr>
                <w:sz w:val="20"/>
                <w:szCs w:val="20"/>
                <w:color w:val="auto"/>
              </w:rPr>
            </w:pPr>
            <w:r>
              <w:rPr>
                <w:rFonts w:ascii="Arial" w:cs="Arial" w:eastAsia="Arial" w:hAnsi="Arial"/>
                <w:sz w:val="29"/>
                <w:szCs w:val="29"/>
                <w:b w:val="1"/>
                <w:bCs w:val="1"/>
                <w:color w:val="23282B"/>
                <w:w w:val="99"/>
              </w:rPr>
              <w:t>Pre-DXL</w:t>
            </w:r>
          </w:p>
        </w:tc>
        <w:tc>
          <w:tcPr>
            <w:tcW w:w="3360" w:type="dxa"/>
            <w:vAlign w:val="bottom"/>
          </w:tcPr>
          <w:p>
            <w:pPr>
              <w:ind w:left="460"/>
              <w:spacing w:after="0"/>
              <w:rPr>
                <w:sz w:val="20"/>
                <w:szCs w:val="20"/>
                <w:color w:val="auto"/>
              </w:rPr>
            </w:pPr>
            <w:r>
              <w:rPr>
                <w:rFonts w:ascii="Arial" w:cs="Arial" w:eastAsia="Arial" w:hAnsi="Arial"/>
                <w:sz w:val="29"/>
                <w:szCs w:val="29"/>
                <w:b w:val="1"/>
                <w:bCs w:val="1"/>
                <w:color w:val="23282B"/>
              </w:rPr>
              <w:t>Current Annualized</w:t>
            </w:r>
          </w:p>
        </w:tc>
        <w:tc>
          <w:tcPr>
            <w:tcW w:w="1760" w:type="dxa"/>
            <w:vAlign w:val="bottom"/>
            <w:vMerge w:val="restart"/>
          </w:tcPr>
          <w:p>
            <w:pPr>
              <w:jc w:val="right"/>
              <w:spacing w:after="0"/>
              <w:rPr>
                <w:sz w:val="20"/>
                <w:szCs w:val="20"/>
                <w:color w:val="auto"/>
              </w:rPr>
            </w:pPr>
            <w:r>
              <w:rPr>
                <w:rFonts w:ascii="Arial" w:cs="Arial" w:eastAsia="Arial" w:hAnsi="Arial"/>
                <w:sz w:val="29"/>
                <w:szCs w:val="29"/>
                <w:b w:val="1"/>
                <w:bCs w:val="1"/>
                <w:color w:val="23282B"/>
              </w:rPr>
              <w:t>At Maturity</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3360" w:type="dxa"/>
            <w:vAlign w:val="bottom"/>
            <w:vMerge w:val="restart"/>
          </w:tcPr>
          <w:p>
            <w:pPr>
              <w:ind w:left="1180"/>
              <w:spacing w:after="0"/>
              <w:rPr>
                <w:sz w:val="20"/>
                <w:szCs w:val="20"/>
                <w:color w:val="auto"/>
              </w:rPr>
            </w:pPr>
            <w:r>
              <w:rPr>
                <w:rFonts w:ascii="Arial" w:cs="Arial" w:eastAsia="Arial" w:hAnsi="Arial"/>
                <w:sz w:val="29"/>
                <w:szCs w:val="29"/>
                <w:b w:val="1"/>
                <w:bCs w:val="1"/>
                <w:color w:val="23282B"/>
              </w:rPr>
              <w:t>Figures</w:t>
            </w: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36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3040" w:type="dxa"/>
            <w:vAlign w:val="bottom"/>
          </w:tcPr>
          <w:p>
            <w:pPr>
              <w:jc w:val="center"/>
              <w:ind w:right="293"/>
              <w:spacing w:after="0"/>
              <w:rPr>
                <w:sz w:val="20"/>
                <w:szCs w:val="20"/>
                <w:color w:val="auto"/>
              </w:rPr>
            </w:pPr>
            <w:r>
              <w:rPr>
                <w:rFonts w:ascii="Arial" w:cs="Arial" w:eastAsia="Arial" w:hAnsi="Arial"/>
                <w:sz w:val="25"/>
                <w:szCs w:val="25"/>
                <w:color w:val="23282B"/>
              </w:rPr>
              <w:t>Store Size (sq. ft.)</w:t>
            </w:r>
          </w:p>
        </w:tc>
        <w:tc>
          <w:tcPr>
            <w:tcW w:w="1960" w:type="dxa"/>
            <w:vAlign w:val="bottom"/>
          </w:tcPr>
          <w:p>
            <w:pPr>
              <w:ind w:left="600"/>
              <w:spacing w:after="0"/>
              <w:rPr>
                <w:sz w:val="20"/>
                <w:szCs w:val="20"/>
                <w:color w:val="auto"/>
              </w:rPr>
            </w:pPr>
            <w:r>
              <w:rPr>
                <w:rFonts w:ascii="Arial" w:cs="Arial" w:eastAsia="Arial" w:hAnsi="Arial"/>
                <w:sz w:val="25"/>
                <w:szCs w:val="25"/>
                <w:color w:val="23282B"/>
              </w:rPr>
              <w:t>3,600</w:t>
            </w:r>
          </w:p>
        </w:tc>
        <w:tc>
          <w:tcPr>
            <w:tcW w:w="3360" w:type="dxa"/>
            <w:vAlign w:val="bottom"/>
          </w:tcPr>
          <w:p>
            <w:pPr>
              <w:jc w:val="center"/>
              <w:spacing w:after="0"/>
              <w:rPr>
                <w:sz w:val="20"/>
                <w:szCs w:val="20"/>
                <w:color w:val="auto"/>
              </w:rPr>
            </w:pPr>
            <w:r>
              <w:rPr>
                <w:rFonts w:ascii="Arial" w:cs="Arial" w:eastAsia="Arial" w:hAnsi="Arial"/>
                <w:sz w:val="25"/>
                <w:szCs w:val="25"/>
                <w:color w:val="23282B"/>
              </w:rPr>
              <w:t>8,100</w:t>
            </w:r>
          </w:p>
        </w:tc>
        <w:tc>
          <w:tcPr>
            <w:tcW w:w="1760" w:type="dxa"/>
            <w:vAlign w:val="bottom"/>
          </w:tcPr>
          <w:p>
            <w:pPr>
              <w:jc w:val="right"/>
              <w:ind w:right="350"/>
              <w:spacing w:after="0"/>
              <w:rPr>
                <w:sz w:val="20"/>
                <w:szCs w:val="20"/>
                <w:color w:val="auto"/>
              </w:rPr>
            </w:pPr>
            <w:r>
              <w:rPr>
                <w:rFonts w:ascii="Arial" w:cs="Arial" w:eastAsia="Arial" w:hAnsi="Arial"/>
                <w:sz w:val="25"/>
                <w:szCs w:val="25"/>
                <w:color w:val="23282B"/>
              </w:rPr>
              <w:t>8,100</w:t>
            </w:r>
          </w:p>
        </w:tc>
        <w:tc>
          <w:tcPr>
            <w:tcW w:w="0" w:type="dxa"/>
            <w:vAlign w:val="bottom"/>
          </w:tcPr>
          <w:p>
            <w:pPr>
              <w:spacing w:after="0"/>
              <w:rPr>
                <w:sz w:val="1"/>
                <w:szCs w:val="1"/>
                <w:color w:val="auto"/>
              </w:rPr>
            </w:pPr>
          </w:p>
        </w:tc>
      </w:tr>
      <w:tr>
        <w:trPr>
          <w:trHeight w:val="470"/>
        </w:trPr>
        <w:tc>
          <w:tcPr>
            <w:tcW w:w="3040" w:type="dxa"/>
            <w:vAlign w:val="bottom"/>
          </w:tcPr>
          <w:p>
            <w:pPr>
              <w:jc w:val="center"/>
              <w:ind w:right="353"/>
              <w:spacing w:after="0"/>
              <w:rPr>
                <w:sz w:val="20"/>
                <w:szCs w:val="20"/>
                <w:color w:val="auto"/>
              </w:rPr>
            </w:pPr>
            <w:r>
              <w:rPr>
                <w:rFonts w:ascii="Arial" w:cs="Arial" w:eastAsia="Arial" w:hAnsi="Arial"/>
                <w:sz w:val="25"/>
                <w:szCs w:val="25"/>
                <w:color w:val="23282B"/>
              </w:rPr>
              <w:t>Sales/Sq.ft.</w:t>
            </w:r>
          </w:p>
        </w:tc>
        <w:tc>
          <w:tcPr>
            <w:tcW w:w="1960" w:type="dxa"/>
            <w:vAlign w:val="bottom"/>
          </w:tcPr>
          <w:p>
            <w:pPr>
              <w:ind w:left="600"/>
              <w:spacing w:after="0"/>
              <w:rPr>
                <w:sz w:val="20"/>
                <w:szCs w:val="20"/>
                <w:color w:val="auto"/>
              </w:rPr>
            </w:pPr>
            <w:r>
              <w:rPr>
                <w:rFonts w:ascii="Arial" w:cs="Arial" w:eastAsia="Arial" w:hAnsi="Arial"/>
                <w:sz w:val="25"/>
                <w:szCs w:val="25"/>
                <w:color w:val="23282B"/>
              </w:rPr>
              <w:t>$174</w:t>
            </w:r>
          </w:p>
        </w:tc>
        <w:tc>
          <w:tcPr>
            <w:tcW w:w="3360" w:type="dxa"/>
            <w:vAlign w:val="bottom"/>
          </w:tcPr>
          <w:p>
            <w:pPr>
              <w:jc w:val="center"/>
              <w:spacing w:after="0"/>
              <w:rPr>
                <w:sz w:val="20"/>
                <w:szCs w:val="20"/>
                <w:color w:val="auto"/>
              </w:rPr>
            </w:pPr>
            <w:r>
              <w:rPr>
                <w:rFonts w:ascii="Arial" w:cs="Arial" w:eastAsia="Arial" w:hAnsi="Arial"/>
                <w:sz w:val="25"/>
                <w:szCs w:val="25"/>
                <w:color w:val="23282B"/>
              </w:rPr>
              <w:t>$147</w:t>
            </w:r>
          </w:p>
        </w:tc>
        <w:tc>
          <w:tcPr>
            <w:tcW w:w="1760" w:type="dxa"/>
            <w:vAlign w:val="bottom"/>
          </w:tcPr>
          <w:p>
            <w:pPr>
              <w:jc w:val="center"/>
              <w:ind w:left="70"/>
              <w:spacing w:after="0"/>
              <w:rPr>
                <w:sz w:val="20"/>
                <w:szCs w:val="20"/>
                <w:color w:val="auto"/>
              </w:rPr>
            </w:pPr>
            <w:r>
              <w:rPr>
                <w:rFonts w:ascii="Arial" w:cs="Arial" w:eastAsia="Arial" w:hAnsi="Arial"/>
                <w:sz w:val="25"/>
                <w:szCs w:val="25"/>
                <w:color w:val="23282B"/>
              </w:rPr>
              <w:t>$220</w:t>
            </w:r>
          </w:p>
        </w:tc>
        <w:tc>
          <w:tcPr>
            <w:tcW w:w="0" w:type="dxa"/>
            <w:vAlign w:val="bottom"/>
          </w:tcPr>
          <w:p>
            <w:pPr>
              <w:spacing w:after="0"/>
              <w:rPr>
                <w:sz w:val="1"/>
                <w:szCs w:val="1"/>
                <w:color w:val="auto"/>
              </w:rPr>
            </w:pPr>
          </w:p>
        </w:tc>
      </w:tr>
      <w:tr>
        <w:trPr>
          <w:trHeight w:val="470"/>
        </w:trPr>
        <w:tc>
          <w:tcPr>
            <w:tcW w:w="3040" w:type="dxa"/>
            <w:vAlign w:val="bottom"/>
          </w:tcPr>
          <w:p>
            <w:pPr>
              <w:ind w:left="300"/>
              <w:spacing w:after="0"/>
              <w:rPr>
                <w:sz w:val="20"/>
                <w:szCs w:val="20"/>
                <w:color w:val="auto"/>
              </w:rPr>
            </w:pPr>
            <w:r>
              <w:rPr>
                <w:rFonts w:ascii="Arial" w:cs="Arial" w:eastAsia="Arial" w:hAnsi="Arial"/>
                <w:sz w:val="25"/>
                <w:szCs w:val="25"/>
                <w:color w:val="23282B"/>
              </w:rPr>
              <w:t>Total Store count</w:t>
            </w:r>
          </w:p>
        </w:tc>
        <w:tc>
          <w:tcPr>
            <w:tcW w:w="1960" w:type="dxa"/>
            <w:vAlign w:val="bottom"/>
          </w:tcPr>
          <w:p>
            <w:pPr>
              <w:jc w:val="right"/>
              <w:ind w:right="710"/>
              <w:spacing w:after="0"/>
              <w:rPr>
                <w:sz w:val="20"/>
                <w:szCs w:val="20"/>
                <w:color w:val="auto"/>
              </w:rPr>
            </w:pPr>
            <w:r>
              <w:rPr>
                <w:rFonts w:ascii="Arial" w:cs="Arial" w:eastAsia="Arial" w:hAnsi="Arial"/>
                <w:sz w:val="25"/>
                <w:szCs w:val="25"/>
                <w:color w:val="23282B"/>
              </w:rPr>
              <w:t>445</w:t>
            </w:r>
          </w:p>
        </w:tc>
        <w:tc>
          <w:tcPr>
            <w:tcW w:w="3360" w:type="dxa"/>
            <w:vAlign w:val="bottom"/>
          </w:tcPr>
          <w:p>
            <w:pPr>
              <w:jc w:val="center"/>
              <w:spacing w:after="0"/>
              <w:rPr>
                <w:sz w:val="20"/>
                <w:szCs w:val="20"/>
                <w:color w:val="auto"/>
              </w:rPr>
            </w:pPr>
            <w:r>
              <w:rPr>
                <w:rFonts w:ascii="Arial" w:cs="Arial" w:eastAsia="Arial" w:hAnsi="Arial"/>
                <w:sz w:val="25"/>
                <w:szCs w:val="25"/>
                <w:color w:val="23282B"/>
              </w:rPr>
              <w:t>99</w:t>
            </w:r>
          </w:p>
        </w:tc>
        <w:tc>
          <w:tcPr>
            <w:tcW w:w="1760" w:type="dxa"/>
            <w:vAlign w:val="bottom"/>
          </w:tcPr>
          <w:p>
            <w:pPr>
              <w:jc w:val="center"/>
              <w:ind w:left="90"/>
              <w:spacing w:after="0"/>
              <w:rPr>
                <w:sz w:val="20"/>
                <w:szCs w:val="20"/>
                <w:color w:val="auto"/>
              </w:rPr>
            </w:pPr>
            <w:r>
              <w:rPr>
                <w:rFonts w:ascii="Arial" w:cs="Arial" w:eastAsia="Arial" w:hAnsi="Arial"/>
                <w:sz w:val="25"/>
                <w:szCs w:val="25"/>
                <w:color w:val="23282B"/>
              </w:rPr>
              <w:t>230</w:t>
            </w:r>
          </w:p>
        </w:tc>
        <w:tc>
          <w:tcPr>
            <w:tcW w:w="0" w:type="dxa"/>
            <w:vAlign w:val="bottom"/>
          </w:tcPr>
          <w:p>
            <w:pPr>
              <w:spacing w:after="0"/>
              <w:rPr>
                <w:sz w:val="1"/>
                <w:szCs w:val="1"/>
                <w:color w:val="auto"/>
              </w:rPr>
            </w:pPr>
          </w:p>
        </w:tc>
      </w:tr>
      <w:tr>
        <w:trPr>
          <w:trHeight w:val="470"/>
        </w:trPr>
        <w:tc>
          <w:tcPr>
            <w:tcW w:w="3040" w:type="dxa"/>
            <w:vAlign w:val="bottom"/>
          </w:tcPr>
          <w:p>
            <w:pPr>
              <w:jc w:val="center"/>
              <w:ind w:right="253"/>
              <w:spacing w:after="0"/>
              <w:rPr>
                <w:sz w:val="20"/>
                <w:szCs w:val="20"/>
                <w:color w:val="auto"/>
              </w:rPr>
            </w:pPr>
            <w:r>
              <w:rPr>
                <w:rFonts w:ascii="Arial" w:cs="Arial" w:eastAsia="Arial" w:hAnsi="Arial"/>
                <w:sz w:val="25"/>
                <w:szCs w:val="25"/>
                <w:color w:val="23282B"/>
              </w:rPr>
              <w:t>Store Sales (in millions)</w:t>
            </w:r>
          </w:p>
        </w:tc>
        <w:tc>
          <w:tcPr>
            <w:tcW w:w="1960" w:type="dxa"/>
            <w:vAlign w:val="bottom"/>
          </w:tcPr>
          <w:p>
            <w:pPr>
              <w:ind w:left="600"/>
              <w:spacing w:after="0"/>
              <w:rPr>
                <w:sz w:val="20"/>
                <w:szCs w:val="20"/>
                <w:color w:val="auto"/>
              </w:rPr>
            </w:pPr>
            <w:r>
              <w:rPr>
                <w:rFonts w:ascii="Arial" w:cs="Arial" w:eastAsia="Arial" w:hAnsi="Arial"/>
                <w:sz w:val="25"/>
                <w:szCs w:val="25"/>
                <w:color w:val="23282B"/>
              </w:rPr>
              <w:t>$279</w:t>
            </w:r>
          </w:p>
        </w:tc>
        <w:tc>
          <w:tcPr>
            <w:tcW w:w="3360" w:type="dxa"/>
            <w:vAlign w:val="bottom"/>
          </w:tcPr>
          <w:p>
            <w:pPr>
              <w:jc w:val="center"/>
              <w:spacing w:after="0"/>
              <w:rPr>
                <w:sz w:val="20"/>
                <w:szCs w:val="20"/>
                <w:color w:val="auto"/>
              </w:rPr>
            </w:pPr>
            <w:r>
              <w:rPr>
                <w:rFonts w:ascii="Arial" w:cs="Arial" w:eastAsia="Arial" w:hAnsi="Arial"/>
                <w:sz w:val="25"/>
                <w:szCs w:val="25"/>
                <w:color w:val="23282B"/>
              </w:rPr>
              <w:t>$118</w:t>
            </w:r>
          </w:p>
        </w:tc>
        <w:tc>
          <w:tcPr>
            <w:tcW w:w="1760" w:type="dxa"/>
            <w:vAlign w:val="bottom"/>
          </w:tcPr>
          <w:p>
            <w:pPr>
              <w:jc w:val="center"/>
              <w:ind w:left="70"/>
              <w:spacing w:after="0"/>
              <w:rPr>
                <w:sz w:val="20"/>
                <w:szCs w:val="20"/>
                <w:color w:val="auto"/>
              </w:rPr>
            </w:pPr>
            <w:r>
              <w:rPr>
                <w:rFonts w:ascii="Arial" w:cs="Arial" w:eastAsia="Arial" w:hAnsi="Arial"/>
                <w:sz w:val="25"/>
                <w:szCs w:val="25"/>
                <w:color w:val="23282B"/>
              </w:rPr>
              <w:t>$410</w:t>
            </w:r>
          </w:p>
        </w:tc>
        <w:tc>
          <w:tcPr>
            <w:tcW w:w="0" w:type="dxa"/>
            <w:vAlign w:val="bottom"/>
          </w:tcPr>
          <w:p>
            <w:pPr>
              <w:spacing w:after="0"/>
              <w:rPr>
                <w:sz w:val="1"/>
                <w:szCs w:val="1"/>
                <w:color w:val="auto"/>
              </w:rPr>
            </w:pPr>
          </w:p>
        </w:tc>
      </w:tr>
    </w:tbl>
    <w:p>
      <w:pPr>
        <w:spacing w:after="0" w:line="200" w:lineRule="exact"/>
        <w:rPr>
          <w:rFonts w:ascii="Arial" w:cs="Arial" w:eastAsia="Arial" w:hAnsi="Arial"/>
          <w:sz w:val="18"/>
          <w:szCs w:val="18"/>
          <w:color w:val="23282B"/>
        </w:rPr>
      </w:pPr>
    </w:p>
    <w:p>
      <w:pPr>
        <w:spacing w:after="0" w:line="200" w:lineRule="exact"/>
        <w:rPr>
          <w:rFonts w:ascii="Arial" w:cs="Arial" w:eastAsia="Arial" w:hAnsi="Arial"/>
          <w:sz w:val="18"/>
          <w:szCs w:val="18"/>
          <w:color w:val="23282B"/>
        </w:rPr>
      </w:pPr>
    </w:p>
    <w:p>
      <w:pPr>
        <w:spacing w:after="0" w:line="200" w:lineRule="exact"/>
        <w:rPr>
          <w:rFonts w:ascii="Arial" w:cs="Arial" w:eastAsia="Arial" w:hAnsi="Arial"/>
          <w:sz w:val="18"/>
          <w:szCs w:val="18"/>
          <w:color w:val="23282B"/>
        </w:rPr>
      </w:pPr>
    </w:p>
    <w:p>
      <w:pPr>
        <w:spacing w:after="0" w:line="200" w:lineRule="exact"/>
        <w:rPr>
          <w:rFonts w:ascii="Arial" w:cs="Arial" w:eastAsia="Arial" w:hAnsi="Arial"/>
          <w:sz w:val="18"/>
          <w:szCs w:val="18"/>
          <w:color w:val="23282B"/>
        </w:rPr>
      </w:pPr>
    </w:p>
    <w:p>
      <w:pPr>
        <w:spacing w:after="0" w:line="200" w:lineRule="exact"/>
        <w:rPr>
          <w:rFonts w:ascii="Arial" w:cs="Arial" w:eastAsia="Arial" w:hAnsi="Arial"/>
          <w:sz w:val="18"/>
          <w:szCs w:val="18"/>
          <w:color w:val="23282B"/>
        </w:rPr>
      </w:pPr>
    </w:p>
    <w:p>
      <w:pPr>
        <w:spacing w:after="0" w:line="259" w:lineRule="exact"/>
        <w:rPr>
          <w:rFonts w:ascii="Arial" w:cs="Arial" w:eastAsia="Arial" w:hAnsi="Arial"/>
          <w:sz w:val="18"/>
          <w:szCs w:val="18"/>
          <w:color w:val="23282B"/>
        </w:rPr>
      </w:pPr>
    </w:p>
    <w:p>
      <w:pPr>
        <w:ind w:left="80"/>
        <w:spacing w:after="0" w:line="181" w:lineRule="auto"/>
        <w:rPr>
          <w:sz w:val="20"/>
          <w:szCs w:val="20"/>
          <w:color w:val="auto"/>
        </w:rPr>
      </w:pPr>
      <w:r>
        <w:rPr>
          <w:rFonts w:ascii="Arial" w:cs="Arial" w:eastAsia="Arial" w:hAnsi="Arial"/>
          <w:sz w:val="18"/>
          <w:szCs w:val="18"/>
          <w:color w:val="23282B"/>
        </w:rPr>
        <w:t>•DXL provides a high growth model that will drive shareholder value; whereas, the Casual Male XL stores were a low growth business model.</w:t>
      </w:r>
    </w:p>
    <w:p>
      <w:pPr>
        <w:spacing w:after="0" w:line="200" w:lineRule="exact"/>
        <w:rPr>
          <w:rFonts w:ascii="Arial" w:cs="Arial" w:eastAsia="Arial" w:hAnsi="Arial"/>
          <w:sz w:val="18"/>
          <w:szCs w:val="18"/>
          <w:color w:val="23282B"/>
        </w:rPr>
      </w:pPr>
    </w:p>
    <w:p>
      <w:pPr>
        <w:spacing w:after="0" w:line="200" w:lineRule="exact"/>
        <w:rPr>
          <w:rFonts w:ascii="Arial" w:cs="Arial" w:eastAsia="Arial" w:hAnsi="Arial"/>
          <w:sz w:val="18"/>
          <w:szCs w:val="18"/>
          <w:color w:val="23282B"/>
        </w:rPr>
      </w:pPr>
    </w:p>
    <w:p>
      <w:pPr>
        <w:spacing w:after="0" w:line="200" w:lineRule="exact"/>
        <w:rPr>
          <w:rFonts w:ascii="Arial" w:cs="Arial" w:eastAsia="Arial" w:hAnsi="Arial"/>
          <w:sz w:val="18"/>
          <w:szCs w:val="18"/>
          <w:color w:val="23282B"/>
        </w:rPr>
      </w:pPr>
    </w:p>
    <w:p>
      <w:pPr>
        <w:spacing w:after="0" w:line="398" w:lineRule="exact"/>
        <w:rPr>
          <w:rFonts w:ascii="Arial" w:cs="Arial" w:eastAsia="Arial" w:hAnsi="Arial"/>
          <w:sz w:val="18"/>
          <w:szCs w:val="18"/>
          <w:color w:val="23282B"/>
        </w:rPr>
      </w:pPr>
    </w:p>
    <w:tbl>
      <w:tblPr>
        <w:tblLayout w:type="fixed"/>
        <w:tblInd w:w="4520" w:type="dxa"/>
        <w:tblCellMar>
          <w:top w:w="0" w:type="dxa"/>
          <w:left w:w="0" w:type="dxa"/>
          <w:bottom w:w="0" w:type="dxa"/>
          <w:right w:w="0" w:type="dxa"/>
        </w:tblCellMar>
      </w:tblPr>
      <w:tr>
        <w:trPr>
          <w:trHeight w:val="233"/>
        </w:trPr>
        <w:tc>
          <w:tcPr>
            <w:tcW w:w="3880" w:type="dxa"/>
            <w:vAlign w:val="bottom"/>
          </w:tcPr>
          <w:p>
            <w:pPr>
              <w:spacing w:after="0"/>
              <w:rPr>
                <w:sz w:val="20"/>
                <w:szCs w:val="20"/>
                <w:color w:val="auto"/>
              </w:rPr>
            </w:pPr>
            <w:r>
              <w:rPr>
                <w:rFonts w:ascii="Arial" w:cs="Arial" w:eastAsia="Arial" w:hAnsi="Arial"/>
                <w:sz w:val="16"/>
                <w:szCs w:val="16"/>
                <w:color w:val="4D5D67"/>
              </w:rPr>
              <w:t>Destination XL Group, Inc.</w:t>
            </w:r>
          </w:p>
        </w:tc>
        <w:tc>
          <w:tcPr>
            <w:tcW w:w="2260" w:type="dxa"/>
            <w:vAlign w:val="bottom"/>
          </w:tcPr>
          <w:p>
            <w:pPr>
              <w:jc w:val="right"/>
              <w:spacing w:after="0"/>
              <w:rPr>
                <w:sz w:val="20"/>
                <w:szCs w:val="20"/>
                <w:color w:val="auto"/>
              </w:rPr>
            </w:pPr>
            <w:r>
              <w:rPr>
                <w:rFonts w:ascii="Arial" w:cs="Arial" w:eastAsia="Arial" w:hAnsi="Arial"/>
                <w:sz w:val="19"/>
                <w:szCs w:val="19"/>
                <w:color w:val="8CA1A5"/>
              </w:rPr>
              <w:t>10</w:t>
            </w:r>
          </w:p>
        </w:tc>
      </w:tr>
    </w:tbl>
    <w:p>
      <w:pPr>
        <w:sectPr>
          <w:pgSz w:w="11900" w:h="16838" w:orient="portrait"/>
          <w:cols w:equalWidth="0" w:num="1">
            <w:col w:w="10740"/>
          </w:cols>
          <w:pgMar w:left="520" w:top="1030" w:right="6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1865" cy="5494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1865" cy="54940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593"/>
        </w:trPr>
        <w:tc>
          <w:tcPr>
            <w:tcW w:w="7960" w:type="dxa"/>
            <w:vAlign w:val="bottom"/>
          </w:tcPr>
          <w:p>
            <w:pPr>
              <w:spacing w:after="0"/>
              <w:rPr>
                <w:sz w:val="20"/>
                <w:szCs w:val="20"/>
                <w:color w:val="auto"/>
              </w:rPr>
            </w:pPr>
            <w:r>
              <w:rPr>
                <w:rFonts w:ascii="Arial" w:cs="Arial" w:eastAsia="Arial" w:hAnsi="Arial"/>
                <w:sz w:val="45"/>
                <w:szCs w:val="45"/>
                <w:b w:val="1"/>
                <w:bCs w:val="1"/>
                <w:color w:val="354047"/>
              </w:rPr>
              <w:t>EBITDA &amp; EBITDA MARGIN</w:t>
            </w:r>
          </w:p>
        </w:tc>
        <w:tc>
          <w:tcPr>
            <w:tcW w:w="2340" w:type="dxa"/>
            <w:vAlign w:val="bottom"/>
          </w:tcPr>
          <w:p>
            <w:pPr>
              <w:jc w:val="right"/>
              <w:spacing w:after="0"/>
              <w:rPr>
                <w:sz w:val="20"/>
                <w:szCs w:val="20"/>
                <w:color w:val="auto"/>
              </w:rPr>
            </w:pPr>
            <w:r>
              <w:rPr>
                <w:rFonts w:ascii="Arial" w:cs="Arial" w:eastAsia="Arial" w:hAnsi="Arial"/>
                <w:sz w:val="14"/>
                <w:szCs w:val="14"/>
                <w:color w:val="23282B"/>
              </w:rPr>
              <w:t>(1)</w:t>
            </w:r>
          </w:p>
        </w:tc>
      </w:tr>
    </w:tbl>
    <w:p>
      <w:pPr>
        <w:spacing w:after="0" w:line="31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($MM)</w:t>
      </w:r>
    </w:p>
    <w:p>
      <w:pPr>
        <w:spacing w:after="0" w:line="95" w:lineRule="exact"/>
        <w:rPr>
          <w:sz w:val="20"/>
          <w:szCs w:val="20"/>
          <w:color w:val="auto"/>
        </w:rPr>
      </w:pPr>
    </w:p>
    <w:p>
      <w:pPr>
        <w:ind w:left="3240"/>
        <w:spacing w:after="0"/>
        <w:tabs>
          <w:tab w:leader="none" w:pos="4760" w:val="left"/>
        </w:tabs>
        <w:rPr>
          <w:sz w:val="20"/>
          <w:szCs w:val="20"/>
          <w:color w:val="auto"/>
        </w:rPr>
      </w:pPr>
      <w:r>
        <w:rPr>
          <w:rFonts w:ascii="Arial" w:cs="Arial" w:eastAsia="Arial" w:hAnsi="Arial"/>
          <w:sz w:val="16"/>
          <w:szCs w:val="16"/>
          <w:b w:val="1"/>
          <w:bCs w:val="1"/>
          <w:color w:val="auto"/>
        </w:rPr>
        <w:t>$31.4</w:t>
      </w:r>
      <w:r>
        <w:rPr>
          <w:sz w:val="20"/>
          <w:szCs w:val="20"/>
          <w:color w:val="auto"/>
        </w:rPr>
        <w:tab/>
      </w:r>
      <w:r>
        <w:rPr>
          <w:rFonts w:ascii="Arial" w:cs="Arial" w:eastAsia="Arial" w:hAnsi="Arial"/>
          <w:sz w:val="15"/>
          <w:szCs w:val="15"/>
          <w:b w:val="1"/>
          <w:bCs w:val="1"/>
          <w:color w:val="auto"/>
        </w:rPr>
        <w:t>$31.2</w:t>
      </w:r>
    </w:p>
    <w:p>
      <w:pPr>
        <w:spacing w:after="0" w:line="41" w:lineRule="exact"/>
        <w:rPr>
          <w:sz w:val="20"/>
          <w:szCs w:val="20"/>
          <w:color w:val="auto"/>
        </w:rPr>
      </w:pPr>
    </w:p>
    <w:p>
      <w:pPr>
        <w:ind w:left="6320"/>
        <w:spacing w:after="0"/>
        <w:rPr>
          <w:sz w:val="20"/>
          <w:szCs w:val="20"/>
          <w:color w:val="auto"/>
        </w:rPr>
      </w:pPr>
      <w:r>
        <w:rPr>
          <w:rFonts w:ascii="Arial" w:cs="Arial" w:eastAsia="Arial" w:hAnsi="Arial"/>
          <w:sz w:val="16"/>
          <w:szCs w:val="16"/>
          <w:b w:val="1"/>
          <w:bCs w:val="1"/>
          <w:color w:val="auto"/>
        </w:rPr>
        <w:t>$29.4</w:t>
      </w:r>
    </w:p>
    <w:p>
      <w:pPr>
        <w:spacing w:after="0" w:line="266"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$25.0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740" w:type="dxa"/>
        <w:tblCellMar>
          <w:top w:w="0" w:type="dxa"/>
          <w:left w:w="0" w:type="dxa"/>
          <w:bottom w:w="0" w:type="dxa"/>
          <w:right w:w="0" w:type="dxa"/>
        </w:tblCellMar>
      </w:tblPr>
      <w:tr>
        <w:trPr>
          <w:trHeight w:val="188"/>
        </w:trPr>
        <w:tc>
          <w:tcPr>
            <w:tcW w:w="720" w:type="dxa"/>
            <w:vAlign w:val="bottom"/>
          </w:tcPr>
          <w:p>
            <w:pPr>
              <w:jc w:val="right"/>
              <w:ind w:right="302"/>
              <w:spacing w:after="0"/>
              <w:rPr>
                <w:sz w:val="20"/>
                <w:szCs w:val="20"/>
                <w:color w:val="auto"/>
              </w:rPr>
            </w:pPr>
            <w:r>
              <w:rPr>
                <w:rFonts w:ascii="Arial" w:cs="Arial" w:eastAsia="Arial" w:hAnsi="Arial"/>
                <w:sz w:val="16"/>
                <w:szCs w:val="16"/>
                <w:color w:val="auto"/>
                <w:w w:val="89"/>
              </w:rPr>
              <w:t>2009</w:t>
            </w:r>
          </w:p>
        </w:tc>
        <w:tc>
          <w:tcPr>
            <w:tcW w:w="1620" w:type="dxa"/>
            <w:vAlign w:val="bottom"/>
          </w:tcPr>
          <w:p>
            <w:pPr>
              <w:jc w:val="right"/>
              <w:ind w:right="382"/>
              <w:spacing w:after="0"/>
              <w:rPr>
                <w:sz w:val="20"/>
                <w:szCs w:val="20"/>
                <w:color w:val="auto"/>
              </w:rPr>
            </w:pPr>
            <w:r>
              <w:rPr>
                <w:rFonts w:ascii="Arial" w:cs="Arial" w:eastAsia="Arial" w:hAnsi="Arial"/>
                <w:sz w:val="16"/>
                <w:szCs w:val="16"/>
                <w:color w:val="auto"/>
              </w:rPr>
              <w:t>2010</w:t>
            </w:r>
          </w:p>
        </w:tc>
        <w:tc>
          <w:tcPr>
            <w:tcW w:w="1680" w:type="dxa"/>
            <w:vAlign w:val="bottom"/>
          </w:tcPr>
          <w:p>
            <w:pPr>
              <w:jc w:val="right"/>
              <w:ind w:right="522"/>
              <w:spacing w:after="0"/>
              <w:rPr>
                <w:sz w:val="20"/>
                <w:szCs w:val="20"/>
                <w:color w:val="auto"/>
              </w:rPr>
            </w:pPr>
            <w:r>
              <w:rPr>
                <w:rFonts w:ascii="Arial" w:cs="Arial" w:eastAsia="Arial" w:hAnsi="Arial"/>
                <w:sz w:val="16"/>
                <w:szCs w:val="16"/>
                <w:color w:val="auto"/>
              </w:rPr>
              <w:t>2011</w:t>
            </w:r>
          </w:p>
        </w:tc>
        <w:tc>
          <w:tcPr>
            <w:tcW w:w="1740" w:type="dxa"/>
            <w:vAlign w:val="bottom"/>
          </w:tcPr>
          <w:p>
            <w:pPr>
              <w:jc w:val="right"/>
              <w:ind w:right="722"/>
              <w:spacing w:after="0"/>
              <w:rPr>
                <w:sz w:val="20"/>
                <w:szCs w:val="20"/>
                <w:color w:val="auto"/>
              </w:rPr>
            </w:pPr>
            <w:r>
              <w:rPr>
                <w:rFonts w:ascii="Arial" w:cs="Arial" w:eastAsia="Arial" w:hAnsi="Arial"/>
                <w:sz w:val="16"/>
                <w:szCs w:val="16"/>
                <w:color w:val="auto"/>
              </w:rPr>
              <w:t>2012</w:t>
            </w:r>
          </w:p>
        </w:tc>
        <w:tc>
          <w:tcPr>
            <w:tcW w:w="740" w:type="dxa"/>
            <w:vAlign w:val="bottom"/>
          </w:tcPr>
          <w:p>
            <w:pPr>
              <w:jc w:val="right"/>
              <w:spacing w:after="0"/>
              <w:rPr>
                <w:sz w:val="20"/>
                <w:szCs w:val="20"/>
                <w:color w:val="auto"/>
              </w:rPr>
            </w:pPr>
            <w:r>
              <w:rPr>
                <w:rFonts w:ascii="Arial" w:cs="Arial" w:eastAsia="Arial" w:hAnsi="Arial"/>
                <w:sz w:val="16"/>
                <w:szCs w:val="16"/>
                <w:color w:val="auto"/>
              </w:rPr>
              <w:t>2013</w:t>
            </w:r>
          </w:p>
        </w:tc>
      </w:tr>
      <w:tr>
        <w:trPr>
          <w:trHeight w:val="374"/>
        </w:trPr>
        <w:tc>
          <w:tcPr>
            <w:tcW w:w="720" w:type="dxa"/>
            <w:vAlign w:val="bottom"/>
          </w:tcPr>
          <w:p>
            <w:pPr>
              <w:spacing w:after="0"/>
              <w:rPr>
                <w:sz w:val="24"/>
                <w:szCs w:val="24"/>
                <w:color w:val="auto"/>
              </w:rPr>
            </w:pPr>
          </w:p>
        </w:tc>
        <w:tc>
          <w:tcPr>
            <w:tcW w:w="1620" w:type="dxa"/>
            <w:vAlign w:val="bottom"/>
          </w:tcPr>
          <w:p>
            <w:pPr>
              <w:jc w:val="right"/>
              <w:ind w:right="342"/>
              <w:spacing w:after="0"/>
              <w:rPr>
                <w:sz w:val="20"/>
                <w:szCs w:val="20"/>
                <w:color w:val="auto"/>
              </w:rPr>
            </w:pPr>
            <w:r>
              <w:rPr>
                <w:rFonts w:ascii="Arial" w:cs="Arial" w:eastAsia="Arial" w:hAnsi="Arial"/>
                <w:sz w:val="16"/>
                <w:szCs w:val="16"/>
                <w:color w:val="auto"/>
              </w:rPr>
              <w:t>EBITDA (1)</w:t>
            </w:r>
          </w:p>
        </w:tc>
        <w:tc>
          <w:tcPr>
            <w:tcW w:w="3420" w:type="dxa"/>
            <w:vAlign w:val="bottom"/>
            <w:gridSpan w:val="2"/>
          </w:tcPr>
          <w:p>
            <w:pPr>
              <w:jc w:val="right"/>
              <w:ind w:right="322"/>
              <w:spacing w:after="0"/>
              <w:rPr>
                <w:sz w:val="20"/>
                <w:szCs w:val="20"/>
                <w:color w:val="auto"/>
              </w:rPr>
            </w:pPr>
            <w:r>
              <w:rPr>
                <w:rFonts w:ascii="Arial" w:cs="Arial" w:eastAsia="Arial" w:hAnsi="Arial"/>
                <w:sz w:val="16"/>
                <w:szCs w:val="16"/>
                <w:color w:val="auto"/>
              </w:rPr>
              <w:t>EBITDA as a Percentage of Sales (1)</w:t>
            </w:r>
          </w:p>
        </w:tc>
        <w:tc>
          <w:tcPr>
            <w:tcW w:w="7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0" w:right="60" w:hanging="296"/>
        <w:spacing w:after="0" w:line="259" w:lineRule="auto"/>
        <w:tabs>
          <w:tab w:leader="none" w:pos="612" w:val="left"/>
        </w:tabs>
        <w:numPr>
          <w:ilvl w:val="0"/>
          <w:numId w:val="3"/>
        </w:numPr>
        <w:rPr>
          <w:rFonts w:ascii="Arial" w:cs="Arial" w:eastAsia="Arial" w:hAnsi="Arial"/>
          <w:sz w:val="18"/>
          <w:szCs w:val="18"/>
          <w:b w:val="1"/>
          <w:bCs w:val="1"/>
          <w:color w:val="23282B"/>
        </w:rPr>
      </w:pPr>
      <w:r>
        <w:rPr>
          <w:rFonts w:ascii="Arial" w:cs="Arial" w:eastAsia="Arial" w:hAnsi="Arial"/>
          <w:sz w:val="18"/>
          <w:szCs w:val="18"/>
          <w:b w:val="1"/>
          <w:bCs w:val="1"/>
          <w:color w:val="23282B"/>
        </w:rPr>
        <w:t>EBITDA, Adjusted EBITDA, EBITDA Margin and Adjusted EBITDA Margin are non-GAAP measures. The above Adjusted EBITDA for fiscal 2011 excludes a trademark impairment charge of $23.1 million. For additional information about these non-GAAP measures, including a reconciliation to their respective GAAP measures, see Appendix A attached to this presentation.</w:t>
      </w:r>
    </w:p>
    <w:p>
      <w:pPr>
        <w:spacing w:after="0" w:line="200" w:lineRule="exact"/>
        <w:rPr>
          <w:sz w:val="20"/>
          <w:szCs w:val="20"/>
          <w:color w:val="auto"/>
        </w:rPr>
      </w:pPr>
    </w:p>
    <w:p>
      <w:pPr>
        <w:spacing w:after="0" w:line="315" w:lineRule="exact"/>
        <w:rPr>
          <w:sz w:val="20"/>
          <w:szCs w:val="20"/>
          <w:color w:val="auto"/>
        </w:rPr>
      </w:pPr>
    </w:p>
    <w:tbl>
      <w:tblPr>
        <w:tblLayout w:type="fixed"/>
        <w:tblInd w:w="4160" w:type="dxa"/>
        <w:tblCellMar>
          <w:top w:w="0" w:type="dxa"/>
          <w:left w:w="0" w:type="dxa"/>
          <w:bottom w:w="0" w:type="dxa"/>
          <w:right w:w="0" w:type="dxa"/>
        </w:tblCellMar>
      </w:tblPr>
      <w:tr>
        <w:trPr>
          <w:trHeight w:val="233"/>
        </w:trPr>
        <w:tc>
          <w:tcPr>
            <w:tcW w:w="3880" w:type="dxa"/>
            <w:vAlign w:val="bottom"/>
          </w:tcPr>
          <w:p>
            <w:pPr>
              <w:spacing w:after="0"/>
              <w:rPr>
                <w:sz w:val="20"/>
                <w:szCs w:val="20"/>
                <w:color w:val="auto"/>
              </w:rPr>
            </w:pPr>
            <w:r>
              <w:rPr>
                <w:rFonts w:ascii="Arial" w:cs="Arial" w:eastAsia="Arial" w:hAnsi="Arial"/>
                <w:sz w:val="16"/>
                <w:szCs w:val="16"/>
                <w:color w:val="4D5D67"/>
              </w:rPr>
              <w:t>Destination XL Group, Inc.</w:t>
            </w:r>
          </w:p>
        </w:tc>
        <w:tc>
          <w:tcPr>
            <w:tcW w:w="2260" w:type="dxa"/>
            <w:vAlign w:val="bottom"/>
          </w:tcPr>
          <w:p>
            <w:pPr>
              <w:jc w:val="right"/>
              <w:spacing w:after="0"/>
              <w:rPr>
                <w:sz w:val="20"/>
                <w:szCs w:val="20"/>
                <w:color w:val="auto"/>
              </w:rPr>
            </w:pPr>
            <w:r>
              <w:rPr>
                <w:rFonts w:ascii="Arial" w:cs="Arial" w:eastAsia="Arial" w:hAnsi="Arial"/>
                <w:sz w:val="19"/>
                <w:szCs w:val="19"/>
                <w:color w:val="8CA1A5"/>
              </w:rPr>
              <w:t>21</w:t>
            </w:r>
          </w:p>
        </w:tc>
      </w:tr>
    </w:tbl>
    <w:p>
      <w:pPr>
        <w:sectPr>
          <w:pgSz w:w="11900" w:h="16838" w:orient="portrait"/>
          <w:cols w:equalWidth="0" w:num="1">
            <w:col w:w="10300"/>
          </w:cols>
          <w:pgMar w:left="880" w:top="897" w:right="719" w:bottom="1440" w:gutter="0" w:footer="0" w:header="0"/>
        </w:sectPr>
      </w:pPr>
    </w:p>
    <w:bookmarkStart w:id="6" w:name="page7"/>
    <w:bookmarkEnd w:id="6"/>
    <w:p>
      <w:pPr>
        <w:spacing w:after="0" w:line="341" w:lineRule="exact"/>
        <w:rPr>
          <w:sz w:val="20"/>
          <w:szCs w:val="20"/>
          <w:color w:val="auto"/>
        </w:rPr>
      </w:pPr>
    </w:p>
    <w:p>
      <w:pPr>
        <w:ind w:left="113"/>
        <w:spacing w:after="0" w:line="286" w:lineRule="auto"/>
        <w:rPr>
          <w:sz w:val="20"/>
          <w:szCs w:val="20"/>
          <w:color w:val="auto"/>
        </w:rPr>
      </w:pPr>
      <w:r>
        <w:rPr>
          <w:rFonts w:ascii="Arial" w:cs="Arial" w:eastAsia="Arial" w:hAnsi="Arial"/>
          <w:sz w:val="45"/>
          <w:szCs w:val="45"/>
          <w:b w:val="1"/>
          <w:bCs w:val="1"/>
          <w:color w:val="354047"/>
        </w:rPr>
        <w:t>RECONCILIATION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-115570</wp:posOffset>
            </wp:positionV>
            <wp:extent cx="6809740" cy="4483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9740" cy="4483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23282B"/>
        </w:rPr>
        <w:t>Exhibit 99.2</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23282B"/>
        </w:rPr>
        <w:t>Appendix A</w:t>
      </w:r>
    </w:p>
    <w:p>
      <w:pPr>
        <w:spacing w:after="0" w:line="1293" w:lineRule="exact"/>
        <w:rPr>
          <w:sz w:val="20"/>
          <w:szCs w:val="20"/>
          <w:color w:val="auto"/>
        </w:rPr>
      </w:pPr>
    </w:p>
    <w:p>
      <w:pPr>
        <w:sectPr>
          <w:pgSz w:w="11900" w:h="16838" w:orient="portrait"/>
          <w:cols w:equalWidth="0" w:num="2">
            <w:col w:w="9733" w:space="80"/>
            <w:col w:w="1060"/>
          </w:cols>
          <w:pgMar w:left="767" w:top="206" w:right="259" w:bottom="1440" w:gutter="0" w:footer="0" w:header="0"/>
        </w:sectPr>
      </w:pPr>
    </w:p>
    <w:p>
      <w:pPr>
        <w:spacing w:after="0" w:line="16" w:lineRule="exact"/>
        <w:rPr>
          <w:sz w:val="20"/>
          <w:szCs w:val="20"/>
          <w:color w:val="auto"/>
        </w:rPr>
      </w:pPr>
    </w:p>
    <w:p>
      <w:pPr>
        <w:ind w:left="293" w:right="680" w:hanging="293"/>
        <w:spacing w:after="0" w:line="252" w:lineRule="auto"/>
        <w:tabs>
          <w:tab w:leader="none" w:pos="293" w:val="left"/>
        </w:tabs>
        <w:numPr>
          <w:ilvl w:val="0"/>
          <w:numId w:val="4"/>
        </w:numPr>
        <w:rPr>
          <w:rFonts w:ascii="Arial" w:cs="Arial" w:eastAsia="Arial" w:hAnsi="Arial"/>
          <w:sz w:val="14"/>
          <w:szCs w:val="14"/>
          <w:color w:val="auto"/>
        </w:rPr>
      </w:pPr>
      <w:r>
        <w:rPr>
          <w:rFonts w:ascii="Arial" w:cs="Arial" w:eastAsia="Arial" w:hAnsi="Arial"/>
          <w:sz w:val="14"/>
          <w:szCs w:val="14"/>
          <w:color w:val="23282B"/>
        </w:rPr>
        <w:t>In addition to Operating Income (Loss) determined in accordance with United States Generally Accepted Accounting Principles (GAAP), the Company uses certain non-GAAP financial measures, such as “EBITDA,” “Adjusted EBITDA,”EBITDA Margin” and “Adjusted EBITDA Margin” in assessing its operating performance. The Company believes that these non-GAAP measures serve as appropriate measures to be used in evaluating the performance of its business.</w:t>
      </w:r>
    </w:p>
    <w:p>
      <w:pPr>
        <w:spacing w:after="0" w:line="252" w:lineRule="exact"/>
        <w:rPr>
          <w:rFonts w:ascii="Arial" w:cs="Arial" w:eastAsia="Arial" w:hAnsi="Arial"/>
          <w:sz w:val="14"/>
          <w:szCs w:val="14"/>
          <w:color w:val="auto"/>
        </w:rPr>
      </w:pPr>
    </w:p>
    <w:p>
      <w:pPr>
        <w:ind w:left="293" w:right="740" w:hanging="293"/>
        <w:spacing w:after="0" w:line="251" w:lineRule="auto"/>
        <w:tabs>
          <w:tab w:leader="none" w:pos="293" w:val="left"/>
        </w:tabs>
        <w:numPr>
          <w:ilvl w:val="0"/>
          <w:numId w:val="4"/>
        </w:numPr>
        <w:rPr>
          <w:rFonts w:ascii="Arial" w:cs="Arial" w:eastAsia="Arial" w:hAnsi="Arial"/>
          <w:sz w:val="14"/>
          <w:szCs w:val="14"/>
          <w:color w:val="auto"/>
        </w:rPr>
      </w:pPr>
      <w:r>
        <w:rPr>
          <w:rFonts w:ascii="Arial" w:cs="Arial" w:eastAsia="Arial" w:hAnsi="Arial"/>
          <w:sz w:val="14"/>
          <w:szCs w:val="14"/>
          <w:color w:val="23282B"/>
        </w:rPr>
        <w:t>The Company defines EBITDA as Operating Income (Loss) before Depreciation and Amortization. In addition, Adjusted EBITDA for fiscal 2011 excludes the impact of a non-recurring trademark impairment charge. The Company defines EBITDA Margin and Adjusted EBITDA Margin as EBITDA or Adjusted</w:t>
      </w:r>
    </w:p>
    <w:p>
      <w:pPr>
        <w:ind w:left="293"/>
        <w:spacing w:after="0" w:line="227" w:lineRule="auto"/>
        <w:rPr>
          <w:sz w:val="20"/>
          <w:szCs w:val="20"/>
          <w:color w:val="auto"/>
        </w:rPr>
      </w:pPr>
      <w:r>
        <w:rPr>
          <w:rFonts w:ascii="Arial" w:cs="Arial" w:eastAsia="Arial" w:hAnsi="Arial"/>
          <w:sz w:val="14"/>
          <w:szCs w:val="14"/>
          <w:color w:val="23282B"/>
        </w:rPr>
        <w:t>EBITDA divided by Sales.</w:t>
      </w:r>
    </w:p>
    <w:p>
      <w:pPr>
        <w:ind w:left="293"/>
        <w:spacing w:after="0"/>
        <w:rPr>
          <w:sz w:val="20"/>
          <w:szCs w:val="20"/>
          <w:color w:val="auto"/>
        </w:rPr>
      </w:pPr>
      <w:r>
        <w:rPr>
          <w:rFonts w:ascii="Arial" w:cs="Arial" w:eastAsia="Arial" w:hAnsi="Arial"/>
          <w:sz w:val="10"/>
          <w:szCs w:val="10"/>
          <w:color w:val="23282B"/>
        </w:rPr>
        <w:t>.</w:t>
      </w:r>
    </w:p>
    <w:p>
      <w:pPr>
        <w:spacing w:after="0" w:line="10" w:lineRule="exact"/>
        <w:rPr>
          <w:sz w:val="20"/>
          <w:szCs w:val="20"/>
          <w:color w:val="auto"/>
        </w:rPr>
      </w:pPr>
    </w:p>
    <w:p>
      <w:pPr>
        <w:ind w:left="293" w:right="660" w:hanging="293"/>
        <w:spacing w:after="0" w:line="251" w:lineRule="auto"/>
        <w:tabs>
          <w:tab w:leader="none" w:pos="293" w:val="left"/>
        </w:tabs>
        <w:numPr>
          <w:ilvl w:val="0"/>
          <w:numId w:val="5"/>
        </w:numPr>
        <w:rPr>
          <w:rFonts w:ascii="Arial" w:cs="Arial" w:eastAsia="Arial" w:hAnsi="Arial"/>
          <w:sz w:val="14"/>
          <w:szCs w:val="14"/>
          <w:color w:val="auto"/>
        </w:rPr>
      </w:pPr>
      <w:r>
        <w:rPr>
          <w:rFonts w:ascii="Arial" w:cs="Arial" w:eastAsia="Arial" w:hAnsi="Arial"/>
          <w:sz w:val="14"/>
          <w:szCs w:val="14"/>
          <w:color w:val="23282B"/>
        </w:rPr>
        <w:t>EBITDA and Adjusted EBITDA as defined by the Company may not be comparable to similarly titled measures reported by other companies. The Company does not intend for non-GAAP financial measures to be considered in isolation or as a substitute for other measures prepared in accordance with GAAP.</w:t>
      </w:r>
    </w:p>
    <w:p>
      <w:pPr>
        <w:spacing w:after="0" w:line="145" w:lineRule="exact"/>
        <w:rPr>
          <w:rFonts w:ascii="Arial" w:cs="Arial" w:eastAsia="Arial" w:hAnsi="Arial"/>
          <w:sz w:val="14"/>
          <w:szCs w:val="14"/>
          <w:color w:val="auto"/>
        </w:rPr>
      </w:pPr>
    </w:p>
    <w:p>
      <w:pPr>
        <w:ind w:left="293" w:right="900" w:hanging="293"/>
        <w:spacing w:after="0" w:line="269" w:lineRule="auto"/>
        <w:tabs>
          <w:tab w:leader="none" w:pos="293" w:val="left"/>
        </w:tabs>
        <w:numPr>
          <w:ilvl w:val="0"/>
          <w:numId w:val="5"/>
        </w:numPr>
        <w:rPr>
          <w:rFonts w:ascii="Arial" w:cs="Arial" w:eastAsia="Arial" w:hAnsi="Arial"/>
          <w:sz w:val="14"/>
          <w:szCs w:val="14"/>
          <w:color w:val="auto"/>
        </w:rPr>
      </w:pPr>
      <w:r>
        <w:rPr>
          <w:rFonts w:ascii="Arial" w:cs="Arial" w:eastAsia="Arial" w:hAnsi="Arial"/>
          <w:sz w:val="14"/>
          <w:szCs w:val="14"/>
          <w:color w:val="23282B"/>
        </w:rPr>
        <w:t>The following table provides a reconciliation of Operating Income (Loss), on a GAAP basis, to EBITDA and Adjusted EBITDA, on a non-GAAP basis (in millions, except percentages)</w:t>
      </w:r>
    </w:p>
    <w:p>
      <w:pPr>
        <w:spacing w:after="0" w:line="200" w:lineRule="exact"/>
        <w:rPr>
          <w:sz w:val="20"/>
          <w:szCs w:val="20"/>
          <w:color w:val="auto"/>
        </w:rPr>
      </w:pPr>
    </w:p>
    <w:p>
      <w:pPr>
        <w:spacing w:after="0" w:line="323" w:lineRule="exact"/>
        <w:rPr>
          <w:sz w:val="20"/>
          <w:szCs w:val="20"/>
          <w:color w:val="auto"/>
        </w:rPr>
      </w:pPr>
    </w:p>
    <w:tbl>
      <w:tblPr>
        <w:tblLayout w:type="fixed"/>
        <w:tblInd w:w="773" w:type="dxa"/>
        <w:tblCellMar>
          <w:top w:w="0" w:type="dxa"/>
          <w:left w:w="0" w:type="dxa"/>
          <w:bottom w:w="0" w:type="dxa"/>
          <w:right w:w="0" w:type="dxa"/>
        </w:tblCellMar>
      </w:tblPr>
      <w:tr>
        <w:trPr>
          <w:trHeight w:val="256"/>
        </w:trPr>
        <w:tc>
          <w:tcPr>
            <w:tcW w:w="3160" w:type="dxa"/>
            <w:vAlign w:val="bottom"/>
          </w:tcPr>
          <w:p>
            <w:pPr>
              <w:ind w:left="1060"/>
              <w:spacing w:after="0"/>
              <w:rPr>
                <w:sz w:val="20"/>
                <w:szCs w:val="20"/>
                <w:color w:val="auto"/>
              </w:rPr>
            </w:pPr>
            <w:r>
              <w:rPr>
                <w:rFonts w:ascii="Arial" w:cs="Arial" w:eastAsia="Arial" w:hAnsi="Arial"/>
                <w:sz w:val="19"/>
                <w:szCs w:val="19"/>
                <w:b w:val="1"/>
                <w:bCs w:val="1"/>
                <w:color w:val="23282B"/>
              </w:rPr>
              <w:t>Fiscal year:</w:t>
            </w:r>
          </w:p>
        </w:tc>
        <w:tc>
          <w:tcPr>
            <w:tcW w:w="1320" w:type="dxa"/>
            <w:vAlign w:val="bottom"/>
            <w:gridSpan w:val="2"/>
          </w:tcPr>
          <w:p>
            <w:pPr>
              <w:jc w:val="right"/>
              <w:ind w:right="342"/>
              <w:spacing w:after="0"/>
              <w:rPr>
                <w:sz w:val="20"/>
                <w:szCs w:val="20"/>
                <w:color w:val="auto"/>
              </w:rPr>
            </w:pPr>
            <w:r>
              <w:rPr>
                <w:rFonts w:ascii="Arial" w:cs="Arial" w:eastAsia="Arial" w:hAnsi="Arial"/>
                <w:sz w:val="19"/>
                <w:szCs w:val="19"/>
                <w:b w:val="1"/>
                <w:bCs w:val="1"/>
                <w:color w:val="23282B"/>
              </w:rPr>
              <w:t>2009</w:t>
            </w:r>
          </w:p>
        </w:tc>
        <w:tc>
          <w:tcPr>
            <w:tcW w:w="1000" w:type="dxa"/>
            <w:vAlign w:val="bottom"/>
            <w:gridSpan w:val="2"/>
          </w:tcPr>
          <w:p>
            <w:pPr>
              <w:jc w:val="right"/>
              <w:ind w:right="322"/>
              <w:spacing w:after="0"/>
              <w:rPr>
                <w:sz w:val="20"/>
                <w:szCs w:val="20"/>
                <w:color w:val="auto"/>
              </w:rPr>
            </w:pPr>
            <w:r>
              <w:rPr>
                <w:rFonts w:ascii="Arial" w:cs="Arial" w:eastAsia="Arial" w:hAnsi="Arial"/>
                <w:sz w:val="19"/>
                <w:szCs w:val="19"/>
                <w:b w:val="1"/>
                <w:bCs w:val="1"/>
                <w:color w:val="23282B"/>
              </w:rPr>
              <w:t>2010</w:t>
            </w:r>
          </w:p>
        </w:tc>
        <w:tc>
          <w:tcPr>
            <w:tcW w:w="1080" w:type="dxa"/>
            <w:vAlign w:val="bottom"/>
            <w:gridSpan w:val="2"/>
          </w:tcPr>
          <w:p>
            <w:pPr>
              <w:jc w:val="right"/>
              <w:ind w:right="342"/>
              <w:spacing w:after="0"/>
              <w:rPr>
                <w:sz w:val="20"/>
                <w:szCs w:val="20"/>
                <w:color w:val="auto"/>
              </w:rPr>
            </w:pPr>
            <w:r>
              <w:rPr>
                <w:rFonts w:ascii="Arial" w:cs="Arial" w:eastAsia="Arial" w:hAnsi="Arial"/>
                <w:sz w:val="19"/>
                <w:szCs w:val="19"/>
                <w:b w:val="1"/>
                <w:bCs w:val="1"/>
                <w:color w:val="23282B"/>
              </w:rPr>
              <w:t>2011</w:t>
            </w:r>
          </w:p>
        </w:tc>
        <w:tc>
          <w:tcPr>
            <w:tcW w:w="1120" w:type="dxa"/>
            <w:vAlign w:val="bottom"/>
            <w:gridSpan w:val="2"/>
          </w:tcPr>
          <w:p>
            <w:pPr>
              <w:ind w:left="240"/>
              <w:spacing w:after="0"/>
              <w:rPr>
                <w:sz w:val="20"/>
                <w:szCs w:val="20"/>
                <w:color w:val="auto"/>
              </w:rPr>
            </w:pPr>
            <w:r>
              <w:rPr>
                <w:rFonts w:ascii="Arial" w:cs="Arial" w:eastAsia="Arial" w:hAnsi="Arial"/>
                <w:sz w:val="19"/>
                <w:szCs w:val="19"/>
                <w:b w:val="1"/>
                <w:bCs w:val="1"/>
                <w:color w:val="23282B"/>
              </w:rPr>
              <w:t>2012</w:t>
            </w:r>
          </w:p>
        </w:tc>
        <w:tc>
          <w:tcPr>
            <w:tcW w:w="880" w:type="dxa"/>
            <w:vAlign w:val="bottom"/>
            <w:gridSpan w:val="2"/>
          </w:tcPr>
          <w:p>
            <w:pPr>
              <w:jc w:val="right"/>
              <w:ind w:right="142"/>
              <w:spacing w:after="0"/>
              <w:rPr>
                <w:sz w:val="20"/>
                <w:szCs w:val="20"/>
                <w:color w:val="auto"/>
              </w:rPr>
            </w:pPr>
            <w:r>
              <w:rPr>
                <w:rFonts w:ascii="Arial" w:cs="Arial" w:eastAsia="Arial" w:hAnsi="Arial"/>
                <w:sz w:val="19"/>
                <w:szCs w:val="19"/>
                <w:b w:val="1"/>
                <w:bCs w:val="1"/>
                <w:color w:val="23282B"/>
              </w:rPr>
              <w:t>2013</w:t>
            </w:r>
          </w:p>
        </w:tc>
        <w:tc>
          <w:tcPr>
            <w:tcW w:w="0" w:type="dxa"/>
            <w:vAlign w:val="bottom"/>
          </w:tcPr>
          <w:p>
            <w:pPr>
              <w:spacing w:after="0"/>
              <w:rPr>
                <w:sz w:val="1"/>
                <w:szCs w:val="1"/>
                <w:color w:val="auto"/>
              </w:rPr>
            </w:pPr>
          </w:p>
        </w:tc>
      </w:tr>
      <w:tr>
        <w:trPr>
          <w:trHeight w:val="313"/>
        </w:trPr>
        <w:tc>
          <w:tcPr>
            <w:tcW w:w="3160" w:type="dxa"/>
            <w:vAlign w:val="bottom"/>
          </w:tcPr>
          <w:p>
            <w:pPr>
              <w:spacing w:after="0"/>
              <w:rPr>
                <w:sz w:val="20"/>
                <w:szCs w:val="20"/>
                <w:color w:val="auto"/>
              </w:rPr>
            </w:pPr>
            <w:r>
              <w:rPr>
                <w:rFonts w:ascii="Arial" w:cs="Arial" w:eastAsia="Arial" w:hAnsi="Arial"/>
                <w:sz w:val="16"/>
                <w:szCs w:val="16"/>
                <w:color w:val="23282B"/>
              </w:rPr>
              <w:t>Sales</w:t>
            </w:r>
          </w:p>
        </w:tc>
        <w:tc>
          <w:tcPr>
            <w:tcW w:w="700" w:type="dxa"/>
            <w:vAlign w:val="bottom"/>
          </w:tcPr>
          <w:p>
            <w:pPr>
              <w:jc w:val="right"/>
              <w:spacing w:after="0"/>
              <w:rPr>
                <w:sz w:val="20"/>
                <w:szCs w:val="20"/>
                <w:color w:val="auto"/>
              </w:rPr>
            </w:pPr>
            <w:r>
              <w:rPr>
                <w:rFonts w:ascii="Arial" w:cs="Arial" w:eastAsia="Arial" w:hAnsi="Arial"/>
                <w:sz w:val="16"/>
                <w:szCs w:val="16"/>
                <w:color w:val="23282B"/>
              </w:rPr>
              <w:t>$</w:t>
            </w:r>
          </w:p>
        </w:tc>
        <w:tc>
          <w:tcPr>
            <w:tcW w:w="620" w:type="dxa"/>
            <w:vAlign w:val="bottom"/>
          </w:tcPr>
          <w:p>
            <w:pPr>
              <w:jc w:val="right"/>
              <w:ind w:right="122"/>
              <w:spacing w:after="0"/>
              <w:rPr>
                <w:sz w:val="20"/>
                <w:szCs w:val="20"/>
                <w:color w:val="auto"/>
              </w:rPr>
            </w:pPr>
            <w:r>
              <w:rPr>
                <w:rFonts w:ascii="Arial" w:cs="Arial" w:eastAsia="Arial" w:hAnsi="Arial"/>
                <w:sz w:val="16"/>
                <w:szCs w:val="16"/>
                <w:color w:val="23282B"/>
                <w:w w:val="99"/>
              </w:rPr>
              <w:t>393.9</w:t>
            </w:r>
          </w:p>
        </w:tc>
        <w:tc>
          <w:tcPr>
            <w:tcW w:w="340" w:type="dxa"/>
            <w:vAlign w:val="bottom"/>
          </w:tcPr>
          <w:p>
            <w:pPr>
              <w:jc w:val="right"/>
              <w:spacing w:after="0"/>
              <w:rPr>
                <w:sz w:val="20"/>
                <w:szCs w:val="20"/>
                <w:color w:val="auto"/>
              </w:rPr>
            </w:pPr>
            <w:r>
              <w:rPr>
                <w:rFonts w:ascii="Arial" w:cs="Arial" w:eastAsia="Arial" w:hAnsi="Arial"/>
                <w:sz w:val="16"/>
                <w:szCs w:val="16"/>
                <w:color w:val="23282B"/>
              </w:rPr>
              <w:t>$</w:t>
            </w:r>
          </w:p>
        </w:tc>
        <w:tc>
          <w:tcPr>
            <w:tcW w:w="660" w:type="dxa"/>
            <w:vAlign w:val="bottom"/>
          </w:tcPr>
          <w:p>
            <w:pPr>
              <w:jc w:val="right"/>
              <w:ind w:right="142"/>
              <w:spacing w:after="0"/>
              <w:rPr>
                <w:sz w:val="20"/>
                <w:szCs w:val="20"/>
                <w:color w:val="auto"/>
              </w:rPr>
            </w:pPr>
            <w:r>
              <w:rPr>
                <w:rFonts w:ascii="Arial" w:cs="Arial" w:eastAsia="Arial" w:hAnsi="Arial"/>
                <w:sz w:val="16"/>
                <w:szCs w:val="16"/>
                <w:color w:val="23282B"/>
              </w:rPr>
              <w:t>392.0</w:t>
            </w:r>
          </w:p>
        </w:tc>
        <w:tc>
          <w:tcPr>
            <w:tcW w:w="460" w:type="dxa"/>
            <w:vAlign w:val="bottom"/>
          </w:tcPr>
          <w:p>
            <w:pPr>
              <w:jc w:val="right"/>
              <w:spacing w:after="0"/>
              <w:rPr>
                <w:sz w:val="20"/>
                <w:szCs w:val="20"/>
                <w:color w:val="auto"/>
              </w:rPr>
            </w:pPr>
            <w:r>
              <w:rPr>
                <w:rFonts w:ascii="Arial" w:cs="Arial" w:eastAsia="Arial" w:hAnsi="Arial"/>
                <w:sz w:val="16"/>
                <w:szCs w:val="16"/>
                <w:color w:val="23282B"/>
              </w:rPr>
              <w:t>$</w:t>
            </w:r>
          </w:p>
        </w:tc>
        <w:tc>
          <w:tcPr>
            <w:tcW w:w="620" w:type="dxa"/>
            <w:vAlign w:val="bottom"/>
          </w:tcPr>
          <w:p>
            <w:pPr>
              <w:jc w:val="right"/>
              <w:ind w:right="122"/>
              <w:spacing w:after="0"/>
              <w:rPr>
                <w:sz w:val="20"/>
                <w:szCs w:val="20"/>
                <w:color w:val="auto"/>
              </w:rPr>
            </w:pPr>
            <w:r>
              <w:rPr>
                <w:rFonts w:ascii="Arial" w:cs="Arial" w:eastAsia="Arial" w:hAnsi="Arial"/>
                <w:sz w:val="16"/>
                <w:szCs w:val="16"/>
                <w:color w:val="23282B"/>
                <w:w w:val="99"/>
              </w:rPr>
              <w:t>395.9</w:t>
            </w:r>
          </w:p>
        </w:tc>
        <w:tc>
          <w:tcPr>
            <w:tcW w:w="440" w:type="dxa"/>
            <w:vAlign w:val="bottom"/>
          </w:tcPr>
          <w:p>
            <w:pPr>
              <w:jc w:val="right"/>
              <w:spacing w:after="0"/>
              <w:rPr>
                <w:sz w:val="20"/>
                <w:szCs w:val="20"/>
                <w:color w:val="auto"/>
              </w:rPr>
            </w:pPr>
            <w:r>
              <w:rPr>
                <w:rFonts w:ascii="Arial" w:cs="Arial" w:eastAsia="Arial" w:hAnsi="Arial"/>
                <w:sz w:val="16"/>
                <w:szCs w:val="16"/>
                <w:color w:val="23282B"/>
              </w:rPr>
              <w:t>$</w:t>
            </w:r>
          </w:p>
        </w:tc>
        <w:tc>
          <w:tcPr>
            <w:tcW w:w="680" w:type="dxa"/>
            <w:vAlign w:val="bottom"/>
          </w:tcPr>
          <w:p>
            <w:pPr>
              <w:jc w:val="right"/>
              <w:ind w:right="142"/>
              <w:spacing w:after="0"/>
              <w:rPr>
                <w:sz w:val="20"/>
                <w:szCs w:val="20"/>
                <w:color w:val="auto"/>
              </w:rPr>
            </w:pPr>
            <w:r>
              <w:rPr>
                <w:rFonts w:ascii="Arial" w:cs="Arial" w:eastAsia="Arial" w:hAnsi="Arial"/>
                <w:sz w:val="16"/>
                <w:szCs w:val="16"/>
                <w:color w:val="23282B"/>
              </w:rPr>
              <w:t>399.6</w:t>
            </w:r>
          </w:p>
        </w:tc>
        <w:tc>
          <w:tcPr>
            <w:tcW w:w="440" w:type="dxa"/>
            <w:vAlign w:val="bottom"/>
          </w:tcPr>
          <w:p>
            <w:pPr>
              <w:jc w:val="right"/>
              <w:spacing w:after="0"/>
              <w:rPr>
                <w:sz w:val="20"/>
                <w:szCs w:val="20"/>
                <w:color w:val="auto"/>
              </w:rPr>
            </w:pPr>
            <w:r>
              <w:rPr>
                <w:rFonts w:ascii="Arial" w:cs="Arial" w:eastAsia="Arial" w:hAnsi="Arial"/>
                <w:sz w:val="16"/>
                <w:szCs w:val="16"/>
                <w:color w:val="23282B"/>
              </w:rPr>
              <w:t>$</w:t>
            </w:r>
          </w:p>
        </w:tc>
        <w:tc>
          <w:tcPr>
            <w:tcW w:w="440" w:type="dxa"/>
            <w:vAlign w:val="bottom"/>
          </w:tcPr>
          <w:p>
            <w:pPr>
              <w:jc w:val="right"/>
              <w:spacing w:after="0"/>
              <w:rPr>
                <w:sz w:val="20"/>
                <w:szCs w:val="20"/>
                <w:color w:val="auto"/>
              </w:rPr>
            </w:pPr>
            <w:r>
              <w:rPr>
                <w:rFonts w:ascii="Arial" w:cs="Arial" w:eastAsia="Arial" w:hAnsi="Arial"/>
                <w:sz w:val="16"/>
                <w:szCs w:val="16"/>
                <w:color w:val="23282B"/>
              </w:rPr>
              <w:t>388.0</w:t>
            </w:r>
          </w:p>
        </w:tc>
        <w:tc>
          <w:tcPr>
            <w:tcW w:w="0" w:type="dxa"/>
            <w:vAlign w:val="bottom"/>
          </w:tcPr>
          <w:p>
            <w:pPr>
              <w:spacing w:after="0"/>
              <w:rPr>
                <w:sz w:val="1"/>
                <w:szCs w:val="1"/>
                <w:color w:val="auto"/>
              </w:rPr>
            </w:pPr>
          </w:p>
        </w:tc>
      </w:tr>
      <w:tr>
        <w:trPr>
          <w:trHeight w:val="313"/>
        </w:trPr>
        <w:tc>
          <w:tcPr>
            <w:tcW w:w="3160" w:type="dxa"/>
            <w:vAlign w:val="bottom"/>
          </w:tcPr>
          <w:p>
            <w:pPr>
              <w:spacing w:after="0"/>
              <w:rPr>
                <w:sz w:val="20"/>
                <w:szCs w:val="20"/>
                <w:color w:val="auto"/>
              </w:rPr>
            </w:pPr>
            <w:r>
              <w:rPr>
                <w:rFonts w:ascii="Arial" w:cs="Arial" w:eastAsia="Arial" w:hAnsi="Arial"/>
                <w:sz w:val="16"/>
                <w:szCs w:val="16"/>
                <w:color w:val="23282B"/>
              </w:rPr>
              <w:t>Operating Income (Loss), GAAP Basis</w:t>
            </w:r>
          </w:p>
        </w:tc>
        <w:tc>
          <w:tcPr>
            <w:tcW w:w="700" w:type="dxa"/>
            <w:vAlign w:val="bottom"/>
          </w:tcPr>
          <w:p>
            <w:pPr>
              <w:jc w:val="right"/>
              <w:spacing w:after="0"/>
              <w:rPr>
                <w:sz w:val="20"/>
                <w:szCs w:val="20"/>
                <w:color w:val="auto"/>
              </w:rPr>
            </w:pPr>
            <w:r>
              <w:rPr>
                <w:rFonts w:ascii="Arial" w:cs="Arial" w:eastAsia="Arial" w:hAnsi="Arial"/>
                <w:sz w:val="16"/>
                <w:szCs w:val="16"/>
                <w:color w:val="23282B"/>
              </w:rPr>
              <w:t>$</w:t>
            </w:r>
          </w:p>
        </w:tc>
        <w:tc>
          <w:tcPr>
            <w:tcW w:w="620" w:type="dxa"/>
            <w:vAlign w:val="bottom"/>
          </w:tcPr>
          <w:p>
            <w:pPr>
              <w:jc w:val="right"/>
              <w:ind w:right="142"/>
              <w:spacing w:after="0"/>
              <w:rPr>
                <w:sz w:val="20"/>
                <w:szCs w:val="20"/>
                <w:color w:val="auto"/>
              </w:rPr>
            </w:pPr>
            <w:r>
              <w:rPr>
                <w:rFonts w:ascii="Arial" w:cs="Arial" w:eastAsia="Arial" w:hAnsi="Arial"/>
                <w:sz w:val="16"/>
                <w:szCs w:val="16"/>
                <w:color w:val="23282B"/>
              </w:rPr>
              <w:t>9.5</w:t>
            </w:r>
          </w:p>
        </w:tc>
        <w:tc>
          <w:tcPr>
            <w:tcW w:w="340" w:type="dxa"/>
            <w:vAlign w:val="bottom"/>
          </w:tcPr>
          <w:p>
            <w:pPr>
              <w:jc w:val="right"/>
              <w:spacing w:after="0"/>
              <w:rPr>
                <w:sz w:val="20"/>
                <w:szCs w:val="20"/>
                <w:color w:val="auto"/>
              </w:rPr>
            </w:pPr>
            <w:r>
              <w:rPr>
                <w:rFonts w:ascii="Arial" w:cs="Arial" w:eastAsia="Arial" w:hAnsi="Arial"/>
                <w:sz w:val="16"/>
                <w:szCs w:val="16"/>
                <w:color w:val="23282B"/>
              </w:rPr>
              <w:t>$</w:t>
            </w:r>
          </w:p>
        </w:tc>
        <w:tc>
          <w:tcPr>
            <w:tcW w:w="660" w:type="dxa"/>
            <w:vAlign w:val="bottom"/>
          </w:tcPr>
          <w:p>
            <w:pPr>
              <w:jc w:val="right"/>
              <w:ind w:right="142"/>
              <w:spacing w:after="0"/>
              <w:rPr>
                <w:sz w:val="20"/>
                <w:szCs w:val="20"/>
                <w:color w:val="auto"/>
              </w:rPr>
            </w:pPr>
            <w:r>
              <w:rPr>
                <w:rFonts w:ascii="Arial" w:cs="Arial" w:eastAsia="Arial" w:hAnsi="Arial"/>
                <w:sz w:val="16"/>
                <w:szCs w:val="16"/>
                <w:color w:val="23282B"/>
              </w:rPr>
              <w:t>18.2</w:t>
            </w:r>
          </w:p>
        </w:tc>
        <w:tc>
          <w:tcPr>
            <w:tcW w:w="460" w:type="dxa"/>
            <w:vAlign w:val="bottom"/>
          </w:tcPr>
          <w:p>
            <w:pPr>
              <w:jc w:val="right"/>
              <w:spacing w:after="0"/>
              <w:rPr>
                <w:sz w:val="20"/>
                <w:szCs w:val="20"/>
                <w:color w:val="auto"/>
              </w:rPr>
            </w:pPr>
            <w:r>
              <w:rPr>
                <w:rFonts w:ascii="Arial" w:cs="Arial" w:eastAsia="Arial" w:hAnsi="Arial"/>
                <w:sz w:val="16"/>
                <w:szCs w:val="16"/>
                <w:color w:val="23282B"/>
              </w:rPr>
              <w:t>$</w:t>
            </w:r>
          </w:p>
        </w:tc>
        <w:tc>
          <w:tcPr>
            <w:tcW w:w="620" w:type="dxa"/>
            <w:vAlign w:val="bottom"/>
          </w:tcPr>
          <w:p>
            <w:pPr>
              <w:jc w:val="right"/>
              <w:ind w:right="122"/>
              <w:spacing w:after="0"/>
              <w:rPr>
                <w:sz w:val="20"/>
                <w:szCs w:val="20"/>
                <w:color w:val="auto"/>
              </w:rPr>
            </w:pPr>
            <w:r>
              <w:rPr>
                <w:rFonts w:ascii="Arial" w:cs="Arial" w:eastAsia="Arial" w:hAnsi="Arial"/>
                <w:sz w:val="16"/>
                <w:szCs w:val="16"/>
                <w:color w:val="23282B"/>
              </w:rPr>
              <w:t>(4.4)</w:t>
            </w:r>
          </w:p>
        </w:tc>
        <w:tc>
          <w:tcPr>
            <w:tcW w:w="440" w:type="dxa"/>
            <w:vAlign w:val="bottom"/>
          </w:tcPr>
          <w:p>
            <w:pPr>
              <w:ind w:left="280"/>
              <w:spacing w:after="0"/>
              <w:rPr>
                <w:sz w:val="20"/>
                <w:szCs w:val="20"/>
                <w:color w:val="auto"/>
              </w:rPr>
            </w:pPr>
            <w:r>
              <w:rPr>
                <w:rFonts w:ascii="Arial" w:cs="Arial" w:eastAsia="Arial" w:hAnsi="Arial"/>
                <w:sz w:val="16"/>
                <w:szCs w:val="16"/>
                <w:color w:val="23282B"/>
              </w:rPr>
              <w:t>$</w:t>
            </w:r>
          </w:p>
        </w:tc>
        <w:tc>
          <w:tcPr>
            <w:tcW w:w="680" w:type="dxa"/>
            <w:vAlign w:val="bottom"/>
          </w:tcPr>
          <w:p>
            <w:pPr>
              <w:jc w:val="right"/>
              <w:ind w:right="162"/>
              <w:spacing w:after="0"/>
              <w:rPr>
                <w:sz w:val="20"/>
                <w:szCs w:val="20"/>
                <w:color w:val="auto"/>
              </w:rPr>
            </w:pPr>
            <w:r>
              <w:rPr>
                <w:rFonts w:ascii="Arial" w:cs="Arial" w:eastAsia="Arial" w:hAnsi="Arial"/>
                <w:sz w:val="16"/>
                <w:szCs w:val="16"/>
                <w:color w:val="23282B"/>
              </w:rPr>
              <w:t>13.9</w:t>
            </w:r>
          </w:p>
        </w:tc>
        <w:tc>
          <w:tcPr>
            <w:tcW w:w="440" w:type="dxa"/>
            <w:vAlign w:val="bottom"/>
          </w:tcPr>
          <w:p>
            <w:pPr>
              <w:jc w:val="right"/>
              <w:spacing w:after="0"/>
              <w:rPr>
                <w:sz w:val="20"/>
                <w:szCs w:val="20"/>
                <w:color w:val="auto"/>
              </w:rPr>
            </w:pPr>
            <w:r>
              <w:rPr>
                <w:rFonts w:ascii="Arial" w:cs="Arial" w:eastAsia="Arial" w:hAnsi="Arial"/>
                <w:sz w:val="16"/>
                <w:szCs w:val="16"/>
                <w:color w:val="23282B"/>
              </w:rPr>
              <w:t>$</w:t>
            </w:r>
          </w:p>
        </w:tc>
        <w:tc>
          <w:tcPr>
            <w:tcW w:w="440" w:type="dxa"/>
            <w:vAlign w:val="bottom"/>
          </w:tcPr>
          <w:p>
            <w:pPr>
              <w:jc w:val="right"/>
              <w:spacing w:after="0"/>
              <w:rPr>
                <w:sz w:val="20"/>
                <w:szCs w:val="20"/>
                <w:color w:val="auto"/>
              </w:rPr>
            </w:pPr>
            <w:r>
              <w:rPr>
                <w:rFonts w:ascii="Arial" w:cs="Arial" w:eastAsia="Arial" w:hAnsi="Arial"/>
                <w:sz w:val="16"/>
                <w:szCs w:val="16"/>
                <w:color w:val="23282B"/>
              </w:rPr>
              <w:t>(13.1)</w:t>
            </w:r>
          </w:p>
        </w:tc>
        <w:tc>
          <w:tcPr>
            <w:tcW w:w="0" w:type="dxa"/>
            <w:vAlign w:val="bottom"/>
          </w:tcPr>
          <w:p>
            <w:pPr>
              <w:spacing w:after="0"/>
              <w:rPr>
                <w:sz w:val="1"/>
                <w:szCs w:val="1"/>
                <w:color w:val="auto"/>
              </w:rPr>
            </w:pPr>
          </w:p>
        </w:tc>
      </w:tr>
      <w:tr>
        <w:trPr>
          <w:trHeight w:val="410"/>
        </w:trPr>
        <w:tc>
          <w:tcPr>
            <w:tcW w:w="3160" w:type="dxa"/>
            <w:vAlign w:val="bottom"/>
          </w:tcPr>
          <w:p>
            <w:pPr>
              <w:spacing w:after="0"/>
              <w:rPr>
                <w:sz w:val="20"/>
                <w:szCs w:val="20"/>
                <w:color w:val="auto"/>
              </w:rPr>
            </w:pPr>
            <w:r>
              <w:rPr>
                <w:rFonts w:ascii="Arial" w:cs="Arial" w:eastAsia="Arial" w:hAnsi="Arial"/>
                <w:sz w:val="16"/>
                <w:szCs w:val="16"/>
                <w:color w:val="23282B"/>
              </w:rPr>
              <w:t>Add back:</w:t>
            </w: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3160" w:type="dxa"/>
            <w:vAlign w:val="bottom"/>
          </w:tcPr>
          <w:p>
            <w:pPr>
              <w:spacing w:after="0"/>
              <w:rPr>
                <w:sz w:val="20"/>
                <w:szCs w:val="20"/>
                <w:color w:val="auto"/>
              </w:rPr>
            </w:pPr>
            <w:r>
              <w:rPr>
                <w:rFonts w:ascii="Arial" w:cs="Arial" w:eastAsia="Arial" w:hAnsi="Arial"/>
                <w:sz w:val="16"/>
                <w:szCs w:val="16"/>
                <w:color w:val="23282B"/>
              </w:rPr>
              <w:t>Depreciation and Amortization</w:t>
            </w:r>
          </w:p>
        </w:tc>
        <w:tc>
          <w:tcPr>
            <w:tcW w:w="700" w:type="dxa"/>
            <w:vAlign w:val="bottom"/>
          </w:tcPr>
          <w:p>
            <w:pPr>
              <w:jc w:val="right"/>
              <w:spacing w:after="0"/>
              <w:rPr>
                <w:sz w:val="20"/>
                <w:szCs w:val="20"/>
                <w:color w:val="auto"/>
              </w:rPr>
            </w:pPr>
            <w:r>
              <w:rPr>
                <w:rFonts w:ascii="Arial" w:cs="Arial" w:eastAsia="Arial" w:hAnsi="Arial"/>
                <w:sz w:val="16"/>
                <w:szCs w:val="16"/>
                <w:color w:val="23282B"/>
              </w:rPr>
              <w:t>$</w:t>
            </w:r>
          </w:p>
        </w:tc>
        <w:tc>
          <w:tcPr>
            <w:tcW w:w="620" w:type="dxa"/>
            <w:vAlign w:val="bottom"/>
          </w:tcPr>
          <w:p>
            <w:pPr>
              <w:jc w:val="right"/>
              <w:ind w:right="142"/>
              <w:spacing w:after="0"/>
              <w:rPr>
                <w:sz w:val="20"/>
                <w:szCs w:val="20"/>
                <w:color w:val="auto"/>
              </w:rPr>
            </w:pPr>
            <w:r>
              <w:rPr>
                <w:rFonts w:ascii="Arial" w:cs="Arial" w:eastAsia="Arial" w:hAnsi="Arial"/>
                <w:sz w:val="16"/>
                <w:szCs w:val="16"/>
                <w:color w:val="23282B"/>
              </w:rPr>
              <w:t>15.5</w:t>
            </w:r>
          </w:p>
        </w:tc>
        <w:tc>
          <w:tcPr>
            <w:tcW w:w="340" w:type="dxa"/>
            <w:vAlign w:val="bottom"/>
          </w:tcPr>
          <w:p>
            <w:pPr>
              <w:jc w:val="right"/>
              <w:spacing w:after="0"/>
              <w:rPr>
                <w:sz w:val="20"/>
                <w:szCs w:val="20"/>
                <w:color w:val="auto"/>
              </w:rPr>
            </w:pPr>
            <w:r>
              <w:rPr>
                <w:rFonts w:ascii="Arial" w:cs="Arial" w:eastAsia="Arial" w:hAnsi="Arial"/>
                <w:sz w:val="16"/>
                <w:szCs w:val="16"/>
                <w:color w:val="23282B"/>
              </w:rPr>
              <w:t>$</w:t>
            </w:r>
          </w:p>
        </w:tc>
        <w:tc>
          <w:tcPr>
            <w:tcW w:w="660" w:type="dxa"/>
            <w:vAlign w:val="bottom"/>
          </w:tcPr>
          <w:p>
            <w:pPr>
              <w:jc w:val="right"/>
              <w:ind w:right="142"/>
              <w:spacing w:after="0"/>
              <w:rPr>
                <w:sz w:val="20"/>
                <w:szCs w:val="20"/>
                <w:color w:val="auto"/>
              </w:rPr>
            </w:pPr>
            <w:r>
              <w:rPr>
                <w:rFonts w:ascii="Arial" w:cs="Arial" w:eastAsia="Arial" w:hAnsi="Arial"/>
                <w:sz w:val="16"/>
                <w:szCs w:val="16"/>
                <w:color w:val="23282B"/>
              </w:rPr>
              <w:t>13.2</w:t>
            </w:r>
          </w:p>
        </w:tc>
        <w:tc>
          <w:tcPr>
            <w:tcW w:w="460" w:type="dxa"/>
            <w:vAlign w:val="bottom"/>
          </w:tcPr>
          <w:p>
            <w:pPr>
              <w:jc w:val="right"/>
              <w:spacing w:after="0"/>
              <w:rPr>
                <w:sz w:val="20"/>
                <w:szCs w:val="20"/>
                <w:color w:val="auto"/>
              </w:rPr>
            </w:pPr>
            <w:r>
              <w:rPr>
                <w:rFonts w:ascii="Arial" w:cs="Arial" w:eastAsia="Arial" w:hAnsi="Arial"/>
                <w:sz w:val="16"/>
                <w:szCs w:val="16"/>
                <w:color w:val="23282B"/>
              </w:rPr>
              <w:t>$</w:t>
            </w:r>
          </w:p>
        </w:tc>
        <w:tc>
          <w:tcPr>
            <w:tcW w:w="620" w:type="dxa"/>
            <w:vAlign w:val="bottom"/>
          </w:tcPr>
          <w:p>
            <w:pPr>
              <w:jc w:val="right"/>
              <w:ind w:right="122"/>
              <w:spacing w:after="0"/>
              <w:rPr>
                <w:sz w:val="20"/>
                <w:szCs w:val="20"/>
                <w:color w:val="auto"/>
              </w:rPr>
            </w:pPr>
            <w:r>
              <w:rPr>
                <w:rFonts w:ascii="Arial" w:cs="Arial" w:eastAsia="Arial" w:hAnsi="Arial"/>
                <w:sz w:val="16"/>
                <w:szCs w:val="16"/>
                <w:color w:val="23282B"/>
              </w:rPr>
              <w:t>12.5</w:t>
            </w:r>
          </w:p>
        </w:tc>
        <w:tc>
          <w:tcPr>
            <w:tcW w:w="440" w:type="dxa"/>
            <w:vAlign w:val="bottom"/>
          </w:tcPr>
          <w:p>
            <w:pPr>
              <w:ind w:left="240"/>
              <w:spacing w:after="0"/>
              <w:rPr>
                <w:sz w:val="20"/>
                <w:szCs w:val="20"/>
                <w:color w:val="auto"/>
              </w:rPr>
            </w:pPr>
            <w:r>
              <w:rPr>
                <w:rFonts w:ascii="Arial" w:cs="Arial" w:eastAsia="Arial" w:hAnsi="Arial"/>
                <w:sz w:val="16"/>
                <w:szCs w:val="16"/>
                <w:color w:val="23282B"/>
              </w:rPr>
              <w:t>$</w:t>
            </w:r>
          </w:p>
        </w:tc>
        <w:tc>
          <w:tcPr>
            <w:tcW w:w="680" w:type="dxa"/>
            <w:vAlign w:val="bottom"/>
          </w:tcPr>
          <w:p>
            <w:pPr>
              <w:jc w:val="right"/>
              <w:ind w:right="162"/>
              <w:spacing w:after="0"/>
              <w:rPr>
                <w:sz w:val="20"/>
                <w:szCs w:val="20"/>
                <w:color w:val="auto"/>
              </w:rPr>
            </w:pPr>
            <w:r>
              <w:rPr>
                <w:rFonts w:ascii="Arial" w:cs="Arial" w:eastAsia="Arial" w:hAnsi="Arial"/>
                <w:sz w:val="16"/>
                <w:szCs w:val="16"/>
                <w:color w:val="23282B"/>
              </w:rPr>
              <w:t>15.5</w:t>
            </w:r>
          </w:p>
        </w:tc>
        <w:tc>
          <w:tcPr>
            <w:tcW w:w="440" w:type="dxa"/>
            <w:vAlign w:val="bottom"/>
          </w:tcPr>
          <w:p>
            <w:pPr>
              <w:jc w:val="right"/>
              <w:spacing w:after="0"/>
              <w:rPr>
                <w:sz w:val="20"/>
                <w:szCs w:val="20"/>
                <w:color w:val="auto"/>
              </w:rPr>
            </w:pPr>
            <w:r>
              <w:rPr>
                <w:rFonts w:ascii="Arial" w:cs="Arial" w:eastAsia="Arial" w:hAnsi="Arial"/>
                <w:sz w:val="16"/>
                <w:szCs w:val="16"/>
                <w:color w:val="23282B"/>
              </w:rPr>
              <w:t>$</w:t>
            </w:r>
          </w:p>
        </w:tc>
        <w:tc>
          <w:tcPr>
            <w:tcW w:w="440" w:type="dxa"/>
            <w:vAlign w:val="bottom"/>
          </w:tcPr>
          <w:p>
            <w:pPr>
              <w:jc w:val="right"/>
              <w:spacing w:after="0"/>
              <w:rPr>
                <w:sz w:val="20"/>
                <w:szCs w:val="20"/>
                <w:color w:val="auto"/>
              </w:rPr>
            </w:pPr>
            <w:r>
              <w:rPr>
                <w:rFonts w:ascii="Arial" w:cs="Arial" w:eastAsia="Arial" w:hAnsi="Arial"/>
                <w:sz w:val="16"/>
                <w:szCs w:val="16"/>
                <w:color w:val="23282B"/>
              </w:rPr>
              <w:t>20.8</w:t>
            </w:r>
          </w:p>
        </w:tc>
        <w:tc>
          <w:tcPr>
            <w:tcW w:w="0" w:type="dxa"/>
            <w:vAlign w:val="bottom"/>
          </w:tcPr>
          <w:p>
            <w:pPr>
              <w:spacing w:after="0"/>
              <w:rPr>
                <w:sz w:val="1"/>
                <w:szCs w:val="1"/>
                <w:color w:val="auto"/>
              </w:rPr>
            </w:pPr>
          </w:p>
        </w:tc>
      </w:tr>
      <w:tr>
        <w:trPr>
          <w:trHeight w:val="313"/>
        </w:trPr>
        <w:tc>
          <w:tcPr>
            <w:tcW w:w="3160" w:type="dxa"/>
            <w:vAlign w:val="bottom"/>
          </w:tcPr>
          <w:p>
            <w:pPr>
              <w:spacing w:after="0"/>
              <w:rPr>
                <w:sz w:val="20"/>
                <w:szCs w:val="20"/>
                <w:color w:val="auto"/>
              </w:rPr>
            </w:pPr>
            <w:r>
              <w:rPr>
                <w:rFonts w:ascii="Arial" w:cs="Arial" w:eastAsia="Arial" w:hAnsi="Arial"/>
                <w:sz w:val="16"/>
                <w:szCs w:val="16"/>
                <w:color w:val="23282B"/>
              </w:rPr>
              <w:t>EBITDA</w:t>
            </w:r>
          </w:p>
        </w:tc>
        <w:tc>
          <w:tcPr>
            <w:tcW w:w="700" w:type="dxa"/>
            <w:vAlign w:val="bottom"/>
          </w:tcPr>
          <w:p>
            <w:pPr>
              <w:jc w:val="right"/>
              <w:spacing w:after="0"/>
              <w:rPr>
                <w:sz w:val="20"/>
                <w:szCs w:val="20"/>
                <w:color w:val="auto"/>
              </w:rPr>
            </w:pPr>
            <w:r>
              <w:rPr>
                <w:rFonts w:ascii="Arial" w:cs="Arial" w:eastAsia="Arial" w:hAnsi="Arial"/>
                <w:sz w:val="16"/>
                <w:szCs w:val="16"/>
                <w:color w:val="23282B"/>
              </w:rPr>
              <w:t>$</w:t>
            </w:r>
          </w:p>
        </w:tc>
        <w:tc>
          <w:tcPr>
            <w:tcW w:w="620" w:type="dxa"/>
            <w:vAlign w:val="bottom"/>
          </w:tcPr>
          <w:p>
            <w:pPr>
              <w:jc w:val="right"/>
              <w:ind w:right="142"/>
              <w:spacing w:after="0"/>
              <w:rPr>
                <w:sz w:val="20"/>
                <w:szCs w:val="20"/>
                <w:color w:val="auto"/>
              </w:rPr>
            </w:pPr>
            <w:r>
              <w:rPr>
                <w:rFonts w:ascii="Arial" w:cs="Arial" w:eastAsia="Arial" w:hAnsi="Arial"/>
                <w:sz w:val="16"/>
                <w:szCs w:val="16"/>
                <w:color w:val="23282B"/>
              </w:rPr>
              <w:t>25.0</w:t>
            </w:r>
          </w:p>
        </w:tc>
        <w:tc>
          <w:tcPr>
            <w:tcW w:w="340" w:type="dxa"/>
            <w:vAlign w:val="bottom"/>
          </w:tcPr>
          <w:p>
            <w:pPr>
              <w:jc w:val="right"/>
              <w:spacing w:after="0"/>
              <w:rPr>
                <w:sz w:val="20"/>
                <w:szCs w:val="20"/>
                <w:color w:val="auto"/>
              </w:rPr>
            </w:pPr>
            <w:r>
              <w:rPr>
                <w:rFonts w:ascii="Arial" w:cs="Arial" w:eastAsia="Arial" w:hAnsi="Arial"/>
                <w:sz w:val="16"/>
                <w:szCs w:val="16"/>
                <w:color w:val="23282B"/>
              </w:rPr>
              <w:t>$</w:t>
            </w:r>
          </w:p>
        </w:tc>
        <w:tc>
          <w:tcPr>
            <w:tcW w:w="660" w:type="dxa"/>
            <w:vAlign w:val="bottom"/>
          </w:tcPr>
          <w:p>
            <w:pPr>
              <w:jc w:val="right"/>
              <w:ind w:right="142"/>
              <w:spacing w:after="0"/>
              <w:rPr>
                <w:sz w:val="20"/>
                <w:szCs w:val="20"/>
                <w:color w:val="auto"/>
              </w:rPr>
            </w:pPr>
            <w:r>
              <w:rPr>
                <w:rFonts w:ascii="Arial" w:cs="Arial" w:eastAsia="Arial" w:hAnsi="Arial"/>
                <w:sz w:val="16"/>
                <w:szCs w:val="16"/>
                <w:color w:val="23282B"/>
              </w:rPr>
              <w:t>31.4</w:t>
            </w:r>
          </w:p>
        </w:tc>
        <w:tc>
          <w:tcPr>
            <w:tcW w:w="460" w:type="dxa"/>
            <w:vAlign w:val="bottom"/>
          </w:tcPr>
          <w:p>
            <w:pPr>
              <w:jc w:val="right"/>
              <w:spacing w:after="0"/>
              <w:rPr>
                <w:sz w:val="20"/>
                <w:szCs w:val="20"/>
                <w:color w:val="auto"/>
              </w:rPr>
            </w:pPr>
            <w:r>
              <w:rPr>
                <w:rFonts w:ascii="Arial" w:cs="Arial" w:eastAsia="Arial" w:hAnsi="Arial"/>
                <w:sz w:val="16"/>
                <w:szCs w:val="16"/>
                <w:color w:val="23282B"/>
              </w:rPr>
              <w:t>$</w:t>
            </w:r>
          </w:p>
        </w:tc>
        <w:tc>
          <w:tcPr>
            <w:tcW w:w="620" w:type="dxa"/>
            <w:vAlign w:val="bottom"/>
          </w:tcPr>
          <w:p>
            <w:pPr>
              <w:jc w:val="right"/>
              <w:ind w:right="142"/>
              <w:spacing w:after="0"/>
              <w:rPr>
                <w:sz w:val="20"/>
                <w:szCs w:val="20"/>
                <w:color w:val="auto"/>
              </w:rPr>
            </w:pPr>
            <w:r>
              <w:rPr>
                <w:rFonts w:ascii="Arial" w:cs="Arial" w:eastAsia="Arial" w:hAnsi="Arial"/>
                <w:sz w:val="16"/>
                <w:szCs w:val="16"/>
                <w:color w:val="23282B"/>
              </w:rPr>
              <w:t>8.1</w:t>
            </w:r>
          </w:p>
        </w:tc>
        <w:tc>
          <w:tcPr>
            <w:tcW w:w="440" w:type="dxa"/>
            <w:vAlign w:val="bottom"/>
          </w:tcPr>
          <w:p>
            <w:pPr>
              <w:jc w:val="right"/>
              <w:ind w:right="78"/>
              <w:spacing w:after="0"/>
              <w:rPr>
                <w:sz w:val="20"/>
                <w:szCs w:val="20"/>
                <w:color w:val="auto"/>
              </w:rPr>
            </w:pPr>
            <w:r>
              <w:rPr>
                <w:rFonts w:ascii="Arial" w:cs="Arial" w:eastAsia="Arial" w:hAnsi="Arial"/>
                <w:sz w:val="16"/>
                <w:szCs w:val="16"/>
                <w:color w:val="23282B"/>
              </w:rPr>
              <w:t>$</w:t>
            </w:r>
          </w:p>
        </w:tc>
        <w:tc>
          <w:tcPr>
            <w:tcW w:w="680" w:type="dxa"/>
            <w:vAlign w:val="bottom"/>
          </w:tcPr>
          <w:p>
            <w:pPr>
              <w:jc w:val="right"/>
              <w:ind w:right="162"/>
              <w:spacing w:after="0"/>
              <w:rPr>
                <w:sz w:val="20"/>
                <w:szCs w:val="20"/>
                <w:color w:val="auto"/>
              </w:rPr>
            </w:pPr>
            <w:r>
              <w:rPr>
                <w:rFonts w:ascii="Arial" w:cs="Arial" w:eastAsia="Arial" w:hAnsi="Arial"/>
                <w:sz w:val="16"/>
                <w:szCs w:val="16"/>
                <w:color w:val="23282B"/>
              </w:rPr>
              <w:t>29.4</w:t>
            </w:r>
          </w:p>
        </w:tc>
        <w:tc>
          <w:tcPr>
            <w:tcW w:w="440" w:type="dxa"/>
            <w:vAlign w:val="bottom"/>
          </w:tcPr>
          <w:p>
            <w:pPr>
              <w:jc w:val="right"/>
              <w:spacing w:after="0"/>
              <w:rPr>
                <w:sz w:val="20"/>
                <w:szCs w:val="20"/>
                <w:color w:val="auto"/>
              </w:rPr>
            </w:pPr>
            <w:r>
              <w:rPr>
                <w:rFonts w:ascii="Arial" w:cs="Arial" w:eastAsia="Arial" w:hAnsi="Arial"/>
                <w:sz w:val="16"/>
                <w:szCs w:val="16"/>
                <w:color w:val="23282B"/>
              </w:rPr>
              <w:t>$</w:t>
            </w:r>
          </w:p>
        </w:tc>
        <w:tc>
          <w:tcPr>
            <w:tcW w:w="440" w:type="dxa"/>
            <w:vAlign w:val="bottom"/>
          </w:tcPr>
          <w:p>
            <w:pPr>
              <w:jc w:val="right"/>
              <w:spacing w:after="0"/>
              <w:rPr>
                <w:sz w:val="20"/>
                <w:szCs w:val="20"/>
                <w:color w:val="auto"/>
              </w:rPr>
            </w:pPr>
            <w:r>
              <w:rPr>
                <w:rFonts w:ascii="Arial" w:cs="Arial" w:eastAsia="Arial" w:hAnsi="Arial"/>
                <w:sz w:val="16"/>
                <w:szCs w:val="16"/>
                <w:color w:val="23282B"/>
              </w:rPr>
              <w:t>7.7</w:t>
            </w:r>
          </w:p>
        </w:tc>
        <w:tc>
          <w:tcPr>
            <w:tcW w:w="0" w:type="dxa"/>
            <w:vAlign w:val="bottom"/>
          </w:tcPr>
          <w:p>
            <w:pPr>
              <w:spacing w:after="0"/>
              <w:rPr>
                <w:sz w:val="1"/>
                <w:szCs w:val="1"/>
                <w:color w:val="auto"/>
              </w:rPr>
            </w:pPr>
          </w:p>
        </w:tc>
      </w:tr>
      <w:tr>
        <w:trPr>
          <w:trHeight w:val="422"/>
        </w:trPr>
        <w:tc>
          <w:tcPr>
            <w:tcW w:w="3160" w:type="dxa"/>
            <w:vAlign w:val="bottom"/>
          </w:tcPr>
          <w:p>
            <w:pPr>
              <w:spacing w:after="0"/>
              <w:rPr>
                <w:sz w:val="20"/>
                <w:szCs w:val="20"/>
                <w:color w:val="auto"/>
              </w:rPr>
            </w:pPr>
            <w:r>
              <w:rPr>
                <w:rFonts w:ascii="Arial" w:cs="Arial" w:eastAsia="Arial" w:hAnsi="Arial"/>
                <w:sz w:val="16"/>
                <w:szCs w:val="16"/>
                <w:color w:val="23282B"/>
              </w:rPr>
              <w:t>Adjustment for Trademark Impairment</w:t>
            </w:r>
          </w:p>
        </w:tc>
        <w:tc>
          <w:tcPr>
            <w:tcW w:w="700" w:type="dxa"/>
            <w:vAlign w:val="bottom"/>
          </w:tcPr>
          <w:p>
            <w:pPr>
              <w:spacing w:after="0"/>
              <w:rPr>
                <w:sz w:val="24"/>
                <w:szCs w:val="24"/>
                <w:color w:val="auto"/>
              </w:rPr>
            </w:pPr>
          </w:p>
        </w:tc>
        <w:tc>
          <w:tcPr>
            <w:tcW w:w="620" w:type="dxa"/>
            <w:vAlign w:val="bottom"/>
          </w:tcPr>
          <w:p>
            <w:pPr>
              <w:jc w:val="right"/>
              <w:ind w:right="122"/>
              <w:spacing w:after="0"/>
              <w:rPr>
                <w:sz w:val="20"/>
                <w:szCs w:val="20"/>
                <w:color w:val="auto"/>
              </w:rPr>
            </w:pPr>
            <w:r>
              <w:rPr>
                <w:rFonts w:ascii="Arial" w:cs="Arial" w:eastAsia="Arial" w:hAnsi="Arial"/>
                <w:sz w:val="16"/>
                <w:szCs w:val="16"/>
                <w:color w:val="23282B"/>
              </w:rPr>
              <w:t>-</w:t>
            </w:r>
          </w:p>
        </w:tc>
        <w:tc>
          <w:tcPr>
            <w:tcW w:w="340" w:type="dxa"/>
            <w:vAlign w:val="bottom"/>
          </w:tcPr>
          <w:p>
            <w:pPr>
              <w:spacing w:after="0"/>
              <w:rPr>
                <w:sz w:val="24"/>
                <w:szCs w:val="24"/>
                <w:color w:val="auto"/>
              </w:rPr>
            </w:pPr>
          </w:p>
        </w:tc>
        <w:tc>
          <w:tcPr>
            <w:tcW w:w="660" w:type="dxa"/>
            <w:vAlign w:val="bottom"/>
          </w:tcPr>
          <w:p>
            <w:pPr>
              <w:jc w:val="right"/>
              <w:ind w:right="142"/>
              <w:spacing w:after="0"/>
              <w:rPr>
                <w:sz w:val="20"/>
                <w:szCs w:val="20"/>
                <w:color w:val="auto"/>
              </w:rPr>
            </w:pPr>
            <w:r>
              <w:rPr>
                <w:rFonts w:ascii="Arial" w:cs="Arial" w:eastAsia="Arial" w:hAnsi="Arial"/>
                <w:sz w:val="16"/>
                <w:szCs w:val="16"/>
                <w:color w:val="23282B"/>
              </w:rPr>
              <w:t>-</w:t>
            </w:r>
          </w:p>
        </w:tc>
        <w:tc>
          <w:tcPr>
            <w:tcW w:w="460" w:type="dxa"/>
            <w:vAlign w:val="bottom"/>
          </w:tcPr>
          <w:p>
            <w:pPr>
              <w:jc w:val="right"/>
              <w:spacing w:after="0"/>
              <w:rPr>
                <w:sz w:val="20"/>
                <w:szCs w:val="20"/>
                <w:color w:val="auto"/>
              </w:rPr>
            </w:pPr>
            <w:r>
              <w:rPr>
                <w:rFonts w:ascii="Arial" w:cs="Arial" w:eastAsia="Arial" w:hAnsi="Arial"/>
                <w:sz w:val="16"/>
                <w:szCs w:val="16"/>
                <w:color w:val="23282B"/>
              </w:rPr>
              <w:t>$</w:t>
            </w:r>
          </w:p>
        </w:tc>
        <w:tc>
          <w:tcPr>
            <w:tcW w:w="620" w:type="dxa"/>
            <w:vAlign w:val="bottom"/>
          </w:tcPr>
          <w:p>
            <w:pPr>
              <w:jc w:val="right"/>
              <w:ind w:right="142"/>
              <w:spacing w:after="0"/>
              <w:rPr>
                <w:sz w:val="20"/>
                <w:szCs w:val="20"/>
                <w:color w:val="auto"/>
              </w:rPr>
            </w:pPr>
            <w:r>
              <w:rPr>
                <w:rFonts w:ascii="Arial" w:cs="Arial" w:eastAsia="Arial" w:hAnsi="Arial"/>
                <w:sz w:val="16"/>
                <w:szCs w:val="16"/>
                <w:color w:val="23282B"/>
              </w:rPr>
              <w:t>23.1</w:t>
            </w:r>
          </w:p>
        </w:tc>
        <w:tc>
          <w:tcPr>
            <w:tcW w:w="440" w:type="dxa"/>
            <w:vAlign w:val="bottom"/>
          </w:tcPr>
          <w:p>
            <w:pPr>
              <w:spacing w:after="0"/>
              <w:rPr>
                <w:sz w:val="24"/>
                <w:szCs w:val="24"/>
                <w:color w:val="auto"/>
              </w:rPr>
            </w:pPr>
          </w:p>
        </w:tc>
        <w:tc>
          <w:tcPr>
            <w:tcW w:w="680" w:type="dxa"/>
            <w:vAlign w:val="bottom"/>
            <w:vMerge w:val="restart"/>
          </w:tcPr>
          <w:p>
            <w:pPr>
              <w:jc w:val="right"/>
              <w:ind w:right="142"/>
              <w:spacing w:after="0"/>
              <w:rPr>
                <w:sz w:val="20"/>
                <w:szCs w:val="20"/>
                <w:color w:val="auto"/>
              </w:rPr>
            </w:pPr>
            <w:r>
              <w:rPr>
                <w:rFonts w:ascii="Arial" w:cs="Arial" w:eastAsia="Arial" w:hAnsi="Arial"/>
                <w:sz w:val="16"/>
                <w:szCs w:val="16"/>
                <w:color w:val="23282B"/>
              </w:rPr>
              <w:t>-</w:t>
            </w:r>
          </w:p>
        </w:tc>
        <w:tc>
          <w:tcPr>
            <w:tcW w:w="44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23282B"/>
              </w:rPr>
              <w:t>-</w:t>
            </w:r>
          </w:p>
        </w:tc>
        <w:tc>
          <w:tcPr>
            <w:tcW w:w="0" w:type="dxa"/>
            <w:vAlign w:val="bottom"/>
          </w:tcPr>
          <w:p>
            <w:pPr>
              <w:spacing w:after="0"/>
              <w:rPr>
                <w:sz w:val="1"/>
                <w:szCs w:val="1"/>
                <w:color w:val="auto"/>
              </w:rPr>
            </w:pPr>
          </w:p>
        </w:tc>
      </w:tr>
      <w:tr>
        <w:trPr>
          <w:trHeight w:val="48"/>
        </w:trPr>
        <w:tc>
          <w:tcPr>
            <w:tcW w:w="3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4"/>
        </w:trPr>
        <w:tc>
          <w:tcPr>
            <w:tcW w:w="3160" w:type="dxa"/>
            <w:vAlign w:val="bottom"/>
          </w:tcPr>
          <w:p>
            <w:pPr>
              <w:spacing w:after="0"/>
              <w:rPr>
                <w:sz w:val="20"/>
                <w:szCs w:val="20"/>
                <w:color w:val="auto"/>
              </w:rPr>
            </w:pPr>
            <w:r>
              <w:rPr>
                <w:rFonts w:ascii="Arial" w:cs="Arial" w:eastAsia="Arial" w:hAnsi="Arial"/>
                <w:sz w:val="16"/>
                <w:szCs w:val="16"/>
                <w:color w:val="23282B"/>
              </w:rPr>
              <w:t>ADJUSTED EBITDA</w:t>
            </w:r>
          </w:p>
        </w:tc>
        <w:tc>
          <w:tcPr>
            <w:tcW w:w="700" w:type="dxa"/>
            <w:vAlign w:val="bottom"/>
          </w:tcPr>
          <w:p>
            <w:pPr>
              <w:spacing w:after="0"/>
              <w:rPr>
                <w:sz w:val="24"/>
                <w:szCs w:val="24"/>
                <w:color w:val="auto"/>
              </w:rPr>
            </w:pPr>
          </w:p>
        </w:tc>
        <w:tc>
          <w:tcPr>
            <w:tcW w:w="620" w:type="dxa"/>
            <w:vAlign w:val="bottom"/>
          </w:tcPr>
          <w:p>
            <w:pPr>
              <w:jc w:val="right"/>
              <w:ind w:right="122"/>
              <w:spacing w:after="0"/>
              <w:rPr>
                <w:sz w:val="20"/>
                <w:szCs w:val="20"/>
                <w:color w:val="auto"/>
              </w:rPr>
            </w:pPr>
            <w:r>
              <w:rPr>
                <w:rFonts w:ascii="Arial" w:cs="Arial" w:eastAsia="Arial" w:hAnsi="Arial"/>
                <w:sz w:val="16"/>
                <w:szCs w:val="16"/>
                <w:color w:val="23282B"/>
              </w:rPr>
              <w:t>-</w:t>
            </w:r>
          </w:p>
        </w:tc>
        <w:tc>
          <w:tcPr>
            <w:tcW w:w="340" w:type="dxa"/>
            <w:vAlign w:val="bottom"/>
          </w:tcPr>
          <w:p>
            <w:pPr>
              <w:spacing w:after="0"/>
              <w:rPr>
                <w:sz w:val="24"/>
                <w:szCs w:val="24"/>
                <w:color w:val="auto"/>
              </w:rPr>
            </w:pPr>
          </w:p>
        </w:tc>
        <w:tc>
          <w:tcPr>
            <w:tcW w:w="660" w:type="dxa"/>
            <w:vAlign w:val="bottom"/>
          </w:tcPr>
          <w:p>
            <w:pPr>
              <w:jc w:val="right"/>
              <w:ind w:right="142"/>
              <w:spacing w:after="0"/>
              <w:rPr>
                <w:sz w:val="20"/>
                <w:szCs w:val="20"/>
                <w:color w:val="auto"/>
              </w:rPr>
            </w:pPr>
            <w:r>
              <w:rPr>
                <w:rFonts w:ascii="Arial" w:cs="Arial" w:eastAsia="Arial" w:hAnsi="Arial"/>
                <w:sz w:val="16"/>
                <w:szCs w:val="16"/>
                <w:color w:val="23282B"/>
              </w:rPr>
              <w:t>-</w:t>
            </w:r>
          </w:p>
        </w:tc>
        <w:tc>
          <w:tcPr>
            <w:tcW w:w="460" w:type="dxa"/>
            <w:vAlign w:val="bottom"/>
          </w:tcPr>
          <w:p>
            <w:pPr>
              <w:jc w:val="right"/>
              <w:spacing w:after="0"/>
              <w:rPr>
                <w:sz w:val="20"/>
                <w:szCs w:val="20"/>
                <w:color w:val="auto"/>
              </w:rPr>
            </w:pPr>
            <w:r>
              <w:rPr>
                <w:rFonts w:ascii="Arial" w:cs="Arial" w:eastAsia="Arial" w:hAnsi="Arial"/>
                <w:sz w:val="16"/>
                <w:szCs w:val="16"/>
                <w:color w:val="23282B"/>
              </w:rPr>
              <w:t>$</w:t>
            </w:r>
          </w:p>
        </w:tc>
        <w:tc>
          <w:tcPr>
            <w:tcW w:w="620" w:type="dxa"/>
            <w:vAlign w:val="bottom"/>
          </w:tcPr>
          <w:p>
            <w:pPr>
              <w:jc w:val="right"/>
              <w:ind w:right="142"/>
              <w:spacing w:after="0"/>
              <w:rPr>
                <w:sz w:val="20"/>
                <w:szCs w:val="20"/>
                <w:color w:val="auto"/>
              </w:rPr>
            </w:pPr>
            <w:r>
              <w:rPr>
                <w:rFonts w:ascii="Arial" w:cs="Arial" w:eastAsia="Arial" w:hAnsi="Arial"/>
                <w:sz w:val="16"/>
                <w:szCs w:val="16"/>
                <w:color w:val="23282B"/>
              </w:rPr>
              <w:t>31.2</w:t>
            </w:r>
          </w:p>
        </w:tc>
        <w:tc>
          <w:tcPr>
            <w:tcW w:w="440" w:type="dxa"/>
            <w:vAlign w:val="bottom"/>
          </w:tcPr>
          <w:p>
            <w:pPr>
              <w:spacing w:after="0"/>
              <w:rPr>
                <w:sz w:val="24"/>
                <w:szCs w:val="24"/>
                <w:color w:val="auto"/>
              </w:rPr>
            </w:pPr>
          </w:p>
        </w:tc>
        <w:tc>
          <w:tcPr>
            <w:tcW w:w="680" w:type="dxa"/>
            <w:vAlign w:val="bottom"/>
          </w:tcPr>
          <w:p>
            <w:pPr>
              <w:jc w:val="right"/>
              <w:ind w:right="142"/>
              <w:spacing w:after="0"/>
              <w:rPr>
                <w:sz w:val="20"/>
                <w:szCs w:val="20"/>
                <w:color w:val="auto"/>
              </w:rPr>
            </w:pPr>
            <w:r>
              <w:rPr>
                <w:rFonts w:ascii="Arial" w:cs="Arial" w:eastAsia="Arial" w:hAnsi="Arial"/>
                <w:sz w:val="16"/>
                <w:szCs w:val="16"/>
                <w:color w:val="23282B"/>
              </w:rPr>
              <w:t>-</w:t>
            </w:r>
          </w:p>
        </w:tc>
        <w:tc>
          <w:tcPr>
            <w:tcW w:w="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23282B"/>
              </w:rPr>
              <w:t>-</w:t>
            </w:r>
          </w:p>
        </w:tc>
        <w:tc>
          <w:tcPr>
            <w:tcW w:w="0" w:type="dxa"/>
            <w:vAlign w:val="bottom"/>
          </w:tcPr>
          <w:p>
            <w:pPr>
              <w:spacing w:after="0"/>
              <w:rPr>
                <w:sz w:val="1"/>
                <w:szCs w:val="1"/>
                <w:color w:val="auto"/>
              </w:rPr>
            </w:pPr>
          </w:p>
        </w:tc>
      </w:tr>
      <w:tr>
        <w:trPr>
          <w:trHeight w:val="627"/>
        </w:trPr>
        <w:tc>
          <w:tcPr>
            <w:tcW w:w="3160" w:type="dxa"/>
            <w:vAlign w:val="bottom"/>
          </w:tcPr>
          <w:p>
            <w:pPr>
              <w:spacing w:after="0"/>
              <w:rPr>
                <w:sz w:val="20"/>
                <w:szCs w:val="20"/>
                <w:color w:val="auto"/>
              </w:rPr>
            </w:pPr>
            <w:r>
              <w:rPr>
                <w:rFonts w:ascii="Arial" w:cs="Arial" w:eastAsia="Arial" w:hAnsi="Arial"/>
                <w:sz w:val="16"/>
                <w:szCs w:val="16"/>
                <w:color w:val="23282B"/>
              </w:rPr>
              <w:t>EBITDA MARGIN</w:t>
            </w:r>
          </w:p>
        </w:tc>
        <w:tc>
          <w:tcPr>
            <w:tcW w:w="700" w:type="dxa"/>
            <w:vAlign w:val="bottom"/>
          </w:tcPr>
          <w:p>
            <w:pPr>
              <w:spacing w:after="0"/>
              <w:rPr>
                <w:sz w:val="24"/>
                <w:szCs w:val="24"/>
                <w:color w:val="auto"/>
              </w:rPr>
            </w:pPr>
          </w:p>
        </w:tc>
        <w:tc>
          <w:tcPr>
            <w:tcW w:w="620" w:type="dxa"/>
            <w:vAlign w:val="bottom"/>
          </w:tcPr>
          <w:p>
            <w:pPr>
              <w:jc w:val="right"/>
              <w:ind w:right="122"/>
              <w:spacing w:after="0"/>
              <w:rPr>
                <w:sz w:val="20"/>
                <w:szCs w:val="20"/>
                <w:color w:val="auto"/>
              </w:rPr>
            </w:pPr>
            <w:r>
              <w:rPr>
                <w:rFonts w:ascii="Arial" w:cs="Arial" w:eastAsia="Arial" w:hAnsi="Arial"/>
                <w:sz w:val="16"/>
                <w:szCs w:val="16"/>
                <w:color w:val="23282B"/>
              </w:rPr>
              <w:t>6.3%</w:t>
            </w:r>
          </w:p>
        </w:tc>
        <w:tc>
          <w:tcPr>
            <w:tcW w:w="340" w:type="dxa"/>
            <w:vAlign w:val="bottom"/>
          </w:tcPr>
          <w:p>
            <w:pPr>
              <w:spacing w:after="0"/>
              <w:rPr>
                <w:sz w:val="24"/>
                <w:szCs w:val="24"/>
                <w:color w:val="auto"/>
              </w:rPr>
            </w:pPr>
          </w:p>
        </w:tc>
        <w:tc>
          <w:tcPr>
            <w:tcW w:w="660" w:type="dxa"/>
            <w:vAlign w:val="bottom"/>
          </w:tcPr>
          <w:p>
            <w:pPr>
              <w:jc w:val="right"/>
              <w:ind w:right="142"/>
              <w:spacing w:after="0"/>
              <w:rPr>
                <w:sz w:val="20"/>
                <w:szCs w:val="20"/>
                <w:color w:val="auto"/>
              </w:rPr>
            </w:pPr>
            <w:r>
              <w:rPr>
                <w:rFonts w:ascii="Arial" w:cs="Arial" w:eastAsia="Arial" w:hAnsi="Arial"/>
                <w:sz w:val="16"/>
                <w:szCs w:val="16"/>
                <w:color w:val="23282B"/>
              </w:rPr>
              <w:t>8.0%</w:t>
            </w:r>
          </w:p>
        </w:tc>
        <w:tc>
          <w:tcPr>
            <w:tcW w:w="460" w:type="dxa"/>
            <w:vAlign w:val="bottom"/>
          </w:tcPr>
          <w:p>
            <w:pPr>
              <w:spacing w:after="0"/>
              <w:rPr>
                <w:sz w:val="24"/>
                <w:szCs w:val="24"/>
                <w:color w:val="auto"/>
              </w:rPr>
            </w:pPr>
          </w:p>
        </w:tc>
        <w:tc>
          <w:tcPr>
            <w:tcW w:w="620" w:type="dxa"/>
            <w:vAlign w:val="bottom"/>
          </w:tcPr>
          <w:p>
            <w:pPr>
              <w:jc w:val="right"/>
              <w:ind w:right="122"/>
              <w:spacing w:after="0"/>
              <w:rPr>
                <w:sz w:val="20"/>
                <w:szCs w:val="20"/>
                <w:color w:val="auto"/>
              </w:rPr>
            </w:pPr>
            <w:r>
              <w:rPr>
                <w:rFonts w:ascii="Arial" w:cs="Arial" w:eastAsia="Arial" w:hAnsi="Arial"/>
                <w:sz w:val="16"/>
                <w:szCs w:val="16"/>
                <w:color w:val="23282B"/>
              </w:rPr>
              <w:t>2.0%</w:t>
            </w:r>
          </w:p>
        </w:tc>
        <w:tc>
          <w:tcPr>
            <w:tcW w:w="440" w:type="dxa"/>
            <w:vAlign w:val="bottom"/>
          </w:tcPr>
          <w:p>
            <w:pPr>
              <w:spacing w:after="0"/>
              <w:rPr>
                <w:sz w:val="24"/>
                <w:szCs w:val="24"/>
                <w:color w:val="auto"/>
              </w:rPr>
            </w:pPr>
          </w:p>
        </w:tc>
        <w:tc>
          <w:tcPr>
            <w:tcW w:w="680" w:type="dxa"/>
            <w:vAlign w:val="bottom"/>
          </w:tcPr>
          <w:p>
            <w:pPr>
              <w:jc w:val="right"/>
              <w:ind w:right="142"/>
              <w:spacing w:after="0"/>
              <w:rPr>
                <w:sz w:val="20"/>
                <w:szCs w:val="20"/>
                <w:color w:val="auto"/>
              </w:rPr>
            </w:pPr>
            <w:r>
              <w:rPr>
                <w:rFonts w:ascii="Arial" w:cs="Arial" w:eastAsia="Arial" w:hAnsi="Arial"/>
                <w:sz w:val="16"/>
                <w:szCs w:val="16"/>
                <w:color w:val="23282B"/>
              </w:rPr>
              <w:t>7.4%</w:t>
            </w:r>
          </w:p>
        </w:tc>
        <w:tc>
          <w:tcPr>
            <w:tcW w:w="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23282B"/>
              </w:rPr>
              <w:t>2.0%</w:t>
            </w:r>
          </w:p>
        </w:tc>
        <w:tc>
          <w:tcPr>
            <w:tcW w:w="0" w:type="dxa"/>
            <w:vAlign w:val="bottom"/>
          </w:tcPr>
          <w:p>
            <w:pPr>
              <w:spacing w:after="0"/>
              <w:rPr>
                <w:sz w:val="1"/>
                <w:szCs w:val="1"/>
                <w:color w:val="auto"/>
              </w:rPr>
            </w:pPr>
          </w:p>
        </w:tc>
      </w:tr>
      <w:tr>
        <w:trPr>
          <w:trHeight w:val="313"/>
        </w:trPr>
        <w:tc>
          <w:tcPr>
            <w:tcW w:w="3160" w:type="dxa"/>
            <w:vAlign w:val="bottom"/>
          </w:tcPr>
          <w:p>
            <w:pPr>
              <w:spacing w:after="0"/>
              <w:rPr>
                <w:sz w:val="20"/>
                <w:szCs w:val="20"/>
                <w:color w:val="auto"/>
              </w:rPr>
            </w:pPr>
            <w:r>
              <w:rPr>
                <w:rFonts w:ascii="Arial" w:cs="Arial" w:eastAsia="Arial" w:hAnsi="Arial"/>
                <w:sz w:val="16"/>
                <w:szCs w:val="16"/>
                <w:color w:val="23282B"/>
              </w:rPr>
              <w:t>ADJUSTED EDITDA MARGIN</w:t>
            </w: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ind w:right="122"/>
              <w:spacing w:after="0"/>
              <w:rPr>
                <w:sz w:val="20"/>
                <w:szCs w:val="20"/>
                <w:color w:val="auto"/>
              </w:rPr>
            </w:pPr>
            <w:r>
              <w:rPr>
                <w:rFonts w:ascii="Arial" w:cs="Arial" w:eastAsia="Arial" w:hAnsi="Arial"/>
                <w:sz w:val="16"/>
                <w:szCs w:val="16"/>
                <w:color w:val="23282B"/>
              </w:rPr>
              <w:t>7.9%</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73"/>
      </w:cols>
      <w:pgMar w:left="767" w:top="20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2019-12-06T00:41:15Z</dcterms:created>
  <dcterms:modified xsi:type="dcterms:W3CDTF">2019-12-06T00:41:15Z</dcterms:modified>
</cp:coreProperties>
</file>