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8284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28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HOLTZMAN SEYMOUR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12/12/2006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12/12/2006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4,993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3,814,072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12/12/2006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3,813,972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12/12/2006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3,813,872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12/12/2006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3,813,772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12/12/2006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14.1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3,813,572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12/13/2006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12,086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3,801,486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12/13/2006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3,801,186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12/13/2006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14.02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3,801,086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37,437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3,763,649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1,200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3,762,449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1,100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14.02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3,761,349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1,178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3,760,171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3,759,849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3,759,649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14.06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3,759,349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3,759,149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3,759,049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14.1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3,758,549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90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8"/>
              </w:rPr>
              <w:t>The shares were sold pursuant to a pre-arranged stock trading plan pursuant to Rule 10b5-1 under the Exchange Act, which plan was executed on April 17, 2006.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Richard Huffsmith, Attorney-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8"/>
            <w:vMerge w:val="restart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in-Fact for Seymour Holtzman</w:t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12/14/2006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2019-12-16T05:06:15Z</dcterms:created>
  <dcterms:modified xsi:type="dcterms:W3CDTF">2019-12-16T05:06:15Z</dcterms:modified>
</cp:coreProperties>
</file>