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12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250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Molloy Robert 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General Counsel &amp; Secretary</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10/31/2022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10/31/2022</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18,317</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5.04</w:t>
            </w:r>
          </w:p>
        </w:tc>
        <w:tc>
          <w:tcPr>
            <w:tcW w:w="80" w:type="dxa"/>
            <w:vAlign w:val="bottom"/>
          </w:tcPr>
          <w:p>
            <w:pPr>
              <w:spacing w:after="0"/>
              <w:rPr>
                <w:sz w:val="22"/>
                <w:szCs w:val="22"/>
                <w:color w:val="auto"/>
              </w:rPr>
            </w:pPr>
          </w:p>
        </w:tc>
        <w:tc>
          <w:tcPr>
            <w:tcW w:w="12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280,156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10/31/2022</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71,708</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6.6103</w:t>
            </w:r>
            <w:r>
              <w:rPr>
                <w:rFonts w:ascii="Times New Roman" w:cs="Times New Roman" w:eastAsia="Times New Roman" w:hAnsi="Times New Roman"/>
                <w:sz w:val="21"/>
                <w:szCs w:val="21"/>
                <w:color w:val="008000"/>
                <w:w w:val="90"/>
                <w:vertAlign w:val="superscript"/>
              </w:rPr>
              <w:t>(2)</w:t>
            </w:r>
          </w:p>
        </w:tc>
        <w:tc>
          <w:tcPr>
            <w:tcW w:w="124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208,448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5.04</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10/31/2022</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line="204" w:lineRule="exact"/>
              <w:rPr>
                <w:sz w:val="20"/>
                <w:szCs w:val="20"/>
                <w:color w:val="auto"/>
              </w:rPr>
            </w:pPr>
            <w:r>
              <w:rPr>
                <w:rFonts w:ascii="Times New Roman" w:cs="Times New Roman" w:eastAsia="Times New Roman" w:hAnsi="Times New Roman"/>
                <w:sz w:val="13"/>
                <w:szCs w:val="13"/>
                <w:color w:val="0000FF"/>
                <w:w w:val="92"/>
              </w:rPr>
              <w:t>18,317</w:t>
            </w:r>
            <w:r>
              <w:rPr>
                <w:rFonts w:ascii="Times New Roman" w:cs="Times New Roman" w:eastAsia="Times New Roman" w:hAnsi="Times New Roman"/>
                <w:sz w:val="21"/>
                <w:szCs w:val="21"/>
                <w:color w:val="008000"/>
                <w:w w:val="92"/>
                <w:vertAlign w:val="superscript"/>
              </w:rPr>
              <w:t>(3)</w:t>
            </w: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01/31/2015</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05/28/2023</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18,317</w:t>
            </w:r>
          </w:p>
        </w:tc>
        <w:tc>
          <w:tcPr>
            <w:tcW w:w="80" w:type="dxa"/>
            <w:vAlign w:val="bottom"/>
          </w:tcPr>
          <w:p>
            <w:pPr>
              <w:spacing w:after="0"/>
              <w:rPr>
                <w:sz w:val="17"/>
                <w:szCs w:val="17"/>
                <w:color w:val="auto"/>
              </w:rPr>
            </w:pP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5"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that was adopted by the Reporting Person on September 21, 2021 and expired October 31, 2022.</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$6.41 to 6.74,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40" w:right="18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non-qualified stock options to the Reporting Person on May 28, 2013 under the 2013-2016 Long-Term Incentive Plan. The shares subject to time-based vesting became fully vested January 28, 2017.</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Robert S. Molloy</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11/01/2022</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2022-11-01T17:58:31Z</dcterms:created>
  <dcterms:modified xsi:type="dcterms:W3CDTF">2022-11-01T17:58:31Z</dcterms:modified>
</cp:coreProperties>
</file>