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MARCH 24,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letter dated</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March 24,</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Jewelcor Management, Inc. ("JMI")</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provided</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Designs with</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notice of</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JMI's</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intention to nominate six individuals for</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election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Board</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 Directors of</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Designs at the annual meeting of</w:t>
            </w:r>
          </w:p>
        </w:tc>
      </w:tr>
    </w:tbl>
    <w:p>
      <w:pPr>
        <w:spacing w:after="0" w:line="238" w:lineRule="auto"/>
        <w:rPr>
          <w:sz w:val="20"/>
          <w:szCs w:val="20"/>
          <w:color w:val="auto"/>
        </w:rPr>
      </w:pPr>
      <w:r>
        <w:rPr>
          <w:rFonts w:ascii="Courier New" w:cs="Courier New" w:eastAsia="Courier New" w:hAnsi="Courier New"/>
          <w:sz w:val="18"/>
          <w:szCs w:val="18"/>
          <w:color w:val="auto"/>
        </w:rPr>
        <w:t>stockholders to be held in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March 24,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2020-02-22T02:30:18Z</dcterms:created>
  <dcterms:modified xsi:type="dcterms:W3CDTF">2020-02-22T02:30:18Z</dcterms:modified>
</cp:coreProperties>
</file>