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34" w:orient="portrait"/>
          <w:cols w:equalWidth="0" w:num="2">
            <w:col w:w="2380" w:space="240"/>
            <w:col w:w="8860"/>
          </w:cols>
          <w:pgMar w:left="240" w:top="226" w:right="17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20" w:type="dxa"/>
            <w:vAlign w:val="bottom"/>
            <w:gridSpan w:val="15"/>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vMerge w:val="restart"/>
          </w:tcPr>
          <w:p>
            <w:pPr>
              <w:ind w:left="2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4"/>
                <w:szCs w:val="4"/>
                <w:color w:val="auto"/>
              </w:rPr>
            </w:pP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w w:val="97"/>
              </w:rPr>
              <w:t>C/O RED MOUNTAIN CAPITAL</w:t>
            </w:r>
          </w:p>
        </w:tc>
        <w:tc>
          <w:tcPr>
            <w:tcW w:w="1200" w:type="dxa"/>
            <w:vAlign w:val="bottom"/>
          </w:tcPr>
          <w:p>
            <w:pPr>
              <w:spacing w:after="0"/>
              <w:rPr>
                <w:sz w:val="18"/>
                <w:szCs w:val="18"/>
                <w:color w:val="auto"/>
              </w:rPr>
            </w:pPr>
          </w:p>
        </w:tc>
        <w:tc>
          <w:tcPr>
            <w:tcW w:w="1580" w:type="dxa"/>
            <w:vAlign w:val="bottom"/>
            <w:gridSpan w:val="7"/>
          </w:tcPr>
          <w:p>
            <w:pPr>
              <w:ind w:left="240"/>
              <w:spacing w:after="0"/>
              <w:rPr>
                <w:sz w:val="20"/>
                <w:szCs w:val="20"/>
                <w:color w:val="auto"/>
              </w:rPr>
            </w:pPr>
            <w:r>
              <w:rPr>
                <w:rFonts w:ascii="Arial" w:cs="Arial" w:eastAsia="Arial" w:hAnsi="Arial"/>
                <w:sz w:val="18"/>
                <w:szCs w:val="18"/>
                <w:color w:val="0000FF"/>
              </w:rPr>
              <w:t>04/30/2018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5"/>
          </w:tcPr>
          <w:p>
            <w:pPr>
              <w:spacing w:after="0" w:line="198" w:lineRule="exact"/>
              <w:rPr>
                <w:sz w:val="20"/>
                <w:szCs w:val="20"/>
                <w:color w:val="auto"/>
              </w:rPr>
            </w:pPr>
            <w:r>
              <w:rPr>
                <w:rFonts w:ascii="Arial" w:cs="Arial" w:eastAsia="Arial" w:hAnsi="Arial"/>
                <w:sz w:val="18"/>
                <w:szCs w:val="18"/>
                <w:color w:val="0000FF"/>
                <w:w w:val="99"/>
              </w:rPr>
              <w:t>10100 SANTA MONICA BOULEVARD, SUITE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2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17"/>
                <w:szCs w:val="17"/>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6"/>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4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7"/>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7,966,369</w:t>
            </w:r>
            <w:r>
              <w:rPr>
                <w:rFonts w:ascii="Arial" w:cs="Arial" w:eastAsia="Arial" w:hAnsi="Arial"/>
                <w:sz w:val="22"/>
                <w:szCs w:val="22"/>
                <w:color w:val="008000"/>
                <w:vertAlign w:val="superscript"/>
              </w:rPr>
              <w:t>(1)</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12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9"/>
          </w:tcPr>
          <w:p>
            <w:pPr>
              <w:ind w:left="6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7"/>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04/30/2018</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0000FF"/>
                <w:w w:val="88"/>
              </w:rPr>
              <w:t>04/30/2018</w:t>
            </w:r>
          </w:p>
        </w:tc>
        <w:tc>
          <w:tcPr>
            <w:tcW w:w="80" w:type="dxa"/>
            <w:vAlign w:val="bottom"/>
          </w:tcPr>
          <w:p>
            <w:pPr>
              <w:spacing w:after="0"/>
              <w:rPr>
                <w:sz w:val="16"/>
                <w:szCs w:val="16"/>
                <w:color w:val="auto"/>
              </w:rPr>
            </w:pPr>
          </w:p>
        </w:tc>
        <w:tc>
          <w:tcPr>
            <w:tcW w:w="660" w:type="dxa"/>
            <w:vAlign w:val="bottom"/>
            <w:gridSpan w:val="5"/>
            <w:vMerge w:val="restart"/>
          </w:tcPr>
          <w:p>
            <w:pPr>
              <w:ind w:left="80"/>
              <w:spacing w:after="0"/>
              <w:rPr>
                <w:sz w:val="20"/>
                <w:szCs w:val="20"/>
                <w:color w:val="auto"/>
              </w:rPr>
            </w:pPr>
            <w:r>
              <w:rPr>
                <w:rFonts w:ascii="Arial" w:cs="Arial" w:eastAsia="Arial" w:hAnsi="Arial"/>
                <w:sz w:val="14"/>
                <w:szCs w:val="14"/>
                <w:color w:val="0000FF"/>
              </w:rPr>
              <w:t>A</w:t>
            </w: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882</w:t>
            </w: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882</w:t>
            </w:r>
          </w:p>
        </w:tc>
        <w:tc>
          <w:tcPr>
            <w:tcW w:w="200" w:type="dxa"/>
            <w:vAlign w:val="bottom"/>
          </w:tcPr>
          <w:p>
            <w:pPr>
              <w:spacing w:after="0"/>
              <w:rPr>
                <w:sz w:val="16"/>
                <w:szCs w:val="16"/>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w:t>
            </w:r>
          </w:p>
        </w:tc>
        <w:tc>
          <w:tcPr>
            <w:tcW w:w="680" w:type="dxa"/>
            <w:vAlign w:val="bottom"/>
            <w:vMerge w:val="restart"/>
          </w:tcPr>
          <w:p>
            <w:pPr>
              <w:ind w:left="320"/>
              <w:spacing w:after="0"/>
              <w:rPr>
                <w:sz w:val="20"/>
                <w:szCs w:val="20"/>
                <w:color w:val="auto"/>
              </w:rPr>
            </w:pPr>
            <w:r>
              <w:rPr>
                <w:rFonts w:ascii="Arial" w:cs="Arial" w:eastAsia="Arial" w:hAnsi="Arial"/>
                <w:sz w:val="14"/>
                <w:szCs w:val="14"/>
                <w:color w:val="0000FF"/>
              </w:rPr>
              <w:t>882</w:t>
            </w:r>
          </w:p>
        </w:tc>
        <w:tc>
          <w:tcPr>
            <w:tcW w:w="960" w:type="dxa"/>
            <w:vAlign w:val="bottom"/>
            <w:vMerge w:val="restart"/>
          </w:tcPr>
          <w:p>
            <w:pPr>
              <w:ind w:left="5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Stock</w:t>
            </w:r>
            <w:r>
              <w:rPr>
                <w:rFonts w:ascii="Arial" w:cs="Arial" w:eastAsia="Arial" w:hAnsi="Arial"/>
                <w:sz w:val="22"/>
                <w:szCs w:val="22"/>
                <w:color w:val="008000"/>
                <w:vertAlign w:val="superscript"/>
              </w:rPr>
              <w:t>(2)</w:t>
            </w:r>
          </w:p>
        </w:tc>
        <w:tc>
          <w:tcPr>
            <w:tcW w:w="78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5"/>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gridSpan w:val="2"/>
            <w:vMerge w:val="continue"/>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vMerge w:val="continue"/>
          </w:tcPr>
          <w:p>
            <w:pPr>
              <w:spacing w:after="0"/>
              <w:rPr>
                <w:sz w:val="15"/>
                <w:szCs w:val="15"/>
                <w:color w:val="auto"/>
              </w:rPr>
            </w:pPr>
          </w:p>
        </w:tc>
        <w:tc>
          <w:tcPr>
            <w:tcW w:w="540" w:type="dxa"/>
            <w:vAlign w:val="bottom"/>
            <w:tcBorders>
              <w:bottom w:val="single" w:sz="8" w:color="2C2C2C"/>
            </w:tcBorders>
            <w:gridSpan w:val="2"/>
            <w:vMerge w:val="continue"/>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C/O RED MOUNTAIN CAPITAL MANAGEMENT, INC</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10100 SANTA MONICA BOULEVARD, SUITE 925</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-5688965</wp:posOffset>
            </wp:positionV>
            <wp:extent cx="42545" cy="2134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2134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1480"/>
          </w:cols>
          <w:pgMar w:left="240" w:top="226" w:right="17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5415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175" cy="5415280"/>
                    </a:xfrm>
                    <a:prstGeom prst="rect">
                      <a:avLst/>
                    </a:prstGeom>
                    <a:noFill/>
                  </pic:spPr>
                </pic:pic>
              </a:graphicData>
            </a:graphic>
          </wp:anchor>
        </w:drawing>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69"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444,015 shares are held directly by RMCP LLC. This Form 4 is jointly filed by (i) RMP, (ii) RMCP GP, (iii) RMCP LLC, (iv)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65" w:lineRule="exact"/>
        <w:rPr>
          <w:rFonts w:ascii="Arial" w:cs="Arial" w:eastAsia="Arial" w:hAnsi="Arial"/>
          <w:sz w:val="12"/>
          <w:szCs w:val="12"/>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participation in meetings of the Board of Directors and/or its committees.</w:t>
      </w:r>
    </w:p>
    <w:p>
      <w:pPr>
        <w:spacing w:after="0" w:line="41" w:lineRule="exact"/>
        <w:rPr>
          <w:rFonts w:ascii="Arial" w:cs="Arial" w:eastAsia="Arial" w:hAnsi="Arial"/>
          <w:sz w:val="14"/>
          <w:szCs w:val="14"/>
          <w:color w:val="008000"/>
        </w:rPr>
      </w:pPr>
    </w:p>
    <w:p>
      <w:pPr>
        <w:ind w:right="40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Third Amended and Restated Non-Employee Director Compensation Plan.</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Third Amended and Restated Non-Employee Director Compensation Plan.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05/02/2018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588"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2019-12-27T10:04:30Z</dcterms:created>
  <dcterms:modified xsi:type="dcterms:W3CDTF">2019-12-27T10:04:30Z</dcterms:modified>
</cp:coreProperties>
</file>