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333-112598</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 NO. 5</w:t>
      </w:r>
    </w:p>
    <w:p>
      <w:pPr>
        <w:spacing w:after="0" w:line="238" w:lineRule="auto"/>
        <w:rPr>
          <w:sz w:val="20"/>
          <w:szCs w:val="20"/>
          <w:color w:val="auto"/>
        </w:rPr>
      </w:pPr>
      <w:r>
        <w:rPr>
          <w:rFonts w:ascii="Courier New" w:cs="Courier New" w:eastAsia="Courier New" w:hAnsi="Courier New"/>
          <w:sz w:val="18"/>
          <w:szCs w:val="18"/>
          <w:color w:val="auto"/>
        </w:rPr>
        <w:t>TO PROSPECTUS DATED APRIL 21, 2004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$100,000,000 Principal Amount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5% Convertible Subordinated Notes Due 2024</w:t>
      </w:r>
    </w:p>
    <w:p>
      <w:pPr>
        <w:jc w:val="center"/>
        <w:ind w:right="165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7" w:lineRule="auto"/>
        <w:rPr>
          <w:sz w:val="20"/>
          <w:szCs w:val="20"/>
          <w:color w:val="auto"/>
        </w:rPr>
      </w:pPr>
      <w:r>
        <w:rPr>
          <w:rFonts w:ascii="Courier New" w:cs="Courier New" w:eastAsia="Courier New" w:hAnsi="Courier New"/>
          <w:sz w:val="18"/>
          <w:szCs w:val="18"/>
          <w:color w:val="auto"/>
        </w:rPr>
        <w:t>Shares of Common Stock Issuable Upon Conversion of the Notes</w:t>
      </w:r>
    </w:p>
    <w:p>
      <w:pPr>
        <w:ind w:left="3380"/>
        <w:spacing w:after="0" w:line="238" w:lineRule="auto"/>
        <w:rPr>
          <w:sz w:val="20"/>
          <w:szCs w:val="20"/>
          <w:color w:val="auto"/>
        </w:rPr>
      </w:pPr>
      <w:r>
        <w:rPr>
          <w:rFonts w:ascii="Courier New" w:cs="Courier New" w:eastAsia="Courier New" w:hAnsi="Courier New"/>
          <w:sz w:val="18"/>
          <w:szCs w:val="18"/>
          <w:color w:val="auto"/>
        </w:rPr>
        <w:t>_________________</w:t>
      </w:r>
    </w:p>
    <w:p>
      <w:pPr>
        <w:spacing w:after="0" w:line="208" w:lineRule="exact"/>
        <w:rPr>
          <w:sz w:val="24"/>
          <w:szCs w:val="24"/>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the selling securityholders (including their transferees, pledgees or donees or their successors) of up to $100 million aggregate principal amount of 5% Convertible Subordinated Notes due 2024 issued by Casual Male Retail Group, Inc. and the shares of common stock issuable upon conversion of the notes.</w:t>
      </w:r>
    </w:p>
    <w:p>
      <w:pPr>
        <w:spacing w:after="0" w:line="209"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prospectus supplement should be read in conjunction with the prospectus dated April 21, 2004, which is to be delivered with this prospectus supplement, and this prospectus supplement is qualified by reference to the prospectus, except to the extent that the information in this prospectus supplement supercedes the information contained in the prospectus. This prospectus supplement is not complete without, and may not be delivered or utilized except in connection with, the prospectus, including any amendments or supplements to it.</w:t>
      </w:r>
    </w:p>
    <w:p>
      <w:pPr>
        <w:spacing w:after="0" w:line="212" w:lineRule="exact"/>
        <w:rPr>
          <w:sz w:val="24"/>
          <w:szCs w:val="24"/>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Investing in the notes or the common stock offered by the prospectus involves risks that are described in the "Risk Factors" section beginning on page 8 of the prospectus.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_________________</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Neither the Securities and Exchange Commission, any state securities commission nor any other regulatory body has approved or disapproved of these securities or determined if this prospectus supplement is truthful or complete. Any representation to the contrary is a criminal offense.</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The date of this prospectus supplement is December 14, 2004.</w:t>
      </w:r>
    </w:p>
    <w:p>
      <w:pPr>
        <w:spacing w:after="0" w:line="207" w:lineRule="exact"/>
        <w:rPr>
          <w:sz w:val="24"/>
          <w:szCs w:val="24"/>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The information in the table appearing under the heading "Selling Securityholders" beginning on page 46 of the prospectus is amended by adding the information below with respect</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to persons not previously listed in the prospectus, and by superceding the information with respect to persons listed in the prospectus that are listed below.</w:t>
      </w:r>
    </w:p>
    <w:p>
      <w:pPr>
        <w:spacing w:after="0" w:line="209" w:lineRule="exact"/>
        <w:rPr>
          <w:sz w:val="24"/>
          <w:szCs w:val="24"/>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following table sets forth certain information as of October 25, 2004,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Other</w:t>
            </w:r>
          </w:p>
        </w:tc>
        <w:tc>
          <w:tcPr>
            <w:tcW w:w="16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of</w:t>
            </w:r>
          </w:p>
        </w:tc>
        <w:tc>
          <w:tcPr>
            <w:tcW w:w="16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c>
          <w:tcPr>
            <w:tcW w:w="16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c>
          <w:tcPr>
            <w:tcW w:w="16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of</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46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w:t>
            </w:r>
          </w:p>
        </w:tc>
        <w:tc>
          <w:tcPr>
            <w:tcW w:w="16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Principal</w:t>
            </w:r>
          </w:p>
        </w:tc>
        <w:tc>
          <w:tcPr>
            <w:tcW w:w="146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Before the</w:t>
            </w:r>
          </w:p>
        </w:tc>
        <w:tc>
          <w:tcPr>
            <w:tcW w:w="16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 of</w:t>
            </w:r>
          </w:p>
        </w:tc>
        <w:tc>
          <w:tcPr>
            <w:tcW w:w="146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Issuable</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and</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Percentage of</w:t>
            </w:r>
          </w:p>
        </w:tc>
      </w:tr>
      <w:tr>
        <w:trPr>
          <w:trHeight w:val="203"/>
        </w:trPr>
        <w:tc>
          <w:tcPr>
            <w:tcW w:w="322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Notes</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Percentage</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Upon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Assumed to</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322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Beneficially</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Notes</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 Owned</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322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Owned and</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 Notes</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Following</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Offered</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 Offer</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Alexandra Global Master</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Fund Ltd. (1)</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6,450,000</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6.5%</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605,655</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Coastal Convertibles Ltd. (2)</w:t>
            </w:r>
          </w:p>
        </w:tc>
        <w:tc>
          <w:tcPr>
            <w:tcW w:w="1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1,000,000</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93,900</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4" w:lineRule="exact"/>
        <w:rPr>
          <w:sz w:val="20"/>
          <w:szCs w:val="20"/>
          <w:color w:val="auto"/>
        </w:rPr>
      </w:pPr>
    </w:p>
    <w:p>
      <w:pPr>
        <w:ind w:left="640" w:right="2940"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Alexandra Investment Management, LLC, a Delaware limited liability company ("Alexandra") serves as investment advisor to Alexandra Global Master Fund Ltd. Messrs. Mikhail A. Filimonov and Dimitri Sogoloff are managing members of Alexandra. By reason of such relationships, Alexandra and Messrs. Filimonov and Sogoloff may be deemed to share dispositive power or investment control over the shares of common stock stated as beneficially owned by Alexandra Global Master Fund Ltd. Alexandra and Messrs. Filimonov and Sogoloff disclaims beneficial ownership of such shares of common stock.</w:t>
      </w:r>
    </w:p>
    <w:p>
      <w:pPr>
        <w:spacing w:after="0" w:line="213" w:lineRule="exact"/>
        <w:rPr>
          <w:rFonts w:ascii="Courier New" w:cs="Courier New" w:eastAsia="Courier New" w:hAnsi="Courier New"/>
          <w:sz w:val="18"/>
          <w:szCs w:val="18"/>
          <w:color w:val="auto"/>
        </w:rPr>
      </w:pPr>
    </w:p>
    <w:p>
      <w:pPr>
        <w:ind w:left="640" w:right="3040"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Harbor Capital Management LLC is the investment advisor to Coastal Convertibles Ltd. with respect to the securities listed on the table. Jay Lurie and Elliot Sloyer exercise voting and investment power over such securities on behalf of Harbor Capital Management LLC. Tradewind Fund 1 L.P. and Zephyr Fund Ltd. are the controlling shareholders of Coastal Convertibles Ltd.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1380"/>
          </w:cols>
          <w:pgMar w:left="240" w:top="946"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Other</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of</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of</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Aggregate</w:t>
            </w:r>
          </w:p>
        </w:tc>
        <w:tc>
          <w:tcPr>
            <w:tcW w:w="146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w:t>
            </w:r>
          </w:p>
        </w:tc>
        <w:tc>
          <w:tcPr>
            <w:tcW w:w="146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Before the</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Amount of</w:t>
            </w:r>
          </w:p>
        </w:tc>
        <w:tc>
          <w:tcPr>
            <w:tcW w:w="1460" w:type="dxa"/>
            <w:vAlign w:val="bottom"/>
          </w:tcPr>
          <w:p>
            <w:pPr>
              <w:spacing w:after="0"/>
              <w:rPr>
                <w:sz w:val="17"/>
                <w:szCs w:val="17"/>
                <w:color w:val="auto"/>
              </w:rPr>
            </w:pP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Issuable</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and</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Percentage of</w:t>
            </w:r>
          </w:p>
        </w:tc>
      </w:tr>
      <w:tr>
        <w:trPr>
          <w:trHeight w:val="203"/>
        </w:trPr>
        <w:tc>
          <w:tcPr>
            <w:tcW w:w="3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Notes</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Percentage</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Upon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Assumed to</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3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Beneficially</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Notes</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 Owned</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328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and</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 Notes</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Following</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Offered</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the Offer</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S.A.C. Arbitrage Fund, LLC (3)</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2,700,000</w:t>
            </w: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2.7%</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rPr>
              <w:t>253,530</w:t>
            </w:r>
          </w:p>
        </w:tc>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None</w:t>
            </w:r>
          </w:p>
        </w:tc>
        <w:tc>
          <w:tcPr>
            <w:tcW w:w="168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r>
      <w:tr>
        <w:trPr>
          <w:trHeight w:val="810"/>
        </w:trPr>
        <w:tc>
          <w:tcPr>
            <w:tcW w:w="32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selling securityholders may be identified at a later date.</w:t>
      </w:r>
    </w:p>
    <w:p>
      <w:pPr>
        <w:spacing w:after="0" w:line="207" w:lineRule="exact"/>
        <w:rPr>
          <w:rFonts w:ascii="Courier New" w:cs="Courier New" w:eastAsia="Courier New" w:hAnsi="Courier New"/>
          <w:sz w:val="18"/>
          <w:szCs w:val="18"/>
          <w:color w:val="auto"/>
        </w:rPr>
      </w:pPr>
    </w:p>
    <w:p>
      <w:pPr>
        <w:ind w:left="640" w:right="304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selling securityholders are, or are affiliates of, registered broker-dealers. These selling securityholders have represented that 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216" w:lineRule="exact"/>
        <w:rPr>
          <w:sz w:val="20"/>
          <w:szCs w:val="20"/>
          <w:color w:val="auto"/>
        </w:rPr>
      </w:pPr>
    </w:p>
    <w:p>
      <w:pPr>
        <w:ind w:left="640" w:right="3680"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noted, none of these selling securityholders would beneficially own 1% or more of the outstanding Notes.</w:t>
      </w:r>
    </w:p>
    <w:p>
      <w:pPr>
        <w:spacing w:after="0" w:line="208" w:lineRule="exact"/>
        <w:rPr>
          <w:rFonts w:ascii="Courier New" w:cs="Courier New" w:eastAsia="Courier New" w:hAnsi="Courier New"/>
          <w:sz w:val="18"/>
          <w:szCs w:val="18"/>
          <w:color w:val="auto"/>
        </w:rPr>
      </w:pPr>
    </w:p>
    <w:p>
      <w:pPr>
        <w:ind w:left="640" w:right="2940" w:hanging="632"/>
        <w:spacing w:after="0" w:line="237"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2940" w:hanging="632"/>
        <w:spacing w:after="0" w:line="271"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investment agreements, each of S.A.C. Capital Advisors, LLC, a Delaware limited liability company ("SAC Capital Advisors") and S.A.C. Capital Management, LLC, a Delaware limited liability company ("SAC Capital Management") share all investment and voting power with respect to the securities held by SAC Arbitrage Fund. Mr. Steven A. Cohen controls both SAC Capital Advisors and SAC Capital Management. Each of SAC Capital Advisors, SAC Capital Management and Mr. Cohen disclaim beneficial ownership of any of the securities listed in this prospectus supplement.</w:t>
      </w: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380"/>
          </w:cols>
          <w:pgMar w:left="240" w:top="1325" w:right="279" w:bottom="1440" w:gutter="0" w:footer="0" w:header="0"/>
        </w:sectPr>
      </w:pPr>
    </w:p>
    <w:bookmarkStart w:id="3" w:name="page4"/>
    <w:bookmarkEnd w:id="3"/>
    <w:p>
      <w:pPr>
        <w:ind w:left="632" w:right="2739"/>
        <w:spacing w:after="0" w:line="235" w:lineRule="auto"/>
        <w:rPr>
          <w:sz w:val="20"/>
          <w:szCs w:val="20"/>
          <w:color w:val="auto"/>
        </w:rPr>
      </w:pPr>
      <w:r>
        <w:rPr>
          <w:rFonts w:ascii="Courier New" w:cs="Courier New" w:eastAsia="Courier New" w:hAnsi="Courier New"/>
          <w:sz w:val="18"/>
          <w:szCs w:val="18"/>
          <w:color w:val="auto"/>
        </w:rPr>
        <w:t>amount resulting from conversion of the notes, as described under "Description of Notes--Conversion."</w:t>
      </w:r>
    </w:p>
    <w:p>
      <w:pPr>
        <w:spacing w:after="0" w:line="208" w:lineRule="exact"/>
        <w:rPr>
          <w:sz w:val="20"/>
          <w:szCs w:val="20"/>
          <w:color w:val="auto"/>
        </w:rPr>
      </w:pPr>
    </w:p>
    <w:p>
      <w:pPr>
        <w:jc w:val="both"/>
        <w:ind w:left="632" w:right="1779" w:hanging="632"/>
        <w:spacing w:after="0" w:line="279" w:lineRule="auto"/>
        <w:tabs>
          <w:tab w:leader="none" w:pos="6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35,073,153 outstanding shares of CMRG as of January 31, 2004, none of these selling securityholders would beneficially own 1% or more of the outstanding shares following the sale of securities in the offering.</w:t>
      </w:r>
    </w:p>
    <w:p>
      <w:pPr>
        <w:spacing w:after="0" w:line="200" w:lineRule="exact"/>
        <w:rPr>
          <w:sz w:val="20"/>
          <w:szCs w:val="20"/>
          <w:color w:val="auto"/>
        </w:rPr>
      </w:pPr>
    </w:p>
    <w:p>
      <w:pPr>
        <w:spacing w:after="0" w:line="37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1"/>
      </w:cols>
      <w:pgMar w:left="248"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2019-12-20T01:06:33Z</dcterms:created>
  <dcterms:modified xsi:type="dcterms:W3CDTF">2019-12-20T01:06:33Z</dcterms:modified>
</cp:coreProperties>
</file>