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44)*</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29, 2003</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4"/>
          <w:szCs w:val="24"/>
          <w:color w:val="auto"/>
        </w:rPr>
      </w:pPr>
    </w:p>
    <w:p>
      <w:pPr>
        <w:ind w:left="860" w:right="589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ectPr>
          <w:pgSz w:w="11900" w:h="16855"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rPr>
                <w:sz w:val="20"/>
                <w:szCs w:val="20"/>
                <w:color w:val="auto"/>
              </w:rPr>
            </w:pPr>
            <w:r>
              <w:rPr>
                <w:rFonts w:ascii="Courier New" w:cs="Courier New" w:eastAsia="Courier New" w:hAnsi="Courier New"/>
                <w:sz w:val="18"/>
                <w:szCs w:val="18"/>
                <w:color w:val="auto"/>
              </w:rPr>
              <w:t>4,026,859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4,026,859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4,026,859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11.3%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Nevada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3,884,094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3,884,094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3,884,094</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10.9%</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149"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39"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jc w:val="both"/>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now located at 555 Turnpike Street, Canton, Massachusetts 02021.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0" w:lineRule="exact"/>
        <w:rPr>
          <w:sz w:val="20"/>
          <w:szCs w:val="20"/>
          <w:color w:val="auto"/>
        </w:rPr>
      </w:pPr>
    </w:p>
    <w:p>
      <w:pPr>
        <w:spacing w:after="0" w:line="209"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On February 19, 2003 Jewelcor Management, Inc. ("JMI") purchased 250,000 shares of Common Stock at a cost of $2.40 per share for a total cost (exluding commissions) of $600,000.00, on February 21, 2003, JMI purchased 200 shares of Common Stock at a cost of $2.14 per share for a total cost (excluding commissions) of $428.00,</w:t>
      </w:r>
    </w:p>
    <w:p>
      <w:pPr>
        <w:spacing w:after="0" w:line="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in each case from funds borrowed by JMI against its margin account with Bear Stearns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 ("CMRG") and Jewelcor Management, Inc.,</w:t>
      </w:r>
    </w:p>
    <w:p>
      <w:pPr>
        <w:spacing w:after="0" w:line="238" w:lineRule="auto"/>
        <w:rPr>
          <w:sz w:val="20"/>
          <w:szCs w:val="20"/>
          <w:color w:val="auto"/>
        </w:rPr>
      </w:pPr>
      <w:r>
        <w:rPr>
          <w:rFonts w:ascii="Courier New" w:cs="Courier New" w:eastAsia="Courier New" w:hAnsi="Courier New"/>
          <w:sz w:val="18"/>
          <w:szCs w:val="18"/>
          <w:color w:val="auto"/>
        </w:rPr>
        <w:t>entered into an amendment to Consulting Agreement ("Amendment")</w:t>
      </w:r>
    </w:p>
    <w:p>
      <w:pPr>
        <w:spacing w:after="0"/>
        <w:rPr>
          <w:sz w:val="20"/>
          <w:szCs w:val="20"/>
          <w:color w:val="auto"/>
        </w:rPr>
      </w:pPr>
      <w:r>
        <w:rPr>
          <w:rFonts w:ascii="Courier New" w:cs="Courier New" w:eastAsia="Courier New" w:hAnsi="Courier New"/>
          <w:sz w:val="18"/>
          <w:szCs w:val="18"/>
          <w:color w:val="auto"/>
        </w:rPr>
        <w:t>dated as of April 29, 2003 (exhibit 3). The Amendment amends,</w:t>
      </w:r>
    </w:p>
    <w:p>
      <w:pPr>
        <w:spacing w:after="0" w:line="237" w:lineRule="auto"/>
        <w:rPr>
          <w:sz w:val="20"/>
          <w:szCs w:val="20"/>
          <w:color w:val="auto"/>
        </w:rPr>
      </w:pPr>
      <w:r>
        <w:rPr>
          <w:rFonts w:ascii="Courier New" w:cs="Courier New" w:eastAsia="Courier New" w:hAnsi="Courier New"/>
          <w:sz w:val="18"/>
          <w:szCs w:val="18"/>
          <w:color w:val="auto"/>
        </w:rPr>
        <w:t>modifies and/ or restates that certain Consulting Agreement between CMRG</w:t>
      </w:r>
    </w:p>
    <w:p>
      <w:pPr>
        <w:spacing w:after="0" w:line="238" w:lineRule="auto"/>
        <w:rPr>
          <w:sz w:val="20"/>
          <w:szCs w:val="20"/>
          <w:color w:val="auto"/>
        </w:rPr>
      </w:pPr>
      <w:r>
        <w:rPr>
          <w:rFonts w:ascii="Courier New" w:cs="Courier New" w:eastAsia="Courier New" w:hAnsi="Courier New"/>
          <w:sz w:val="18"/>
          <w:szCs w:val="18"/>
          <w:color w:val="auto"/>
        </w:rPr>
        <w:t>(formerly Designs, Inc.) and JMI dated as of April 29, 2000, as</w:t>
      </w:r>
    </w:p>
    <w:p>
      <w:pPr>
        <w:spacing w:after="0"/>
        <w:rPr>
          <w:sz w:val="20"/>
          <w:szCs w:val="20"/>
          <w:color w:val="auto"/>
        </w:rPr>
      </w:pPr>
      <w:r>
        <w:rPr>
          <w:rFonts w:ascii="Courier New" w:cs="Courier New" w:eastAsia="Courier New" w:hAnsi="Courier New"/>
          <w:sz w:val="18"/>
          <w:szCs w:val="18"/>
          <w:color w:val="auto"/>
        </w:rPr>
        <w:t>amended by the Letter Agreement dated April 28, 2001 and by the Letter</w:t>
      </w:r>
    </w:p>
    <w:p>
      <w:pPr>
        <w:spacing w:after="0" w:line="237" w:lineRule="auto"/>
        <w:rPr>
          <w:sz w:val="20"/>
          <w:szCs w:val="20"/>
          <w:color w:val="auto"/>
        </w:rPr>
      </w:pPr>
      <w:r>
        <w:rPr>
          <w:rFonts w:ascii="Courier New" w:cs="Courier New" w:eastAsia="Courier New" w:hAnsi="Courier New"/>
          <w:sz w:val="18"/>
          <w:szCs w:val="18"/>
          <w:color w:val="auto"/>
        </w:rPr>
        <w:t>Agreement dated as of April 28, 2002 (hereafter the "Agreement").</w:t>
      </w:r>
    </w:p>
    <w:p>
      <w:pPr>
        <w:spacing w:after="0" w:line="5"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The Amendment extends the term of the Agreement for an additional three year period commencing on April 29, 2003 and ending on April 28, 2006. The Amendment will automatically be extended for an additional one year term on each anniversary date of the Agreement unless either party should give the other at least niney days written notice prior to such anniversary date of their intention to terminate the Agreement. Under the terms of the Agreement, JMI will receive as annual compensation $276,000 payable in non-forfeitable, fully paid and non-assessable shares of common stock valued as of the last closing price of CMRG immediately preceding the commencement date of April 29, 2003, and on each anniversary date thereafter during the term of the Agreement. JMI received 70,769 common shares as of April 29, 2003 as compensation under the terms of the Agreement. JMI will also receive reimbursement of actual and direct out-of-pocket expenses incurred by it in rendering the services under the Consulting Agreement.</w:t>
      </w:r>
    </w:p>
    <w:p>
      <w:pPr>
        <w:spacing w:after="0" w:line="208"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On April 28, 2003, options to purchase 5,000 shares of common stock granted to Seymour Holtzman on April 28, 2000, vested and became exercisable.</w:t>
      </w: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Seymour Holtzman and Evelyn Holtzman have resigned as custodians for accounts of Chelsea Holtzman, Percy Holtzman, Rivers Holtzman, Temple Holtzman, Olivia Garcia and Sterling Garcia and no longer shares voting power or shared dispositive power with respect to 30,000 shares of the Company's common stock with respect to the above named grandchildren. These shares will no longer be included in any future filings.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As of May 7, 2003, JMI beneficially owns an aggregate of 3,884,094 shares of Common Stock. Based upon the Company's Form 10-K filed on May 5, 2003 which indicates that there are 35,744,921</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shares of Common Stock outstanding, JMI beneficially owns approximately 10.9% of said outstanding shares.</w:t>
      </w:r>
    </w:p>
    <w:p>
      <w:pPr>
        <w:sectPr>
          <w:pgSz w:w="11900" w:h="16838" w:orient="portrait"/>
          <w:cols w:equalWidth="0" w:num="1">
            <w:col w:w="10219"/>
          </w:cols>
          <w:pgMar w:left="240" w:top="136" w:right="1440" w:bottom="0" w:gutter="0" w:footer="0" w:header="0"/>
        </w:sectPr>
      </w:pPr>
    </w:p>
    <w:bookmarkStart w:id="5" w:name="page6"/>
    <w:bookmarkEnd w:id="5"/>
    <w:p>
      <w:pPr>
        <w:ind w:right="2319" w:firstLine="843"/>
        <w:spacing w:after="0" w:line="237" w:lineRule="auto"/>
        <w:rPr>
          <w:sz w:val="20"/>
          <w:szCs w:val="20"/>
          <w:color w:val="auto"/>
        </w:rPr>
      </w:pPr>
      <w:r>
        <w:rPr>
          <w:rFonts w:ascii="Courier New" w:cs="Courier New" w:eastAsia="Courier New" w:hAnsi="Courier New"/>
          <w:sz w:val="18"/>
          <w:szCs w:val="18"/>
          <w:color w:val="auto"/>
        </w:rPr>
        <w:t>As of May 7, 2003, the Reporting Persons collectivelly beneficially own an aggregate of 4,026,859 shares of Common Stock which, based on 35,744,921 shares of Common Stock outstanding, represents approximately 11.3% of said outstanding shares.</w:t>
      </w:r>
    </w:p>
    <w:p>
      <w:pPr>
        <w:spacing w:after="0" w:line="207" w:lineRule="exact"/>
        <w:rPr>
          <w:sz w:val="20"/>
          <w:szCs w:val="20"/>
          <w:color w:val="auto"/>
        </w:rPr>
      </w:pPr>
    </w:p>
    <w:p>
      <w:pPr>
        <w:ind w:right="19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 Letter Agreement extending the JMI Consulting Agreement with</w:t>
      </w:r>
    </w:p>
    <w:p>
      <w:pPr>
        <w:ind w:left="1380"/>
        <w:spacing w:after="0" w:line="238" w:lineRule="auto"/>
        <w:rPr>
          <w:sz w:val="20"/>
          <w:szCs w:val="20"/>
          <w:color w:val="auto"/>
        </w:rPr>
      </w:pPr>
      <w:r>
        <w:rPr>
          <w:rFonts w:ascii="Courier New" w:cs="Courier New" w:eastAsia="Courier New" w:hAnsi="Courier New"/>
          <w:sz w:val="18"/>
          <w:szCs w:val="18"/>
          <w:color w:val="auto"/>
        </w:rPr>
        <w:t>CMRG</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7, 2003</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34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w:t>
      </w:r>
    </w:p>
    <w:p>
      <w:pPr>
        <w:spacing w:after="0" w:line="238" w:lineRule="auto"/>
        <w:rPr>
          <w:sz w:val="20"/>
          <w:szCs w:val="20"/>
          <w:color w:val="auto"/>
        </w:rPr>
      </w:pPr>
      <w:r>
        <w:rPr>
          <w:rFonts w:ascii="Courier New" w:cs="Courier New" w:eastAsia="Courier New" w:hAnsi="Courier New"/>
          <w:sz w:val="18"/>
          <w:szCs w:val="18"/>
          <w:color w:val="auto"/>
        </w:rPr>
        <w:t>CONSULTING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29, 2003</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and by Letter Agreement dated as of April 28, 2002 (hereinafter referred to as the "Agreement"); and</w:t>
      </w:r>
    </w:p>
    <w:p>
      <w:pPr>
        <w:spacing w:after="0" w:line="210"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WHEREAS, Corporation and Independent Contractor wish to amend, modify and/or restate certain terms, provisions, conditions and covenants of the Agreement.</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210" w:lineRule="exact"/>
        <w:rPr>
          <w:sz w:val="20"/>
          <w:szCs w:val="20"/>
          <w:color w:val="auto"/>
        </w:rPr>
      </w:pPr>
    </w:p>
    <w:p>
      <w:pPr>
        <w:ind w:right="2419" w:firstLine="8"/>
        <w:spacing w:after="0" w:line="271" w:lineRule="auto"/>
        <w:tabs>
          <w:tab w:leader="none" w:pos="84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the Agreement shall be extended for an additional period of three (3) years commencing on April 29, 2003 (the "Commencement Date") and ending on April 28, 2006 (the "Expiration Date"). This Agreement shall automatically be extended for an additional one (1) year term on each anniversary date of the Agreement unless either party shall give the other at least ninety (90) days written notice prior to such anniversary date of their intention to terminate this Agreement.</w:t>
      </w:r>
    </w:p>
    <w:p>
      <w:pPr>
        <w:spacing w:after="0" w:line="187" w:lineRule="exact"/>
        <w:rPr>
          <w:rFonts w:ascii="Courier New" w:cs="Courier New" w:eastAsia="Courier New" w:hAnsi="Courier New"/>
          <w:sz w:val="16"/>
          <w:szCs w:val="16"/>
          <w:color w:val="auto"/>
        </w:rPr>
      </w:pPr>
    </w:p>
    <w:p>
      <w:pPr>
        <w:ind w:right="2519" w:firstLine="8"/>
        <w:spacing w:after="0" w:line="268" w:lineRule="auto"/>
        <w:tabs>
          <w:tab w:leader="none" w:pos="84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4 of the Agreement, the consideration to be furnished to the Independent Contractor by the Corporation for the Services rendered by the Independent Contractor under the Agreement shall consist of (a) annual compensation of $276,000, payable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(The number of shares of Common Stock of the Corporation equal to $276,000 on April 28, 2003,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date immediately preceding the Commencement Date, is 70,769 at</w:t>
      </w:r>
    </w:p>
    <w:p>
      <w:pPr>
        <w:spacing w:after="0" w:line="4" w:lineRule="exact"/>
        <w:rPr>
          <w:rFonts w:ascii="Courier New" w:cs="Courier New" w:eastAsia="Courier New" w:hAnsi="Courier New"/>
          <w:sz w:val="16"/>
          <w:szCs w:val="16"/>
          <w:color w:val="auto"/>
        </w:rPr>
      </w:pPr>
    </w:p>
    <w:p>
      <w:pPr>
        <w:ind w:right="26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 per share), and (b) the reimbursement of actual and direct out-of-pocket expenses incurred by the Independent Contractor in the rendering of Services under the Agreement.</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REMAINDER OF THIS PAGE INTENTIONALLY LEFT BLANK]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parties hereto have executed this</w:t>
      </w:r>
    </w:p>
    <w:p>
      <w:pPr>
        <w:spacing w:after="0" w:line="238" w:lineRule="auto"/>
        <w:rPr>
          <w:sz w:val="20"/>
          <w:szCs w:val="20"/>
          <w:color w:val="auto"/>
        </w:rPr>
      </w:pPr>
      <w:r>
        <w:rPr>
          <w:rFonts w:ascii="Courier New" w:cs="Courier New" w:eastAsia="Courier New" w:hAnsi="Courier New"/>
          <w:sz w:val="18"/>
          <w:szCs w:val="18"/>
          <w:color w:val="auto"/>
        </w:rPr>
        <w:t>Amendment to Consulting Agreement as a sealed instrument, in any</w:t>
      </w:r>
    </w:p>
    <w:p>
      <w:pPr>
        <w:spacing w:after="0"/>
        <w:rPr>
          <w:sz w:val="20"/>
          <w:szCs w:val="20"/>
          <w:color w:val="auto"/>
        </w:rPr>
      </w:pPr>
      <w:r>
        <w:rPr>
          <w:rFonts w:ascii="Courier New" w:cs="Courier New" w:eastAsia="Courier New" w:hAnsi="Courier New"/>
          <w:sz w:val="18"/>
          <w:szCs w:val="18"/>
          <w:color w:val="auto"/>
        </w:rPr>
        <w:t>number of counterpart copies, each of which shall be deemed an original</w:t>
      </w:r>
    </w:p>
    <w:p>
      <w:pPr>
        <w:spacing w:after="0" w:line="237" w:lineRule="auto"/>
        <w:rPr>
          <w:sz w:val="20"/>
          <w:szCs w:val="20"/>
          <w:color w:val="auto"/>
        </w:rPr>
      </w:pPr>
      <w:r>
        <w:rPr>
          <w:rFonts w:ascii="Courier New" w:cs="Courier New" w:eastAsia="Courier New" w:hAnsi="Courier New"/>
          <w:sz w:val="18"/>
          <w:szCs w:val="18"/>
          <w:color w:val="auto"/>
        </w:rPr>
        <w:t>for all purposes, as of the day and year first written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CORPORATION:</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w:t>
      </w:r>
    </w:p>
    <w:p>
      <w:pPr>
        <w:spacing w:after="0" w:line="238" w:lineRule="auto"/>
        <w:rPr>
          <w:sz w:val="20"/>
          <w:szCs w:val="20"/>
          <w:color w:val="auto"/>
        </w:rPr>
      </w:pPr>
      <w:r>
        <w:rPr>
          <w:rFonts w:ascii="Courier New" w:cs="Courier New" w:eastAsia="Courier New" w:hAnsi="Courier New"/>
          <w:sz w:val="18"/>
          <w:szCs w:val="18"/>
          <w:color w:val="auto"/>
        </w:rPr>
        <w:t>Name: Dennis R. Herenreich</w:t>
      </w:r>
    </w:p>
    <w:p>
      <w:pPr>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 Chief</w:t>
      </w:r>
    </w:p>
    <w:p>
      <w:pPr>
        <w:ind w:left="1280"/>
        <w:spacing w:after="0" w:line="237" w:lineRule="auto"/>
        <w:rPr>
          <w:sz w:val="20"/>
          <w:szCs w:val="20"/>
          <w:color w:val="auto"/>
        </w:rPr>
      </w:pPr>
      <w:r>
        <w:rPr>
          <w:rFonts w:ascii="Courier New" w:cs="Courier New" w:eastAsia="Courier New" w:hAnsi="Courier New"/>
          <w:sz w:val="18"/>
          <w:szCs w:val="18"/>
          <w:color w:val="auto"/>
        </w:rPr>
        <w:t>Operating Officer, Chief Financial</w:t>
      </w:r>
    </w:p>
    <w:p>
      <w:pPr>
        <w:ind w:left="1280"/>
        <w:spacing w:after="0" w:line="238" w:lineRule="auto"/>
        <w:rPr>
          <w:sz w:val="20"/>
          <w:szCs w:val="20"/>
          <w:color w:val="auto"/>
        </w:rPr>
      </w:pPr>
      <w:r>
        <w:rPr>
          <w:rFonts w:ascii="Courier New" w:cs="Courier New" w:eastAsia="Courier New" w:hAnsi="Courier New"/>
          <w:sz w:val="18"/>
          <w:szCs w:val="18"/>
          <w:color w:val="auto"/>
        </w:rPr>
        <w:t>Officer, Treasurer and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w:t>
      </w:r>
    </w:p>
    <w:p>
      <w:pPr>
        <w:spacing w:after="0" w:line="238" w:lineRule="auto"/>
        <w:rPr>
          <w:sz w:val="20"/>
          <w:szCs w:val="20"/>
          <w:color w:val="auto"/>
        </w:rPr>
      </w:pPr>
      <w:r>
        <w:rPr>
          <w:rFonts w:ascii="Courier New" w:cs="Courier New" w:eastAsia="Courier New" w:hAnsi="Courier New"/>
          <w:sz w:val="18"/>
          <w:szCs w:val="18"/>
          <w:color w:val="auto"/>
        </w:rPr>
        <w:t>Name: Arlene C. Feldman</w:t>
      </w:r>
    </w:p>
    <w:p>
      <w:pPr>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36" w:right="1440" w:bottom="334"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INDEPENDENT CONTRACTOR: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JEWELCOR MANAGEMENT,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w:t>
      </w:r>
    </w:p>
    <w:p>
      <w:pPr>
        <w:spacing w:after="0" w:line="238" w:lineRule="auto"/>
        <w:rPr>
          <w:sz w:val="20"/>
          <w:szCs w:val="20"/>
          <w:color w:val="auto"/>
        </w:rPr>
      </w:pPr>
      <w:r>
        <w:rPr>
          <w:rFonts w:ascii="Courier New" w:cs="Courier New" w:eastAsia="Courier New" w:hAnsi="Courier New"/>
          <w:sz w:val="18"/>
          <w:szCs w:val="18"/>
          <w:color w:val="auto"/>
        </w:rPr>
        <w:t>Seymour Holtzman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lvl w:ilvl="1">
      <w:lvlJc w:val="left"/>
      <w:lvlText w:val="-"/>
      <w:numFmt w:val="bullet"/>
      <w:start w:val="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1"/>
      <w:numFmt w:val="decimal"/>
      <w:start w:val="1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3"/>
      <w:numFmt w:val="bullet"/>
      <w:start w:val="1"/>
    </w:lvl>
  </w:abstractNum>
  <w:abstractNum w:abstractNumId="26">
    <w:nsid w:val="3A95F874"/>
    <w:multiLevelType w:val="hybridMultilevel"/>
    <w:lvl w:ilvl="0">
      <w:lvlJc w:val="left"/>
      <w:lvlText w:val="4"/>
      <w:numFmt w:val="bullet"/>
      <w:start w:val="1"/>
    </w:lvl>
  </w:abstractNum>
  <w:abstractNum w:abstractNumId="27">
    <w:nsid w:val="8138641"/>
    <w:multiLevelType w:val="hybridMultilevel"/>
    <w:lvl w:ilvl="0">
      <w:lvlJc w:val="left"/>
      <w:lvlText w:val="5"/>
      <w:numFmt w:val="bullet"/>
      <w:start w:val="1"/>
    </w:lvl>
  </w:abstractNum>
  <w:abstractNum w:abstractNumId="28">
    <w:nsid w:val="1E7FF521"/>
    <w:multiLevelType w:val="hybridMultilevel"/>
    <w:lvl w:ilvl="0">
      <w:lvlJc w:val="left"/>
      <w:lvlText w:val="6"/>
      <w:numFmt w:val="bullet"/>
      <w:start w:val="1"/>
    </w:lvl>
  </w:abstractNum>
  <w:abstractNum w:abstractNumId="29">
    <w:nsid w:val="7C3DBD3D"/>
    <w:multiLevelType w:val="hybridMultilevel"/>
    <w:lvl w:ilvl="0">
      <w:lvlJc w:val="left"/>
      <w:lvlText w:val="%1"/>
      <w:numFmt w:val="decimal"/>
      <w:start w:val="11"/>
    </w:lvl>
  </w:abstractNum>
  <w:abstractNum w:abstractNumId="30">
    <w:nsid w:val="737B8DDC"/>
    <w:multiLevelType w:val="hybridMultilevel"/>
    <w:lvl w:ilvl="0">
      <w:lvlJc w:val="left"/>
      <w:lvlText w:val="%1"/>
      <w:numFmt w:val="decimal"/>
      <w:start w:val="13"/>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2019-12-11T21:39:59Z</dcterms:created>
  <dcterms:modified xsi:type="dcterms:W3CDTF">2019-12-11T21:39:59Z</dcterms:modified>
</cp:coreProperties>
</file>