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200025</wp:posOffset>
            </wp:positionH>
            <wp:positionV relativeFrom="page">
              <wp:posOffset>509270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t>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5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December 11,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187960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DESTINATION XL GROUP, INC.</w:t>
      </w:r>
    </w:p>
    <w:p>
      <w:pPr>
        <w:spacing w:after="0" w:line="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213360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305" w:type="dxa"/>
        <w:tblCellMar>
          <w:top w:w="0" w:type="dxa"/>
          <w:left w:w="0" w:type="dxa"/>
          <w:bottom w:w="0" w:type="dxa"/>
          <w:right w:w="0" w:type="dxa"/>
        </w:tblCellMar>
      </w:tblPr>
      <w:tr>
        <w:trPr>
          <w:trHeight w:val="19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260" w:type="dxa"/>
            <w:vAlign w:val="bottom"/>
          </w:tcPr>
          <w:p>
            <w:pPr>
              <w:jc w:val="right"/>
              <w:ind w:right="1391"/>
              <w:spacing w:after="0"/>
              <w:rPr>
                <w:sz w:val="20"/>
                <w:szCs w:val="20"/>
                <w:color w:val="auto"/>
              </w:rPr>
            </w:pPr>
            <w:r>
              <w:rPr>
                <w:rFonts w:ascii="Times New Roman" w:cs="Times New Roman" w:eastAsia="Times New Roman" w:hAnsi="Times New Roman"/>
                <w:sz w:val="16"/>
                <w:szCs w:val="16"/>
                <w:b w:val="1"/>
                <w:bCs w:val="1"/>
                <w:color w:val="auto"/>
              </w:rPr>
              <w:t>01-34219</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04-2623104</w:t>
            </w:r>
          </w:p>
        </w:tc>
      </w:tr>
      <w:tr>
        <w:trPr>
          <w:trHeight w:val="130"/>
        </w:trPr>
        <w:tc>
          <w:tcPr>
            <w:tcW w:w="2840" w:type="dxa"/>
            <w:vAlign w:val="bottom"/>
          </w:tcPr>
          <w:p>
            <w:pPr>
              <w:jc w:val="center"/>
              <w:ind w:right="771"/>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3260" w:type="dxa"/>
            <w:vAlign w:val="bottom"/>
          </w:tcPr>
          <w:p>
            <w:pPr>
              <w:jc w:val="center"/>
              <w:ind w:right="21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48"/>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8"/>
              </w:rPr>
              <w:t>555 Turnpike Street</w:t>
            </w:r>
          </w:p>
        </w:tc>
        <w:tc>
          <w:tcPr>
            <w:tcW w:w="3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95"/>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6"/>
                <w:szCs w:val="16"/>
                <w:b w:val="1"/>
                <w:bCs w:val="1"/>
                <w:color w:val="auto"/>
                <w:w w:val="97"/>
              </w:rPr>
              <w:t>Canton, Massachusetts</w:t>
            </w:r>
          </w:p>
        </w:tc>
        <w:tc>
          <w:tcPr>
            <w:tcW w:w="3260" w:type="dxa"/>
            <w:vAlign w:val="bottom"/>
          </w:tcPr>
          <w:p>
            <w:pPr>
              <w:spacing w:after="0"/>
              <w:rPr>
                <w:sz w:val="16"/>
                <w:szCs w:val="16"/>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02021</w:t>
            </w:r>
          </w:p>
        </w:tc>
      </w:tr>
      <w:tr>
        <w:trPr>
          <w:trHeight w:val="155"/>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59"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781 828-9300</w:t>
      </w:r>
    </w:p>
    <w:p>
      <w:pPr>
        <w:spacing w:after="0" w:line="200" w:lineRule="exact"/>
        <w:rPr>
          <w:sz w:val="24"/>
          <w:szCs w:val="24"/>
          <w:color w:val="auto"/>
        </w:rPr>
      </w:pPr>
    </w:p>
    <w:p>
      <w:pPr>
        <w:spacing w:after="0" w:line="331"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220980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00"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tbl>
      <w:tblPr>
        <w:tblLayout w:type="fixed"/>
        <w:tblInd w:w="5" w:type="dxa"/>
        <w:tblCellMar>
          <w:top w:w="0" w:type="dxa"/>
          <w:left w:w="0" w:type="dxa"/>
          <w:bottom w:w="0" w:type="dxa"/>
          <w:right w:w="0" w:type="dxa"/>
        </w:tblCellMar>
      </w:tblPr>
      <w:tr>
        <w:trPr>
          <w:trHeight w:val="208"/>
        </w:trPr>
        <w:tc>
          <w:tcPr>
            <w:tcW w:w="3580" w:type="dxa"/>
            <w:vAlign w:val="bottom"/>
          </w:tcPr>
          <w:p>
            <w:pPr>
              <w:spacing w:after="0"/>
              <w:rPr>
                <w:sz w:val="18"/>
                <w:szCs w:val="18"/>
                <w:color w:val="auto"/>
              </w:rPr>
            </w:pPr>
          </w:p>
        </w:tc>
        <w:tc>
          <w:tcPr>
            <w:tcW w:w="768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312"/>
        </w:trPr>
        <w:tc>
          <w:tcPr>
            <w:tcW w:w="3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12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208"/>
        </w:trPr>
        <w:tc>
          <w:tcPr>
            <w:tcW w:w="3580" w:type="dxa"/>
            <w:vAlign w:val="bottom"/>
            <w:tcBorders>
              <w:bottom w:val="single" w:sz="8" w:color="auto"/>
            </w:tcBorders>
          </w:tcPr>
          <w:p>
            <w:pPr>
              <w:jc w:val="center"/>
              <w:ind w:left="601"/>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198"/>
        </w:trPr>
        <w:tc>
          <w:tcPr>
            <w:tcW w:w="3580" w:type="dxa"/>
            <w:vAlign w:val="bottom"/>
          </w:tcPr>
          <w:p>
            <w:pPr>
              <w:jc w:val="center"/>
              <w:ind w:left="601"/>
              <w:spacing w:after="0"/>
              <w:rPr>
                <w:sz w:val="20"/>
                <w:szCs w:val="20"/>
                <w:color w:val="auto"/>
              </w:rPr>
            </w:pPr>
            <w:r>
              <w:rPr>
                <w:rFonts w:ascii="Times New Roman" w:cs="Times New Roman" w:eastAsia="Times New Roman" w:hAnsi="Times New Roman"/>
                <w:sz w:val="16"/>
                <w:szCs w:val="16"/>
                <w:color w:val="auto"/>
                <w:w w:val="98"/>
              </w:rPr>
              <w:t>Common Stock, par value $0.01 per share</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DXLG</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The Nasdaq Stock Market LLC</w:t>
            </w:r>
          </w:p>
        </w:tc>
      </w:tr>
    </w:tbl>
    <w:p>
      <w:pPr>
        <w:spacing w:after="0" w:line="155" w:lineRule="exact"/>
        <w:rPr>
          <w:sz w:val="24"/>
          <w:szCs w:val="24"/>
          <w:color w:val="auto"/>
        </w:rPr>
      </w:pPr>
    </w:p>
    <w:p>
      <w:pPr>
        <w:ind w:left="5"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left="5" w:right="30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535305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105410</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14946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ectPr>
          <w:pgSz w:w="11900" w:h="16838" w:orient="portrait"/>
          <w:cols w:equalWidth="0" w:num="1">
            <w:col w:w="11265"/>
          </w:cols>
          <w:pgMar w:left="315" w:top="821"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1.01 Entry into a Material Definitive Agreement.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Agreement and Plan of Merger</w:t>
      </w:r>
    </w:p>
    <w:p>
      <w:pPr>
        <w:spacing w:after="0" w:line="198" w:lineRule="exact"/>
        <w:rPr>
          <w:sz w:val="20"/>
          <w:szCs w:val="20"/>
          <w:color w:val="auto"/>
        </w:rPr>
      </w:pPr>
    </w:p>
    <w:p>
      <w:pPr>
        <w:ind w:right="20" w:firstLine="315"/>
        <w:spacing w:after="0" w:line="254" w:lineRule="auto"/>
        <w:rPr>
          <w:sz w:val="20"/>
          <w:szCs w:val="20"/>
          <w:color w:val="auto"/>
        </w:rPr>
      </w:pPr>
      <w:r>
        <w:rPr>
          <w:rFonts w:ascii="Times New Roman" w:cs="Times New Roman" w:eastAsia="Times New Roman" w:hAnsi="Times New Roman"/>
          <w:sz w:val="16"/>
          <w:szCs w:val="16"/>
          <w:color w:val="auto"/>
        </w:rPr>
        <w:t>On December 11, 2025, Destination XL Group, Inc., a Delaware corporation (“DXL”), Divine Merger Sub I, Inc., a Delaware corporation and wholly owned direct subsidiary of DXL (“Merger Sub”), and FBB Holdings I, Inc., a Delaware corporation (“FBB”), entered into an Agreement and Plan of Merger (the “Merger Agreement”). The Merger Agreement provides that, on the terms and subject to the conditions set forth therein, Merger Sub will merge with and into FBB, with FBB continuing as the surviving corporation as a wholly owned subsidiary of DXL (the “Merger”). The Merger Agreement was unanimously approved by the board of directors of each of DXL and FBB and has been approved by the requisite vote of FBB stockholders.</w:t>
      </w:r>
    </w:p>
    <w:p>
      <w:pPr>
        <w:spacing w:after="0" w:line="1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i w:val="1"/>
          <w:iCs w:val="1"/>
          <w:color w:val="auto"/>
        </w:rPr>
        <w:t>Merger Consideration</w:t>
      </w:r>
    </w:p>
    <w:p>
      <w:pPr>
        <w:spacing w:after="0" w:line="196" w:lineRule="exact"/>
        <w:rPr>
          <w:sz w:val="20"/>
          <w:szCs w:val="20"/>
          <w:color w:val="auto"/>
        </w:rPr>
      </w:pPr>
    </w:p>
    <w:p>
      <w:pPr>
        <w:ind w:firstLine="315"/>
        <w:spacing w:after="0" w:line="251" w:lineRule="auto"/>
        <w:rPr>
          <w:sz w:val="20"/>
          <w:szCs w:val="20"/>
          <w:color w:val="auto"/>
        </w:rPr>
      </w:pPr>
      <w:r>
        <w:rPr>
          <w:rFonts w:ascii="Times New Roman" w:cs="Times New Roman" w:eastAsia="Times New Roman" w:hAnsi="Times New Roman"/>
          <w:sz w:val="16"/>
          <w:szCs w:val="16"/>
          <w:color w:val="auto"/>
        </w:rPr>
        <w:t>At the effective time of the Merger (the “Effective Time”), each share of common stock, par value $0.01 per share, of FBB (“FBB Common Stock”), other than Excluded Shares, Appraisal Shares and Unaccredited Investor Shares (each as defined in the Merger Agreement), will be converted into the right to receive that number of fully paid and nonassessable shares of the common stock, par value $0.01 per share, of DXL (the “DXL Common Stock”) equal to the Exchange Ratio (as defined below). A holder of FBB Common Stock who would otherwise be entitled to receive a fraction of a share of DXL Common Stock (after aggregating all fractional DXL Common Stock issuable to such holder in connection with the Merger) will have such fractional share rounded up to one whole share of DXL Common Stock. “Exchange Ratio” means the New Issuance (as defined below) divided by the number of shares of FBB Common Stock issued and outstanding immediately prior to the Effective Time. “New Issuance” means a number of shares equal to (a) the number of outstanding shares of DXL Common Stock as of immediately before the Effective Time on a fully diluted, as converted and as exercised basis in accordance with the treasury stock method, multiplied by (b) the quotient of fifty-five percent (55%) divided by forty-five percent (45%).</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i w:val="1"/>
          <w:iCs w:val="1"/>
          <w:color w:val="auto"/>
        </w:rPr>
        <w:t>Treatment of Unaccredited Investor Shares</w:t>
      </w:r>
    </w:p>
    <w:p>
      <w:pPr>
        <w:spacing w:after="0" w:line="196" w:lineRule="exact"/>
        <w:rPr>
          <w:sz w:val="20"/>
          <w:szCs w:val="20"/>
          <w:color w:val="auto"/>
        </w:rPr>
      </w:pPr>
    </w:p>
    <w:p>
      <w:pPr>
        <w:ind w:right="200" w:firstLine="751"/>
        <w:spacing w:after="0" w:line="310" w:lineRule="auto"/>
        <w:rPr>
          <w:sz w:val="20"/>
          <w:szCs w:val="20"/>
          <w:color w:val="auto"/>
        </w:rPr>
      </w:pPr>
      <w:r>
        <w:rPr>
          <w:rFonts w:ascii="Times New Roman" w:cs="Times New Roman" w:eastAsia="Times New Roman" w:hAnsi="Times New Roman"/>
          <w:sz w:val="15"/>
          <w:szCs w:val="15"/>
          <w:color w:val="auto"/>
        </w:rPr>
        <w:t>Each share of FBB Common Stock held immediately prior to the Effective Time by an FBB Stockholder that is an Unaccredited Investor (as defined in the Merger Agreement) will be converted into the right to receive the Unaccredited Investor Cash Consideration (as defined in the Merger Agreement), without any interest thereon.</w:t>
      </w:r>
    </w:p>
    <w:p>
      <w:pPr>
        <w:spacing w:after="0" w:line="12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i w:val="1"/>
          <w:iCs w:val="1"/>
          <w:color w:val="auto"/>
        </w:rPr>
        <w:t>FBB Pre-Closing Investment and Financing Matters</w:t>
      </w:r>
    </w:p>
    <w:p>
      <w:pPr>
        <w:spacing w:after="0" w:line="196" w:lineRule="exact"/>
        <w:rPr>
          <w:sz w:val="20"/>
          <w:szCs w:val="20"/>
          <w:color w:val="auto"/>
        </w:rPr>
      </w:pPr>
    </w:p>
    <w:p>
      <w:pPr>
        <w:ind w:right="100" w:firstLine="315"/>
        <w:spacing w:after="0" w:line="261" w:lineRule="auto"/>
        <w:rPr>
          <w:sz w:val="20"/>
          <w:szCs w:val="20"/>
          <w:color w:val="auto"/>
        </w:rPr>
      </w:pPr>
      <w:r>
        <w:rPr>
          <w:rFonts w:ascii="Times New Roman" w:cs="Times New Roman" w:eastAsia="Times New Roman" w:hAnsi="Times New Roman"/>
          <w:sz w:val="16"/>
          <w:szCs w:val="16"/>
          <w:color w:val="auto"/>
        </w:rPr>
        <w:t>Prior to the closing of the transactions contemplated by the Merger Agreement, FBB is required to use reasonable best efforts to consummate the transactions contemplated by certain commitment and subscription agreements with certain of its existing stockholders and lenders, pursuant to which FBB will issue and sell FBB Common Stock for aggregate gross proceeds of approximately $92 million, including cancellation of indebtedness (the “Pre-Closing Investment”).</w:t>
      </w:r>
    </w:p>
    <w:p>
      <w:pPr>
        <w:spacing w:after="0" w:line="157" w:lineRule="exact"/>
        <w:rPr>
          <w:sz w:val="20"/>
          <w:szCs w:val="20"/>
          <w:color w:val="auto"/>
        </w:rPr>
      </w:pPr>
    </w:p>
    <w:p>
      <w:pPr>
        <w:ind w:right="80" w:firstLine="315"/>
        <w:spacing w:after="0" w:line="254" w:lineRule="auto"/>
        <w:rPr>
          <w:sz w:val="20"/>
          <w:szCs w:val="20"/>
          <w:color w:val="auto"/>
        </w:rPr>
      </w:pPr>
      <w:r>
        <w:rPr>
          <w:rFonts w:ascii="Times New Roman" w:cs="Times New Roman" w:eastAsia="Times New Roman" w:hAnsi="Times New Roman"/>
          <w:sz w:val="16"/>
          <w:szCs w:val="16"/>
          <w:color w:val="auto"/>
        </w:rPr>
        <w:t>In addition, DXL and FBB are each required to use reasonable best efforts to cooperate with the other party in connection with (i) the amendment and restatement of FBB’s existing term loan facility to authorize and give effect to the Merger and the capital structure of the surviving company following the closing, and (ii) the establishment, documentation and closing of a combined asset-based revolving credit facility for the surviving company and its subsidiaries, whether through an amendment or amendment and restatement of the Existing FBB ABL Agreement (as defined in the Merger Agreement) or, if reasonably determined by FBB in consultation with DXL, an amendment or amendment and restatement of the Existing DXL ABL Agreement (as defined in the Merger Agreement) or a new ABL credit agreement.</w:t>
      </w:r>
    </w:p>
    <w:p>
      <w:pPr>
        <w:spacing w:after="0" w:line="16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i w:val="1"/>
          <w:iCs w:val="1"/>
          <w:color w:val="auto"/>
        </w:rPr>
        <w:t>Directors and Officers of the Combined Company</w:t>
      </w:r>
    </w:p>
    <w:p>
      <w:pPr>
        <w:spacing w:after="0" w:line="196" w:lineRule="exact"/>
        <w:rPr>
          <w:sz w:val="20"/>
          <w:szCs w:val="20"/>
          <w:color w:val="auto"/>
        </w:rPr>
      </w:pPr>
    </w:p>
    <w:p>
      <w:pPr>
        <w:ind w:right="40" w:firstLine="315"/>
        <w:spacing w:after="0" w:line="254" w:lineRule="auto"/>
        <w:rPr>
          <w:sz w:val="20"/>
          <w:szCs w:val="20"/>
          <w:color w:val="auto"/>
        </w:rPr>
      </w:pPr>
      <w:r>
        <w:rPr>
          <w:rFonts w:ascii="Times New Roman" w:cs="Times New Roman" w:eastAsia="Times New Roman" w:hAnsi="Times New Roman"/>
          <w:sz w:val="16"/>
          <w:szCs w:val="16"/>
          <w:color w:val="auto"/>
        </w:rPr>
        <w:t>The Merger Agreement provides that, effective upon and immediately following the Effective Time, the board of directors of DXL and committees thereof will be comprised of the following individuals: (i) four members of the board of directors designated by DXL (the “DXL Nominee Directors”), (ii) four members of the board of directors designated by FBB, one of which will include the Chief Executive Officer of FBB as of the date of the Merger Agreement (the “FBB Nominee Directors”), and (iii) one member of the board of directors mutually agreed to by both DXL and FBB. The DXL Nominee Directors will, in consultation with the FBB Nominee Directors, appoint the initial Chairperson of the combined company.</w:t>
      </w:r>
    </w:p>
    <w:p>
      <w:pPr>
        <w:spacing w:after="0" w:line="162" w:lineRule="exact"/>
        <w:rPr>
          <w:sz w:val="20"/>
          <w:szCs w:val="20"/>
          <w:color w:val="auto"/>
        </w:rPr>
      </w:pPr>
    </w:p>
    <w:p>
      <w:pPr>
        <w:ind w:right="20" w:firstLine="315"/>
        <w:spacing w:after="0" w:line="256" w:lineRule="auto"/>
        <w:rPr>
          <w:sz w:val="20"/>
          <w:szCs w:val="20"/>
          <w:color w:val="auto"/>
        </w:rPr>
      </w:pPr>
      <w:r>
        <w:rPr>
          <w:rFonts w:ascii="Times New Roman" w:cs="Times New Roman" w:eastAsia="Times New Roman" w:hAnsi="Times New Roman"/>
          <w:sz w:val="16"/>
          <w:szCs w:val="16"/>
          <w:color w:val="auto"/>
        </w:rPr>
        <w:t>In addition, effective as of the Effective Time, (i) Mr. Jim Fogarty, the Chief Executive Officer of FBB, will serve as the Chief Executive Officer of DXL from and after the Effective Time, and (ii) the officers of DXL from and after the Effective Time will be such individuals as DXL and FBB agree, through a process overseen by the Chief Executive Officer of FBB in consultation with the DXL Nominee Directors and FBB Nominee Directors, cooperating in good faith to identify such individuals prior the Effective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520700</wp:posOffset>
            </wp:positionV>
            <wp:extent cx="717486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6"/>
          <w:szCs w:val="16"/>
          <w:i w:val="1"/>
          <w:iCs w:val="1"/>
          <w:color w:val="auto"/>
        </w:rPr>
        <w:t>Certain Other Terms and Conditions of the Merger Agreement</w:t>
      </w:r>
    </w:p>
    <w:p>
      <w:pPr>
        <w:spacing w:after="0" w:line="196" w:lineRule="exact"/>
        <w:rPr>
          <w:sz w:val="20"/>
          <w:szCs w:val="20"/>
          <w:color w:val="auto"/>
        </w:rPr>
      </w:pPr>
    </w:p>
    <w:p>
      <w:pPr>
        <w:ind w:right="20" w:firstLine="315"/>
        <w:spacing w:after="0" w:line="271" w:lineRule="auto"/>
        <w:rPr>
          <w:sz w:val="20"/>
          <w:szCs w:val="20"/>
          <w:color w:val="auto"/>
        </w:rPr>
      </w:pPr>
      <w:r>
        <w:rPr>
          <w:rFonts w:ascii="Times New Roman" w:cs="Times New Roman" w:eastAsia="Times New Roman" w:hAnsi="Times New Roman"/>
          <w:sz w:val="15"/>
          <w:szCs w:val="15"/>
          <w:color w:val="auto"/>
        </w:rPr>
        <w:t>The Merger Agreement contains customary representations and warranties from both DXL and FBB. Each party has also agreed to customary covenants, including, among others, covenants relating to (i) the conduct of its business during the interim period between the execution of the Merger Agreement and the Effective Time, (ii) each party’s non-solicitation obligations related to alternative acquisition proposals, (iii) in the case of DXL, its obligation to call a meeting of its stockholders to approve the share issuance in the Merger and the obligation of its board of directors to recommend that its stockholders approve the share issuance, and (iv) in the case of DXL, its obligation to use reasonable best efforts to prepare and file with the SEC within 30 days of the closing of the Merger a registration statement of DXL registering the resale by the FBB stockholders of the merger consideration issued in connection with the Merger Agreement and the Merger. DXL and FBB have also agreed to use their commercially reasonable efforts to obtain all required consents, permits, waivers, approvals, clearances, authorizations, or non-actions for consummation of the transactions contemplated by the Merger Agreement.</w:t>
      </w:r>
    </w:p>
    <w:p>
      <w:pPr>
        <w:spacing w:after="0" w:line="150" w:lineRule="exact"/>
        <w:rPr>
          <w:sz w:val="20"/>
          <w:szCs w:val="20"/>
          <w:color w:val="auto"/>
        </w:rPr>
      </w:pPr>
    </w:p>
    <w:p>
      <w:pPr>
        <w:ind w:right="140" w:firstLine="315"/>
        <w:spacing w:after="0" w:line="261" w:lineRule="auto"/>
        <w:rPr>
          <w:sz w:val="20"/>
          <w:szCs w:val="20"/>
          <w:color w:val="auto"/>
        </w:rPr>
      </w:pPr>
      <w:r>
        <w:rPr>
          <w:rFonts w:ascii="Times New Roman" w:cs="Times New Roman" w:eastAsia="Times New Roman" w:hAnsi="Times New Roman"/>
          <w:sz w:val="16"/>
          <w:szCs w:val="16"/>
          <w:color w:val="auto"/>
        </w:rPr>
        <w:t>The completion of the Merger is subject to customary conditions, including, among others, (i) approval of the Merger Agreement and related transactions by the requisite vote of the FBB stockholders, (ii) approval of the share issuance by the requisite vote of the DXL stockholders, (iii) authorization for listing on The Nasdaq Stock Market of the shares of DXL Common Stock to be issued in the Merger, subject to official notice of issuance, and (iv) FBB’s consummation of the Pre-Closing Investment.</w:t>
      </w:r>
    </w:p>
    <w:p>
      <w:pPr>
        <w:spacing w:after="0" w:line="157" w:lineRule="exact"/>
        <w:rPr>
          <w:sz w:val="20"/>
          <w:szCs w:val="20"/>
          <w:color w:val="auto"/>
        </w:rPr>
      </w:pPr>
    </w:p>
    <w:p>
      <w:pPr>
        <w:ind w:right="160" w:firstLine="315"/>
        <w:spacing w:after="0" w:line="261" w:lineRule="auto"/>
        <w:rPr>
          <w:sz w:val="20"/>
          <w:szCs w:val="20"/>
          <w:color w:val="auto"/>
        </w:rPr>
      </w:pPr>
      <w:r>
        <w:rPr>
          <w:rFonts w:ascii="Times New Roman" w:cs="Times New Roman" w:eastAsia="Times New Roman" w:hAnsi="Times New Roman"/>
          <w:sz w:val="16"/>
          <w:szCs w:val="16"/>
          <w:color w:val="auto"/>
        </w:rPr>
        <w:t>Each party’s obligation to complete the Merger is also subject to certain additional customary conditions, including (i) subject to certain exceptions, the accuracy of the representations and warranties of the other party, (ii) performance in all material respects by the other party of its obligations under the Merger Agreement, and (iii) the absence of any events or developments having a material adverse effect on the other party.</w:t>
      </w:r>
    </w:p>
    <w:p>
      <w:pPr>
        <w:spacing w:after="0" w:line="1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Merger Agreement also provides for certain termination rights for both DXL and FBB.</w:t>
      </w:r>
    </w:p>
    <w:p>
      <w:pPr>
        <w:spacing w:after="0" w:line="194" w:lineRule="exact"/>
        <w:rPr>
          <w:sz w:val="20"/>
          <w:szCs w:val="20"/>
          <w:color w:val="auto"/>
        </w:rPr>
      </w:pPr>
    </w:p>
    <w:p>
      <w:pPr>
        <w:ind w:firstLine="315"/>
        <w:spacing w:after="0" w:line="249" w:lineRule="auto"/>
        <w:rPr>
          <w:sz w:val="20"/>
          <w:szCs w:val="20"/>
          <w:color w:val="auto"/>
        </w:rPr>
      </w:pPr>
      <w:r>
        <w:rPr>
          <w:rFonts w:ascii="Times New Roman" w:cs="Times New Roman" w:eastAsia="Times New Roman" w:hAnsi="Times New Roman"/>
          <w:sz w:val="16"/>
          <w:szCs w:val="16"/>
          <w:color w:val="auto"/>
        </w:rPr>
        <w:t>The representations, warranties and covenants of each party set forth in the Merger Agreement have been made only for purposes of, and were and are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applicable to investors. Accordingly, the representations and warranties may not describe the actual state of affairs at the date they were made or at any other time, and investors should not rely on them as statements of fact. In addition, such representations and warranties (i) will not survive consummation of the Merger, and (ii) were made only as of the date of the Merger Agreement or such other dates as is specified in the Merger Agreement. Moreover, information concerning the subject matter of the representations and warranties may change after the date of the Merger Agreement, which subsequent information may or may not be fully reflected in the parties’ public disclosures. Investors are not third-party beneficiaries under the Merger Agreement and should not rely on the representations, warranties, covenants and agreements, or any descriptions thereof, as characterizations of the actual state of facts or condition of any party to the Merger Agreement. The Merger Agreement has been attached to provide investors with information regarding its terms. It is not intended to provide any other factual information about DXL or FBB or any other party to the Merger Agreement or any related agreement.</w:t>
      </w:r>
    </w:p>
    <w:p>
      <w:pPr>
        <w:spacing w:after="0" w:line="171" w:lineRule="exact"/>
        <w:rPr>
          <w:sz w:val="20"/>
          <w:szCs w:val="20"/>
          <w:color w:val="auto"/>
        </w:rPr>
      </w:pPr>
    </w:p>
    <w:p>
      <w:pPr>
        <w:ind w:right="280" w:firstLine="315"/>
        <w:spacing w:after="0" w:line="276" w:lineRule="auto"/>
        <w:rPr>
          <w:sz w:val="20"/>
          <w:szCs w:val="20"/>
          <w:color w:val="auto"/>
        </w:rPr>
      </w:pPr>
      <w:r>
        <w:rPr>
          <w:rFonts w:ascii="Times New Roman" w:cs="Times New Roman" w:eastAsia="Times New Roman" w:hAnsi="Times New Roman"/>
          <w:sz w:val="16"/>
          <w:szCs w:val="16"/>
          <w:color w:val="auto"/>
        </w:rPr>
        <w:t>The foregoing description of the Merger Agreement does not purport to be complete and is qualified in its entirety by reference to the full text of the Merger Agreement, which is attached hereto as Exhibit 2.1 and incorporated herein by reference.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196" w:lineRule="exact"/>
        <w:rPr>
          <w:sz w:val="20"/>
          <w:szCs w:val="20"/>
          <w:color w:val="auto"/>
        </w:rPr>
      </w:pPr>
    </w:p>
    <w:p>
      <w:pPr>
        <w:ind w:right="120" w:firstLine="751"/>
        <w:spacing w:after="0" w:line="276" w:lineRule="auto"/>
        <w:rPr>
          <w:sz w:val="20"/>
          <w:szCs w:val="20"/>
          <w:color w:val="auto"/>
        </w:rPr>
      </w:pPr>
      <w:r>
        <w:rPr>
          <w:rFonts w:ascii="Times New Roman" w:cs="Times New Roman" w:eastAsia="Times New Roman" w:hAnsi="Times New Roman"/>
          <w:sz w:val="16"/>
          <w:szCs w:val="16"/>
          <w:color w:val="auto"/>
        </w:rPr>
        <w:t>On December 11, 2025, DXL and FBB issued a joint press release announcing that they had entered into the Merger Agreement. A copy of the joint press release is furnished herewith as Exhibit 99.1 to this Current Report on Form 8-K.</w:t>
      </w:r>
    </w:p>
    <w:p>
      <w:pPr>
        <w:spacing w:after="0" w:line="1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An Investor Presentation containing additional information regarding the Merger is furnished herewith as Exhibit 99.2 to this Current Report on Form 8-K.</w:t>
      </w:r>
    </w:p>
    <w:p>
      <w:pPr>
        <w:spacing w:after="0" w:line="194" w:lineRule="exact"/>
        <w:rPr>
          <w:sz w:val="20"/>
          <w:szCs w:val="20"/>
          <w:color w:val="auto"/>
        </w:rPr>
      </w:pPr>
    </w:p>
    <w:p>
      <w:pPr>
        <w:ind w:right="20" w:firstLine="315"/>
        <w:spacing w:after="0" w:line="261" w:lineRule="auto"/>
        <w:rPr>
          <w:sz w:val="20"/>
          <w:szCs w:val="20"/>
          <w:color w:val="auto"/>
        </w:rPr>
      </w:pPr>
      <w:r>
        <w:rPr>
          <w:rFonts w:ascii="Times New Roman" w:cs="Times New Roman" w:eastAsia="Times New Roman" w:hAnsi="Times New Roman"/>
          <w:sz w:val="16"/>
          <w:szCs w:val="16"/>
          <w:color w:val="auto"/>
        </w:rPr>
        <w:t>On December 11, 2025, the documents attached hereto as Exhibit 99.3, Exhibit 99.4, Exhibit 99.5, Exhibit 99.6, Exhibit 99.7, Exhibit 99.8 and Exhibit 99.10 are being disseminated by DXL and/or FBB in connection with the Merger. An exhibit containing additional information regarding certain participants in the solicitation is attached hereto as Exhibit 99.9.</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196" w:lineRule="exact"/>
        <w:rPr>
          <w:sz w:val="20"/>
          <w:szCs w:val="20"/>
          <w:color w:val="auto"/>
        </w:rPr>
      </w:pPr>
    </w:p>
    <w:p>
      <w:pPr>
        <w:ind w:right="460" w:firstLine="751"/>
        <w:spacing w:after="0" w:line="279" w:lineRule="auto"/>
        <w:rPr>
          <w:sz w:val="20"/>
          <w:szCs w:val="20"/>
          <w:color w:val="auto"/>
        </w:rPr>
      </w:pPr>
      <w:r>
        <w:rPr>
          <w:rFonts w:ascii="Times New Roman" w:cs="Times New Roman" w:eastAsia="Times New Roman" w:hAnsi="Times New Roman"/>
          <w:sz w:val="15"/>
          <w:szCs w:val="15"/>
          <w:color w:val="auto"/>
        </w:rPr>
        <w:t>In addition to historical information, this document contains forward-looking statements within the meaning of Section 27A of the Securities Act of 1933, as amended, and Section 21E of the Securities Exchange Act of 1934, as amended. These forward-looking statements, which are based on current expectations, estimates and projections about the industry and markets in which DXL and FBB operate and beliefs of and assumptions made by DXL management and FBB management, involve uncertainties that could significantly affect the financial results of DXL or FBB or the combined company. Words such as “anticipates,” “believes,”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389890</wp:posOffset>
            </wp:positionV>
            <wp:extent cx="717486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689" w:right="339" w:bottom="1440" w:gutter="0" w:footer="0" w:header="0"/>
        </w:sectPr>
      </w:pPr>
    </w:p>
    <w:bookmarkStart w:id="3" w:name="page4"/>
    <w:bookmarkEnd w:id="3"/>
    <w:p>
      <w:pPr>
        <w:ind w:right="20"/>
        <w:spacing w:after="0" w:line="248" w:lineRule="auto"/>
        <w:rPr>
          <w:sz w:val="20"/>
          <w:szCs w:val="20"/>
          <w:color w:val="auto"/>
        </w:rPr>
      </w:pPr>
      <w:r>
        <w:rPr>
          <w:rFonts w:ascii="Times New Roman" w:cs="Times New Roman" w:eastAsia="Times New Roman" w:hAnsi="Times New Roman"/>
          <w:sz w:val="16"/>
          <w:szCs w:val="16"/>
          <w:color w:val="auto"/>
        </w:rPr>
        <w:t xml:space="preserve">“estimates,” “expects,” “intends,” “plans,” “seeks” and variations of such words and similar expressions are intended to identify such forward-looking statements, which generally are not historical in nature. With respect to any such forward-looking statements, DXL and FBB each claim the protection provided for in the Private Securities Litigation Reform Act of 1995. Such forward-looking statements include, but are not limited to, statements about the benefits of the transaction involving DXL and FBB, including future financial and operating results and the combined company’s plans, objectives, expectations and intentions. All statements that address operating performance, events or developments that we expect or anticipate will occur in the future — including statements relating to creating value for stockholders, integrating DXL and FBB, and the expected timing for completing the Merger — are forward-looking statements. These statements are not guarantees of future performance and involve certain risks, uncertainties and assumptions that are difficult to predict. Although we believe the expectations reflected in any forward-looking statements are based on reasonable assumptions, we can give no assurance that our expectations will be attained and therefore, actual outcomes and results may differ materially from what is expressed or forecasted in such forward-looking statements. For example, these forward-looking statements could be affected by factors including, without limitation, risks associated with the ability to consummate the Merger and the timing of the closing of the Merger; the conditions to the completion of the Merger, including the receipt of DXL stockholder approval for the Merger; the ability to successfully integrate and scale our operations and employees; the ability and timing to realize anticipated benefits and synergies of the Merger; the potential impact of the announcement, pendency or consummation of the Merger on relationships, including with employees, customers, credit rating agencies, suppliers and competitors; the ability to retain key personnel; the challenging macroeconomic environment, including volatility and changes in global trade policies, and the ability of the combined company to mitigate potential tariff exposure and maintain supply; the ability to achieve performance targets; changes in financial markets, interest rates and foreign currency exchange rates; negative rating agency actions; the outcome of any legal proceedings that may be instituted against DXL or FBB; the risk that any announcements relating to the Merger could have adverse effects on the market price of the common stock of DXL; diversion of management’s attention from ongoing business operations and opportunities; and those additional risks and factors detailed in the Proxy Statement referenced below when available and other reports filed with the SEC by DXL from time to time, including those discussed under the heading “Risk Factors” in DXL’s most recently filed Annual Report on Form 10-K. These documents are available through our website or through the SEC’s Electronic Data Gathering and Analysis Retrieval (EDGAR) system at </w:t>
      </w:r>
      <w:r>
        <w:rPr>
          <w:rFonts w:ascii="Times New Roman" w:cs="Times New Roman" w:eastAsia="Times New Roman" w:hAnsi="Times New Roman"/>
          <w:sz w:val="16"/>
          <w:szCs w:val="16"/>
          <w:i w:val="1"/>
          <w:iCs w:val="1"/>
          <w:color w:val="auto"/>
        </w:rPr>
        <w:t>http://www.sec.gov</w:t>
      </w:r>
      <w:r>
        <w:rPr>
          <w:rFonts w:ascii="Times New Roman" w:cs="Times New Roman" w:eastAsia="Times New Roman" w:hAnsi="Times New Roman"/>
          <w:sz w:val="16"/>
          <w:szCs w:val="16"/>
          <w:color w:val="auto"/>
        </w:rPr>
        <w:t>. Neither DXL nor FBB undertakes any duty to update any forward-looking statements contained herein, whether as a result of new information or developments, future events or otherwise, except as required by law. Readers are cautioned not to place undue reliance on any of these forward-looking statements.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Additional Information About the Merger and Where to Find It</w:t>
      </w:r>
    </w:p>
    <w:p>
      <w:pPr>
        <w:spacing w:after="0" w:line="196" w:lineRule="exact"/>
        <w:rPr>
          <w:sz w:val="20"/>
          <w:szCs w:val="20"/>
          <w:color w:val="auto"/>
        </w:rPr>
      </w:pPr>
    </w:p>
    <w:p>
      <w:pPr>
        <w:ind w:firstLine="751"/>
        <w:spacing w:after="0" w:line="272" w:lineRule="auto"/>
        <w:rPr>
          <w:sz w:val="20"/>
          <w:szCs w:val="20"/>
          <w:color w:val="auto"/>
        </w:rPr>
      </w:pPr>
      <w:r>
        <w:rPr>
          <w:rFonts w:ascii="Times New Roman" w:cs="Times New Roman" w:eastAsia="Times New Roman" w:hAnsi="Times New Roman"/>
          <w:sz w:val="15"/>
          <w:szCs w:val="15"/>
          <w:color w:val="auto"/>
        </w:rPr>
        <w:t xml:space="preserve">In connection with the Merger, DXL intends to file a proxy statement (the “Proxy Statement”), which will be distributed to the stockholders of DXL in connection with their votes on the issuance of DXL Common Stock in the Merger. Investors and security holders are encouraged to read the Proxy Statement when it becomes available (and any other documents filed with the Securities and Exchange Commission (the “SEC”) in connection with the Merger or incorporated by reference into the Proxy Statement) because such documents will contain important information regarding the Merger and related matters. Investors and security holders will be able to obtain these documents, and any other documents DXL has filed with the SEC, free of charge at the SEC’s website, </w:t>
      </w:r>
      <w:r>
        <w:rPr>
          <w:rFonts w:ascii="Times New Roman" w:cs="Times New Roman" w:eastAsia="Times New Roman" w:hAnsi="Times New Roman"/>
          <w:sz w:val="15"/>
          <w:szCs w:val="15"/>
          <w:i w:val="1"/>
          <w:iCs w:val="1"/>
          <w:color w:val="auto"/>
        </w:rPr>
        <w:t>www.sec.gov</w:t>
      </w:r>
      <w:r>
        <w:rPr>
          <w:rFonts w:ascii="Times New Roman" w:cs="Times New Roman" w:eastAsia="Times New Roman" w:hAnsi="Times New Roman"/>
          <w:sz w:val="15"/>
          <w:szCs w:val="15"/>
          <w:color w:val="auto"/>
        </w:rPr>
        <w:t xml:space="preserve">, or by accessing DXL’s website at </w:t>
      </w:r>
      <w:r>
        <w:rPr>
          <w:rFonts w:ascii="Times New Roman" w:cs="Times New Roman" w:eastAsia="Times New Roman" w:hAnsi="Times New Roman"/>
          <w:sz w:val="15"/>
          <w:szCs w:val="15"/>
          <w:i w:val="1"/>
          <w:iCs w:val="1"/>
          <w:color w:val="auto"/>
        </w:rPr>
        <w:t>investor.dxl.com</w:t>
      </w:r>
      <w:r>
        <w:rPr>
          <w:rFonts w:ascii="Times New Roman" w:cs="Times New Roman" w:eastAsia="Times New Roman" w:hAnsi="Times New Roman"/>
          <w:sz w:val="15"/>
          <w:szCs w:val="15"/>
          <w:color w:val="auto"/>
        </w:rPr>
        <w:t>. In addition, documents filed with the SEC by DXL will be available free of charge by writing to DXL at 555 Turnpike Street, Canton, Massachusetts 02021, Attention: Corporate Secretary.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Participants in the Solicitation</w:t>
      </w:r>
    </w:p>
    <w:p>
      <w:pPr>
        <w:spacing w:after="0" w:line="196" w:lineRule="exact"/>
        <w:rPr>
          <w:sz w:val="20"/>
          <w:szCs w:val="20"/>
          <w:color w:val="auto"/>
        </w:rPr>
      </w:pPr>
    </w:p>
    <w:p>
      <w:pPr>
        <w:ind w:right="40" w:firstLine="751"/>
        <w:spacing w:after="0" w:line="251" w:lineRule="auto"/>
        <w:rPr>
          <w:sz w:val="20"/>
          <w:szCs w:val="20"/>
          <w:color w:val="auto"/>
        </w:rPr>
      </w:pPr>
      <w:r>
        <w:rPr>
          <w:rFonts w:ascii="Times New Roman" w:cs="Times New Roman" w:eastAsia="Times New Roman" w:hAnsi="Times New Roman"/>
          <w:sz w:val="16"/>
          <w:szCs w:val="16"/>
          <w:color w:val="auto"/>
        </w:rPr>
        <w:t>DXL and certain of its directors and executive officers may be deemed to be participants in the solicitation of proxies from the stockholders of DXL in connection with the Merger. Information about DXL’s directors and executive officers, including a description of their direct or indirect interests, by security holdings or otherwise, is set forth in DXL’s proxy statement for its 2025 annual meeting of stockholders, which was filed with the SEC on June 30, 2025, including under the headings “Director Compensation,” “Compensation Discussion and Analysis,” “Executive Compensation,” “Security Ownership of Management.” To the extent holdings of DXL Common Stock by the directors and executive officers of DXL have changed from the amounts of DXL Common Stock held by such persons as reflected therein, such changes have been or will be reflected on Initial Statements of Beneficial Ownership of Securities on Form 3, Statements of Changes in Beneficial Ownership on Form 4 or Annual Statements of Changes in Beneficial Ownership of Securities on Form 5, in each case filed with the SEC, including the Form 4s filed by each of the non-executive directors on August 6, 2025, the Form 4s filed by each of the executive officers on September 3, 2025 and the Form 4s filed by each of the non-executive directors on November 5, 2025.</w:t>
      </w:r>
    </w:p>
    <w:p>
      <w:pPr>
        <w:spacing w:after="0" w:line="16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FBB and its chief executive officer may be deemed to be participants in the solicitation of proxies from the stockholders of DXL in connection with the Merger.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Information about FBB and its chief executive officer has been attached hereto as Exhibit 99.9.</w:t>
      </w:r>
    </w:p>
    <w:p>
      <w:pPr>
        <w:spacing w:after="0" w:line="177" w:lineRule="exact"/>
        <w:rPr>
          <w:sz w:val="20"/>
          <w:szCs w:val="20"/>
          <w:color w:val="auto"/>
        </w:rPr>
      </w:pPr>
    </w:p>
    <w:p>
      <w:pPr>
        <w:ind w:right="280" w:firstLine="751"/>
        <w:spacing w:after="0" w:line="276" w:lineRule="auto"/>
        <w:rPr>
          <w:sz w:val="20"/>
          <w:szCs w:val="20"/>
          <w:color w:val="auto"/>
        </w:rPr>
      </w:pPr>
      <w:r>
        <w:rPr>
          <w:rFonts w:ascii="Times New Roman" w:cs="Times New Roman" w:eastAsia="Times New Roman" w:hAnsi="Times New Roman"/>
          <w:sz w:val="16"/>
          <w:szCs w:val="16"/>
          <w:color w:val="auto"/>
        </w:rPr>
        <w:t>Additional information regarding the participants in the proxy solicitation and a description of their direct and indirect interests, by security holdings or otherwise, will be contained in the Proxy Statement regarding the Merger when it becomes available. Free copies of this document may be obtained as described above.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 Offer or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542925</wp:posOffset>
            </wp:positionV>
            <wp:extent cx="717486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91" w:right="319" w:bottom="1440" w:gutter="0" w:footer="0" w:header="0"/>
        </w:sectPr>
      </w:pPr>
    </w:p>
    <w:bookmarkStart w:id="4" w:name="page5"/>
    <w:bookmarkEnd w:id="4"/>
    <w:p>
      <w:pPr>
        <w:jc w:val="both"/>
        <w:ind w:left="5" w:firstLine="751"/>
        <w:spacing w:after="0" w:line="261" w:lineRule="auto"/>
        <w:rPr>
          <w:sz w:val="20"/>
          <w:szCs w:val="20"/>
          <w:color w:val="auto"/>
        </w:rPr>
      </w:pPr>
      <w:r>
        <w:rPr>
          <w:rFonts w:ascii="Times New Roman" w:cs="Times New Roman" w:eastAsia="Times New Roman" w:hAnsi="Times New Roman"/>
          <w:sz w:val="16"/>
          <w:szCs w:val="16"/>
          <w:color w:val="auto"/>
        </w:rPr>
        <w:t>This communication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w:t>
      </w:r>
    </w:p>
    <w:p>
      <w:pPr>
        <w:spacing w:after="0" w:line="36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96" w:lineRule="exact"/>
        <w:rPr>
          <w:sz w:val="20"/>
          <w:szCs w:val="20"/>
          <w:color w:val="auto"/>
        </w:rPr>
      </w:pPr>
    </w:p>
    <w:tbl>
      <w:tblPr>
        <w:tblLayout w:type="fixed"/>
        <w:tblInd w:w="5" w:type="dxa"/>
        <w:tblCellMar>
          <w:top w:w="0" w:type="dxa"/>
          <w:left w:w="0" w:type="dxa"/>
          <w:bottom w:w="0" w:type="dxa"/>
          <w:right w:w="0" w:type="dxa"/>
        </w:tblCellMar>
      </w:tblPr>
      <w:tr>
        <w:trPr>
          <w:trHeight w:val="206"/>
        </w:trPr>
        <w:tc>
          <w:tcPr>
            <w:tcW w:w="720" w:type="dxa"/>
            <w:vAlign w:val="bottom"/>
          </w:tcPr>
          <w:p>
            <w:pPr>
              <w:spacing w:after="0"/>
              <w:rPr>
                <w:sz w:val="17"/>
                <w:szCs w:val="17"/>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 Exhibits</w:t>
            </w: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42"/>
        </w:trPr>
        <w:tc>
          <w:tcPr>
            <w:tcW w:w="2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8840" w:type="dxa"/>
            <w:vAlign w:val="bottom"/>
            <w:gridSpan w:val="13"/>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72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2.1*</w:t>
            </w:r>
          </w:p>
        </w:tc>
        <w:tc>
          <w:tcPr>
            <w:tcW w:w="1640" w:type="dxa"/>
            <w:vAlign w:val="bottom"/>
          </w:tcPr>
          <w:p>
            <w:pPr>
              <w:spacing w:after="0"/>
              <w:rPr>
                <w:sz w:val="14"/>
                <w:szCs w:val="14"/>
                <w:color w:val="auto"/>
              </w:rPr>
            </w:pPr>
          </w:p>
        </w:tc>
        <w:tc>
          <w:tcPr>
            <w:tcW w:w="8800" w:type="dxa"/>
            <w:vAlign w:val="bottom"/>
            <w:tcBorders>
              <w:bottom w:val="single" w:sz="8" w:color="0000FF"/>
            </w:tcBorders>
            <w:gridSpan w:val="12"/>
          </w:tcPr>
          <w:p>
            <w:pPr>
              <w:spacing w:after="0" w:line="169" w:lineRule="exact"/>
              <w:rPr>
                <w:sz w:val="20"/>
                <w:szCs w:val="20"/>
                <w:color w:val="auto"/>
              </w:rPr>
            </w:pPr>
            <w:r>
              <w:rPr>
                <w:rFonts w:ascii="Times New Roman" w:cs="Times New Roman" w:eastAsia="Times New Roman" w:hAnsi="Times New Roman"/>
                <w:sz w:val="16"/>
                <w:szCs w:val="16"/>
                <w:color w:val="0000FF"/>
                <w:w w:val="98"/>
              </w:rPr>
              <w:t>Agreement and Plan of Merger, dated December 11, 2025, by and among Destination XL Group, Inc., Divine Merger Sub I, Inc., and FBB</w:t>
            </w:r>
          </w:p>
        </w:tc>
        <w:tc>
          <w:tcPr>
            <w:tcW w:w="40" w:type="dxa"/>
            <w:vAlign w:val="bottom"/>
          </w:tcPr>
          <w:p>
            <w:pPr>
              <w:spacing w:after="0"/>
              <w:rPr>
                <w:sz w:val="14"/>
                <w:szCs w:val="14"/>
                <w:color w:val="auto"/>
              </w:rPr>
            </w:pPr>
          </w:p>
        </w:tc>
      </w:tr>
      <w:tr>
        <w:trPr>
          <w:trHeight w:val="169"/>
        </w:trPr>
        <w:tc>
          <w:tcPr>
            <w:tcW w:w="7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840" w:type="dxa"/>
            <w:vAlign w:val="bottom"/>
            <w:gridSpan w:val="13"/>
          </w:tcPr>
          <w:p>
            <w:pPr>
              <w:spacing w:after="0" w:line="169" w:lineRule="exact"/>
              <w:rPr>
                <w:sz w:val="20"/>
                <w:szCs w:val="20"/>
                <w:color w:val="auto"/>
              </w:rPr>
            </w:pPr>
            <w:r>
              <w:rPr>
                <w:rFonts w:ascii="Times New Roman" w:cs="Times New Roman" w:eastAsia="Times New Roman" w:hAnsi="Times New Roman"/>
                <w:sz w:val="16"/>
                <w:szCs w:val="16"/>
                <w:color w:val="0000FF"/>
              </w:rPr>
              <w:t>Holdings I, Inc.</w:t>
            </w:r>
          </w:p>
        </w:tc>
      </w:tr>
      <w:tr>
        <w:trPr>
          <w:trHeight w:val="20"/>
        </w:trPr>
        <w:tc>
          <w:tcPr>
            <w:tcW w:w="7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r>
      <w:tr>
        <w:trPr>
          <w:trHeight w:val="169"/>
        </w:trPr>
        <w:tc>
          <w:tcPr>
            <w:tcW w:w="72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99.1</w:t>
            </w:r>
          </w:p>
        </w:tc>
        <w:tc>
          <w:tcPr>
            <w:tcW w:w="1640" w:type="dxa"/>
            <w:vAlign w:val="bottom"/>
          </w:tcPr>
          <w:p>
            <w:pPr>
              <w:spacing w:after="0"/>
              <w:rPr>
                <w:sz w:val="14"/>
                <w:szCs w:val="14"/>
                <w:color w:val="auto"/>
              </w:rPr>
            </w:pPr>
          </w:p>
        </w:tc>
        <w:tc>
          <w:tcPr>
            <w:tcW w:w="8840" w:type="dxa"/>
            <w:vAlign w:val="bottom"/>
            <w:gridSpan w:val="13"/>
          </w:tcPr>
          <w:p>
            <w:pPr>
              <w:spacing w:after="0" w:line="169" w:lineRule="exact"/>
              <w:rPr>
                <w:sz w:val="20"/>
                <w:szCs w:val="20"/>
                <w:color w:val="auto"/>
              </w:rPr>
            </w:pPr>
            <w:r>
              <w:rPr>
                <w:rFonts w:ascii="Times New Roman" w:cs="Times New Roman" w:eastAsia="Times New Roman" w:hAnsi="Times New Roman"/>
                <w:sz w:val="16"/>
                <w:szCs w:val="16"/>
                <w:color w:val="0000FF"/>
              </w:rPr>
              <w:t>Joint Press Release, dated December 11, 2025</w:t>
            </w:r>
          </w:p>
        </w:tc>
      </w:tr>
      <w:tr>
        <w:trPr>
          <w:trHeight w:val="20"/>
        </w:trPr>
        <w:tc>
          <w:tcPr>
            <w:tcW w:w="7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r>
      <w:tr>
        <w:trPr>
          <w:trHeight w:val="169"/>
        </w:trPr>
        <w:tc>
          <w:tcPr>
            <w:tcW w:w="72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99.2</w:t>
            </w:r>
          </w:p>
        </w:tc>
        <w:tc>
          <w:tcPr>
            <w:tcW w:w="1640" w:type="dxa"/>
            <w:vAlign w:val="bottom"/>
          </w:tcPr>
          <w:p>
            <w:pPr>
              <w:spacing w:after="0"/>
              <w:rPr>
                <w:sz w:val="14"/>
                <w:szCs w:val="14"/>
                <w:color w:val="auto"/>
              </w:rPr>
            </w:pPr>
          </w:p>
        </w:tc>
        <w:tc>
          <w:tcPr>
            <w:tcW w:w="3040" w:type="dxa"/>
            <w:vAlign w:val="bottom"/>
            <w:tcBorders>
              <w:bottom w:val="single" w:sz="8" w:color="0000FF"/>
            </w:tcBorders>
            <w:gridSpan w:val="7"/>
          </w:tcPr>
          <w:p>
            <w:pPr>
              <w:spacing w:after="0" w:line="169" w:lineRule="exact"/>
              <w:rPr>
                <w:sz w:val="20"/>
                <w:szCs w:val="20"/>
                <w:color w:val="auto"/>
              </w:rPr>
            </w:pPr>
            <w:r>
              <w:rPr>
                <w:rFonts w:ascii="Times New Roman" w:cs="Times New Roman" w:eastAsia="Times New Roman" w:hAnsi="Times New Roman"/>
                <w:sz w:val="16"/>
                <w:szCs w:val="16"/>
                <w:color w:val="0000FF"/>
                <w:w w:val="98"/>
              </w:rPr>
              <w:t>Investor Presentation, dated December 11, 2025</w:t>
            </w:r>
          </w:p>
        </w:tc>
        <w:tc>
          <w:tcPr>
            <w:tcW w:w="20" w:type="dxa"/>
            <w:vAlign w:val="bottom"/>
            <w:tcBorders>
              <w:bottom w:val="single" w:sz="8" w:color="0000EE"/>
            </w:tcBorders>
          </w:tcPr>
          <w:p>
            <w:pPr>
              <w:spacing w:after="0"/>
              <w:rPr>
                <w:sz w:val="14"/>
                <w:szCs w:val="14"/>
                <w:color w:val="auto"/>
              </w:rPr>
            </w:pPr>
          </w:p>
        </w:tc>
        <w:tc>
          <w:tcPr>
            <w:tcW w:w="5780" w:type="dxa"/>
            <w:vAlign w:val="bottom"/>
            <w:gridSpan w:val="5"/>
          </w:tcPr>
          <w:p>
            <w:pPr>
              <w:spacing w:after="0"/>
              <w:rPr>
                <w:sz w:val="14"/>
                <w:szCs w:val="14"/>
                <w:color w:val="auto"/>
              </w:rPr>
            </w:pPr>
          </w:p>
        </w:tc>
      </w:tr>
      <w:tr>
        <w:trPr>
          <w:trHeight w:val="169"/>
        </w:trPr>
        <w:tc>
          <w:tcPr>
            <w:tcW w:w="72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99.3</w:t>
            </w:r>
          </w:p>
        </w:tc>
        <w:tc>
          <w:tcPr>
            <w:tcW w:w="1640" w:type="dxa"/>
            <w:vAlign w:val="bottom"/>
          </w:tcPr>
          <w:p>
            <w:pPr>
              <w:spacing w:after="0"/>
              <w:rPr>
                <w:sz w:val="14"/>
                <w:szCs w:val="14"/>
                <w:color w:val="auto"/>
              </w:rPr>
            </w:pPr>
          </w:p>
        </w:tc>
        <w:tc>
          <w:tcPr>
            <w:tcW w:w="4380" w:type="dxa"/>
            <w:vAlign w:val="bottom"/>
            <w:tcBorders>
              <w:bottom w:val="single" w:sz="8" w:color="0000FF"/>
            </w:tcBorders>
            <w:gridSpan w:val="11"/>
          </w:tcPr>
          <w:p>
            <w:pPr>
              <w:spacing w:after="0" w:line="169" w:lineRule="exact"/>
              <w:rPr>
                <w:sz w:val="20"/>
                <w:szCs w:val="20"/>
                <w:color w:val="auto"/>
              </w:rPr>
            </w:pPr>
            <w:r>
              <w:rPr>
                <w:rFonts w:ascii="Times New Roman" w:cs="Times New Roman" w:eastAsia="Times New Roman" w:hAnsi="Times New Roman"/>
                <w:sz w:val="16"/>
                <w:szCs w:val="16"/>
                <w:color w:val="0000FF"/>
                <w:w w:val="98"/>
              </w:rPr>
              <w:t>Letter to Destination XL Group, Inc. Employees from Harvey Kanter</w:t>
            </w:r>
          </w:p>
        </w:tc>
        <w:tc>
          <w:tcPr>
            <w:tcW w:w="4460" w:type="dxa"/>
            <w:vAlign w:val="bottom"/>
            <w:gridSpan w:val="2"/>
          </w:tcPr>
          <w:p>
            <w:pPr>
              <w:spacing w:after="0"/>
              <w:rPr>
                <w:sz w:val="14"/>
                <w:szCs w:val="14"/>
                <w:color w:val="auto"/>
              </w:rPr>
            </w:pPr>
          </w:p>
        </w:tc>
      </w:tr>
      <w:tr>
        <w:trPr>
          <w:trHeight w:val="169"/>
        </w:trPr>
        <w:tc>
          <w:tcPr>
            <w:tcW w:w="72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99.4</w:t>
            </w:r>
          </w:p>
        </w:tc>
        <w:tc>
          <w:tcPr>
            <w:tcW w:w="1640" w:type="dxa"/>
            <w:vAlign w:val="bottom"/>
          </w:tcPr>
          <w:p>
            <w:pPr>
              <w:spacing w:after="0"/>
              <w:rPr>
                <w:sz w:val="14"/>
                <w:szCs w:val="14"/>
                <w:color w:val="auto"/>
              </w:rPr>
            </w:pPr>
          </w:p>
        </w:tc>
        <w:tc>
          <w:tcPr>
            <w:tcW w:w="4200" w:type="dxa"/>
            <w:vAlign w:val="bottom"/>
            <w:tcBorders>
              <w:bottom w:val="single" w:sz="8" w:color="0000FF"/>
            </w:tcBorders>
            <w:gridSpan w:val="10"/>
          </w:tcPr>
          <w:p>
            <w:pPr>
              <w:spacing w:after="0" w:line="169" w:lineRule="exact"/>
              <w:rPr>
                <w:sz w:val="20"/>
                <w:szCs w:val="20"/>
                <w:color w:val="auto"/>
              </w:rPr>
            </w:pPr>
            <w:r>
              <w:rPr>
                <w:rFonts w:ascii="Times New Roman" w:cs="Times New Roman" w:eastAsia="Times New Roman" w:hAnsi="Times New Roman"/>
                <w:sz w:val="16"/>
                <w:szCs w:val="16"/>
                <w:color w:val="0000FF"/>
                <w:w w:val="98"/>
              </w:rPr>
              <w:t>Letter to Destination XL Group, Inc. Employees from Jim Fogarty</w:t>
            </w:r>
          </w:p>
        </w:tc>
        <w:tc>
          <w:tcPr>
            <w:tcW w:w="4640" w:type="dxa"/>
            <w:vAlign w:val="bottom"/>
            <w:gridSpan w:val="3"/>
          </w:tcPr>
          <w:p>
            <w:pPr>
              <w:spacing w:after="0"/>
              <w:rPr>
                <w:sz w:val="14"/>
                <w:szCs w:val="14"/>
                <w:color w:val="auto"/>
              </w:rPr>
            </w:pPr>
          </w:p>
        </w:tc>
      </w:tr>
      <w:tr>
        <w:trPr>
          <w:trHeight w:val="169"/>
        </w:trPr>
        <w:tc>
          <w:tcPr>
            <w:tcW w:w="72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99.5</w:t>
            </w:r>
          </w:p>
        </w:tc>
        <w:tc>
          <w:tcPr>
            <w:tcW w:w="1640" w:type="dxa"/>
            <w:vAlign w:val="bottom"/>
          </w:tcPr>
          <w:p>
            <w:pPr>
              <w:spacing w:after="0"/>
              <w:rPr>
                <w:sz w:val="14"/>
                <w:szCs w:val="14"/>
                <w:color w:val="auto"/>
              </w:rPr>
            </w:pPr>
          </w:p>
        </w:tc>
        <w:tc>
          <w:tcPr>
            <w:tcW w:w="8840" w:type="dxa"/>
            <w:vAlign w:val="bottom"/>
            <w:gridSpan w:val="13"/>
          </w:tcPr>
          <w:p>
            <w:pPr>
              <w:spacing w:after="0" w:line="169" w:lineRule="exact"/>
              <w:rPr>
                <w:sz w:val="20"/>
                <w:szCs w:val="20"/>
                <w:color w:val="auto"/>
              </w:rPr>
            </w:pPr>
            <w:r>
              <w:rPr>
                <w:rFonts w:ascii="Times New Roman" w:cs="Times New Roman" w:eastAsia="Times New Roman" w:hAnsi="Times New Roman"/>
                <w:sz w:val="16"/>
                <w:szCs w:val="16"/>
                <w:color w:val="0000FF"/>
              </w:rPr>
              <w:t>Letter to Destination XL Group, Inc. Rewards Club Members</w:t>
            </w:r>
          </w:p>
        </w:tc>
      </w:tr>
      <w:tr>
        <w:trPr>
          <w:trHeight w:val="20"/>
        </w:trPr>
        <w:tc>
          <w:tcPr>
            <w:tcW w:w="7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00" w:type="dxa"/>
            <w:vAlign w:val="bottom"/>
            <w:tcBorders>
              <w:right w:val="single" w:sz="8" w:color="0000EE"/>
            </w:tcBorders>
            <w:gridSpan w:val="4"/>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r>
      <w:tr>
        <w:trPr>
          <w:trHeight w:val="169"/>
        </w:trPr>
        <w:tc>
          <w:tcPr>
            <w:tcW w:w="72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99.6</w:t>
            </w:r>
          </w:p>
        </w:tc>
        <w:tc>
          <w:tcPr>
            <w:tcW w:w="1640" w:type="dxa"/>
            <w:vAlign w:val="bottom"/>
          </w:tcPr>
          <w:p>
            <w:pPr>
              <w:spacing w:after="0"/>
              <w:rPr>
                <w:sz w:val="14"/>
                <w:szCs w:val="14"/>
                <w:color w:val="auto"/>
              </w:rPr>
            </w:pPr>
          </w:p>
        </w:tc>
        <w:tc>
          <w:tcPr>
            <w:tcW w:w="4380" w:type="dxa"/>
            <w:vAlign w:val="bottom"/>
            <w:tcBorders>
              <w:bottom w:val="single" w:sz="8" w:color="0000FF"/>
            </w:tcBorders>
            <w:gridSpan w:val="11"/>
          </w:tcPr>
          <w:p>
            <w:pPr>
              <w:spacing w:after="0" w:line="169" w:lineRule="exact"/>
              <w:rPr>
                <w:sz w:val="20"/>
                <w:szCs w:val="20"/>
                <w:color w:val="auto"/>
              </w:rPr>
            </w:pPr>
            <w:r>
              <w:rPr>
                <w:rFonts w:ascii="Times New Roman" w:cs="Times New Roman" w:eastAsia="Times New Roman" w:hAnsi="Times New Roman"/>
                <w:sz w:val="16"/>
                <w:szCs w:val="16"/>
                <w:color w:val="0000FF"/>
                <w:w w:val="98"/>
              </w:rPr>
              <w:t>Letter to Destination XL Group, Inc. Business Partners and Suppliers</w:t>
            </w:r>
          </w:p>
        </w:tc>
        <w:tc>
          <w:tcPr>
            <w:tcW w:w="4460" w:type="dxa"/>
            <w:vAlign w:val="bottom"/>
            <w:gridSpan w:val="2"/>
          </w:tcPr>
          <w:p>
            <w:pPr>
              <w:spacing w:after="0"/>
              <w:rPr>
                <w:sz w:val="14"/>
                <w:szCs w:val="14"/>
                <w:color w:val="auto"/>
              </w:rPr>
            </w:pPr>
          </w:p>
        </w:tc>
      </w:tr>
      <w:tr>
        <w:trPr>
          <w:trHeight w:val="169"/>
        </w:trPr>
        <w:tc>
          <w:tcPr>
            <w:tcW w:w="72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99.7</w:t>
            </w:r>
          </w:p>
        </w:tc>
        <w:tc>
          <w:tcPr>
            <w:tcW w:w="1640" w:type="dxa"/>
            <w:vAlign w:val="bottom"/>
          </w:tcPr>
          <w:p>
            <w:pPr>
              <w:spacing w:after="0"/>
              <w:rPr>
                <w:sz w:val="14"/>
                <w:szCs w:val="14"/>
                <w:color w:val="auto"/>
              </w:rPr>
            </w:pPr>
          </w:p>
        </w:tc>
        <w:tc>
          <w:tcPr>
            <w:tcW w:w="1520" w:type="dxa"/>
            <w:vAlign w:val="bottom"/>
            <w:tcBorders>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6"/>
                <w:szCs w:val="16"/>
                <w:color w:val="0000FF"/>
                <w:w w:val="97"/>
              </w:rPr>
              <w:t>Transaction Infographic</w:t>
            </w:r>
          </w:p>
        </w:tc>
        <w:tc>
          <w:tcPr>
            <w:tcW w:w="20" w:type="dxa"/>
            <w:vAlign w:val="bottom"/>
            <w:tcBorders>
              <w:bottom w:val="single" w:sz="8" w:color="0000EE"/>
            </w:tcBorders>
          </w:tcPr>
          <w:p>
            <w:pPr>
              <w:spacing w:after="0"/>
              <w:rPr>
                <w:sz w:val="14"/>
                <w:szCs w:val="14"/>
                <w:color w:val="auto"/>
              </w:rPr>
            </w:pPr>
          </w:p>
        </w:tc>
        <w:tc>
          <w:tcPr>
            <w:tcW w:w="7300" w:type="dxa"/>
            <w:vAlign w:val="bottom"/>
            <w:gridSpan w:val="9"/>
          </w:tcPr>
          <w:p>
            <w:pPr>
              <w:spacing w:after="0"/>
              <w:rPr>
                <w:sz w:val="14"/>
                <w:szCs w:val="14"/>
                <w:color w:val="auto"/>
              </w:rPr>
            </w:pPr>
          </w:p>
        </w:tc>
      </w:tr>
      <w:tr>
        <w:trPr>
          <w:trHeight w:val="169"/>
        </w:trPr>
        <w:tc>
          <w:tcPr>
            <w:tcW w:w="72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99.8</w:t>
            </w:r>
          </w:p>
        </w:tc>
        <w:tc>
          <w:tcPr>
            <w:tcW w:w="1640" w:type="dxa"/>
            <w:vAlign w:val="bottom"/>
          </w:tcPr>
          <w:p>
            <w:pPr>
              <w:spacing w:after="0"/>
              <w:rPr>
                <w:sz w:val="14"/>
                <w:szCs w:val="14"/>
                <w:color w:val="auto"/>
              </w:rPr>
            </w:pPr>
          </w:p>
        </w:tc>
        <w:tc>
          <w:tcPr>
            <w:tcW w:w="8840" w:type="dxa"/>
            <w:vAlign w:val="bottom"/>
            <w:gridSpan w:val="13"/>
          </w:tcPr>
          <w:p>
            <w:pPr>
              <w:spacing w:after="0" w:line="169" w:lineRule="exact"/>
              <w:rPr>
                <w:sz w:val="20"/>
                <w:szCs w:val="20"/>
                <w:color w:val="auto"/>
              </w:rPr>
            </w:pPr>
            <w:r>
              <w:rPr>
                <w:rFonts w:ascii="Times New Roman" w:cs="Times New Roman" w:eastAsia="Times New Roman" w:hAnsi="Times New Roman"/>
                <w:sz w:val="16"/>
                <w:szCs w:val="16"/>
                <w:color w:val="0000FF"/>
              </w:rPr>
              <w:t>Friends and Family Infographic</w:t>
            </w:r>
          </w:p>
        </w:tc>
      </w:tr>
      <w:tr>
        <w:trPr>
          <w:trHeight w:val="20"/>
        </w:trPr>
        <w:tc>
          <w:tcPr>
            <w:tcW w:w="7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0" w:type="dxa"/>
            <w:vAlign w:val="bottom"/>
            <w:gridSpan w:val="5"/>
            <w:shd w:val="clear" w:color="auto" w:fill="0000FF"/>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4940" w:type="dxa"/>
            <w:vAlign w:val="bottom"/>
            <w:gridSpan w:val="4"/>
          </w:tcPr>
          <w:p>
            <w:pPr>
              <w:spacing w:after="0" w:line="20" w:lineRule="exact"/>
              <w:rPr>
                <w:sz w:val="1"/>
                <w:szCs w:val="1"/>
                <w:color w:val="auto"/>
              </w:rPr>
            </w:pPr>
          </w:p>
        </w:tc>
      </w:tr>
      <w:tr>
        <w:trPr>
          <w:trHeight w:val="169"/>
        </w:trPr>
        <w:tc>
          <w:tcPr>
            <w:tcW w:w="72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99.9</w:t>
            </w:r>
          </w:p>
        </w:tc>
        <w:tc>
          <w:tcPr>
            <w:tcW w:w="1640" w:type="dxa"/>
            <w:vAlign w:val="bottom"/>
          </w:tcPr>
          <w:p>
            <w:pPr>
              <w:spacing w:after="0"/>
              <w:rPr>
                <w:sz w:val="14"/>
                <w:szCs w:val="14"/>
                <w:color w:val="auto"/>
              </w:rPr>
            </w:pPr>
          </w:p>
        </w:tc>
        <w:tc>
          <w:tcPr>
            <w:tcW w:w="3900" w:type="dxa"/>
            <w:vAlign w:val="bottom"/>
            <w:tcBorders>
              <w:bottom w:val="single" w:sz="8" w:color="0000FF"/>
            </w:tcBorders>
            <w:gridSpan w:val="9"/>
          </w:tcPr>
          <w:p>
            <w:pPr>
              <w:spacing w:after="0" w:line="169" w:lineRule="exact"/>
              <w:rPr>
                <w:sz w:val="20"/>
                <w:szCs w:val="20"/>
                <w:color w:val="auto"/>
              </w:rPr>
            </w:pPr>
            <w:r>
              <w:rPr>
                <w:rFonts w:ascii="Times New Roman" w:cs="Times New Roman" w:eastAsia="Times New Roman" w:hAnsi="Times New Roman"/>
                <w:sz w:val="16"/>
                <w:szCs w:val="16"/>
                <w:color w:val="0000FF"/>
                <w:w w:val="97"/>
              </w:rPr>
              <w:t>Information Regarding Certain Participants in the Solicitation</w:t>
            </w:r>
          </w:p>
        </w:tc>
        <w:tc>
          <w:tcPr>
            <w:tcW w:w="4940" w:type="dxa"/>
            <w:vAlign w:val="bottom"/>
            <w:gridSpan w:val="4"/>
          </w:tcPr>
          <w:p>
            <w:pPr>
              <w:spacing w:after="0"/>
              <w:rPr>
                <w:sz w:val="14"/>
                <w:szCs w:val="14"/>
                <w:color w:val="auto"/>
              </w:rPr>
            </w:pPr>
          </w:p>
        </w:tc>
      </w:tr>
      <w:tr>
        <w:trPr>
          <w:trHeight w:val="188"/>
        </w:trPr>
        <w:tc>
          <w:tcPr>
            <w:tcW w:w="720" w:type="dxa"/>
            <w:vAlign w:val="bottom"/>
          </w:tcPr>
          <w:p>
            <w:pPr>
              <w:spacing w:after="0"/>
              <w:rPr>
                <w:sz w:val="20"/>
                <w:szCs w:val="20"/>
                <w:color w:val="auto"/>
              </w:rPr>
            </w:pPr>
            <w:r>
              <w:rPr>
                <w:rFonts w:ascii="Times New Roman" w:cs="Times New Roman" w:eastAsia="Times New Roman" w:hAnsi="Times New Roman"/>
                <w:sz w:val="16"/>
                <w:szCs w:val="16"/>
                <w:color w:val="auto"/>
              </w:rPr>
              <w:t>99.10</w:t>
            </w:r>
          </w:p>
        </w:tc>
        <w:tc>
          <w:tcPr>
            <w:tcW w:w="1640" w:type="dxa"/>
            <w:vAlign w:val="bottom"/>
          </w:tcPr>
          <w:p>
            <w:pPr>
              <w:spacing w:after="0"/>
              <w:rPr>
                <w:sz w:val="16"/>
                <w:szCs w:val="16"/>
                <w:color w:val="auto"/>
              </w:rPr>
            </w:pPr>
          </w:p>
        </w:tc>
        <w:tc>
          <w:tcPr>
            <w:tcW w:w="884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Store Inforgraphic</w:t>
            </w:r>
          </w:p>
        </w:tc>
      </w:tr>
      <w:tr>
        <w:trPr>
          <w:trHeight w:val="189"/>
        </w:trPr>
        <w:tc>
          <w:tcPr>
            <w:tcW w:w="72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1640" w:type="dxa"/>
            <w:vAlign w:val="bottom"/>
          </w:tcPr>
          <w:p>
            <w:pPr>
              <w:spacing w:after="0"/>
              <w:rPr>
                <w:sz w:val="16"/>
                <w:szCs w:val="16"/>
                <w:color w:val="auto"/>
              </w:rPr>
            </w:pPr>
          </w:p>
        </w:tc>
        <w:tc>
          <w:tcPr>
            <w:tcW w:w="8840" w:type="dxa"/>
            <w:vAlign w:val="bottom"/>
            <w:gridSpan w:val="13"/>
          </w:tcPr>
          <w:p>
            <w:pPr>
              <w:spacing w:after="0"/>
              <w:rPr>
                <w:sz w:val="20"/>
                <w:szCs w:val="20"/>
                <w:color w:val="auto"/>
              </w:rPr>
            </w:pPr>
            <w:r>
              <w:rPr>
                <w:rFonts w:ascii="Times New Roman" w:cs="Times New Roman" w:eastAsia="Times New Roman" w:hAnsi="Times New Roman"/>
                <w:sz w:val="16"/>
                <w:szCs w:val="16"/>
                <w:color w:val="auto"/>
                <w:w w:val="98"/>
              </w:rPr>
              <w:t>Cover Page Interactive Data File – The cover page interactive data file does not appear in the interactive data file because its XBRL tags are</w:t>
            </w:r>
          </w:p>
        </w:tc>
      </w:tr>
      <w:tr>
        <w:trPr>
          <w:trHeight w:val="206"/>
        </w:trPr>
        <w:tc>
          <w:tcPr>
            <w:tcW w:w="7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84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embedded within the Inline XBRL document.</w:t>
            </w:r>
          </w:p>
        </w:tc>
      </w:tr>
    </w:tbl>
    <w:p>
      <w:pPr>
        <w:spacing w:after="0" w:line="17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______________</w:t>
      </w:r>
    </w:p>
    <w:p>
      <w:pPr>
        <w:spacing w:after="0" w:line="22" w:lineRule="exact"/>
        <w:rPr>
          <w:sz w:val="20"/>
          <w:szCs w:val="20"/>
          <w:color w:val="auto"/>
        </w:rPr>
      </w:pPr>
    </w:p>
    <w:p>
      <w:pPr>
        <w:ind w:left="745" w:right="320" w:hanging="745"/>
        <w:spacing w:after="0" w:line="253" w:lineRule="auto"/>
        <w:tabs>
          <w:tab w:leader="none" w:pos="31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Schedules have been omitted pursuant to Item 601(b)(2) of Regulation S-K. DXL hereby agrees to furnish supplementally a copy of any of the omitted schedules upon request by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1002030</wp:posOffset>
            </wp:positionV>
            <wp:extent cx="717486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5"/>
          </w:cols>
          <w:pgMar w:left="315" w:top="691" w:right="379" w:bottom="1440" w:gutter="0" w:footer="0" w:header="0"/>
        </w:sectPr>
      </w:pPr>
    </w:p>
    <w:bookmarkStart w:id="5" w:name="page6"/>
    <w:bookmarkEnd w:id="5"/>
    <w:p>
      <w:pPr>
        <w:jc w:val="center"/>
        <w:ind w:right="-47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Destination XL Group, Inc.</w:t>
      </w:r>
    </w:p>
    <w:p>
      <w:pPr>
        <w:spacing w:after="0" w:line="325"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December 11,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13970</wp:posOffset>
            </wp:positionV>
            <wp:extent cx="328168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81680" cy="7620"/>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631825</wp:posOffset>
            </wp:positionV>
            <wp:extent cx="717486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60"/>
          </w:cols>
          <w:pgMar w:left="320" w:top="689" w:right="81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90170</wp:posOffset>
            </wp:positionV>
            <wp:extent cx="7146925" cy="65462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6925" cy="6546215"/>
                    </a:xfrm>
                    <a:prstGeom prst="rect">
                      <a:avLst/>
                    </a:prstGeom>
                    <a:noFill/>
                  </pic:spPr>
                </pic:pic>
              </a:graphicData>
            </a:graphic>
          </wp:anchor>
        </w:drawing>
        <w:t>EXHIBIT 2.1</w:t>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AGREEMENT AND PLAN OF MERGER</w:t>
      </w:r>
    </w:p>
    <w:p>
      <w:pPr>
        <w:spacing w:after="0" w:line="19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by and among</w:t>
      </w:r>
    </w:p>
    <w:p>
      <w:pPr>
        <w:spacing w:after="0" w:line="19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DESTINATION XL GROUP, INC.</w:t>
      </w:r>
    </w:p>
    <w:p>
      <w:pPr>
        <w:spacing w:after="0" w:line="19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DIVINE MERGER SUB I, INC.</w:t>
      </w:r>
    </w:p>
    <w:p>
      <w:pPr>
        <w:spacing w:after="0" w:line="19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and</w:t>
      </w:r>
    </w:p>
    <w:p>
      <w:pPr>
        <w:spacing w:after="0" w:line="19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FBB HOLDINGS I,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color w:val="auto"/>
        </w:rPr>
        <w:t>Dated as of December 11,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2414905</wp:posOffset>
            </wp:positionV>
            <wp:extent cx="717486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9340"/>
          </w:cols>
          <w:pgMar w:left="1440" w:top="689" w:right="11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8"/>
        </w:trPr>
        <w:tc>
          <w:tcPr>
            <w:tcW w:w="2240" w:type="dxa"/>
            <w:vAlign w:val="bottom"/>
          </w:tcPr>
          <w:p>
            <w:pPr>
              <w:spacing w:after="0"/>
              <w:rPr>
                <w:sz w:val="19"/>
                <w:szCs w:val="19"/>
                <w:color w:val="auto"/>
              </w:rPr>
            </w:pPr>
          </w:p>
        </w:tc>
        <w:tc>
          <w:tcPr>
            <w:tcW w:w="6560" w:type="dxa"/>
            <w:vAlign w:val="bottom"/>
          </w:tcPr>
          <w:p>
            <w:pPr>
              <w:ind w:left="242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2460" w:type="dxa"/>
            <w:vAlign w:val="bottom"/>
          </w:tcPr>
          <w:p>
            <w:pPr>
              <w:spacing w:after="0"/>
              <w:rPr>
                <w:sz w:val="19"/>
                <w:szCs w:val="19"/>
                <w:color w:val="auto"/>
              </w:rPr>
            </w:pPr>
          </w:p>
        </w:tc>
      </w:tr>
      <w:tr>
        <w:trPr>
          <w:trHeight w:val="579"/>
        </w:trPr>
        <w:tc>
          <w:tcPr>
            <w:tcW w:w="2240" w:type="dxa"/>
            <w:vAlign w:val="bottom"/>
          </w:tcPr>
          <w:p>
            <w:pPr>
              <w:spacing w:after="0"/>
              <w:rPr>
                <w:sz w:val="20"/>
                <w:szCs w:val="20"/>
                <w:color w:val="auto"/>
              </w:rPr>
            </w:pPr>
            <w:r>
              <w:rPr>
                <w:rFonts w:ascii="Times New Roman" w:cs="Times New Roman" w:eastAsia="Times New Roman" w:hAnsi="Times New Roman"/>
                <w:sz w:val="17"/>
                <w:szCs w:val="17"/>
                <w:color w:val="auto"/>
              </w:rPr>
              <w:t>ARTICLE I THE MERGER</w:t>
            </w:r>
          </w:p>
        </w:tc>
        <w:tc>
          <w:tcPr>
            <w:tcW w:w="6560" w:type="dxa"/>
            <w:vAlign w:val="bottom"/>
          </w:tcPr>
          <w:p>
            <w:pPr>
              <w:spacing w:after="0"/>
              <w:rPr>
                <w:sz w:val="24"/>
                <w:szCs w:val="24"/>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365"/>
        </w:trPr>
        <w:tc>
          <w:tcPr>
            <w:tcW w:w="22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1.01</w:t>
            </w:r>
          </w:p>
        </w:tc>
        <w:tc>
          <w:tcPr>
            <w:tcW w:w="65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The Merger</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01"/>
        </w:trPr>
        <w:tc>
          <w:tcPr>
            <w:tcW w:w="22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1.02</w:t>
            </w:r>
          </w:p>
        </w:tc>
        <w:tc>
          <w:tcPr>
            <w:tcW w:w="65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Closing</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01"/>
        </w:trPr>
        <w:tc>
          <w:tcPr>
            <w:tcW w:w="22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1.03</w:t>
            </w:r>
          </w:p>
        </w:tc>
        <w:tc>
          <w:tcPr>
            <w:tcW w:w="65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Effective Time</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01"/>
        </w:trPr>
        <w:tc>
          <w:tcPr>
            <w:tcW w:w="22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1.04</w:t>
            </w:r>
          </w:p>
        </w:tc>
        <w:tc>
          <w:tcPr>
            <w:tcW w:w="65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Effects of the Merger</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01"/>
        </w:trPr>
        <w:tc>
          <w:tcPr>
            <w:tcW w:w="22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1.05</w:t>
            </w:r>
          </w:p>
        </w:tc>
        <w:tc>
          <w:tcPr>
            <w:tcW w:w="65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Organizational Documents</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26"/>
        </w:trPr>
        <w:tc>
          <w:tcPr>
            <w:tcW w:w="22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1.06</w:t>
            </w:r>
          </w:p>
        </w:tc>
        <w:tc>
          <w:tcPr>
            <w:tcW w:w="65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Directors and Officers of the Surviving Company</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390"/>
        </w:trPr>
        <w:tc>
          <w:tcPr>
            <w:tcW w:w="8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II EFFECT ON FBB CAPITAL STOCK; EXCHANGE OF CERTIFICATES</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365"/>
        </w:trPr>
        <w:tc>
          <w:tcPr>
            <w:tcW w:w="22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2.01</w:t>
            </w:r>
          </w:p>
        </w:tc>
        <w:tc>
          <w:tcPr>
            <w:tcW w:w="65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Effect on FBB Capital Stock</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01"/>
        </w:trPr>
        <w:tc>
          <w:tcPr>
            <w:tcW w:w="22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2.02</w:t>
            </w:r>
          </w:p>
        </w:tc>
        <w:tc>
          <w:tcPr>
            <w:tcW w:w="65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Exchange of Certificates</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26"/>
        </w:trPr>
        <w:tc>
          <w:tcPr>
            <w:tcW w:w="22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2.03</w:t>
            </w:r>
          </w:p>
        </w:tc>
        <w:tc>
          <w:tcPr>
            <w:tcW w:w="65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Stock Transfer Books</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390"/>
        </w:trPr>
        <w:tc>
          <w:tcPr>
            <w:tcW w:w="8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III REPRESENTATIONS AND WARRANTIES OF DXL AND MERGER SUB</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365"/>
        </w:trPr>
        <w:tc>
          <w:tcPr>
            <w:tcW w:w="22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3.01</w:t>
            </w:r>
          </w:p>
        </w:tc>
        <w:tc>
          <w:tcPr>
            <w:tcW w:w="65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Corporate Organization</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01"/>
        </w:trPr>
        <w:tc>
          <w:tcPr>
            <w:tcW w:w="22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3.02</w:t>
            </w:r>
          </w:p>
        </w:tc>
        <w:tc>
          <w:tcPr>
            <w:tcW w:w="65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Capitalization</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01"/>
        </w:trPr>
        <w:tc>
          <w:tcPr>
            <w:tcW w:w="22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3.03</w:t>
            </w:r>
          </w:p>
        </w:tc>
        <w:tc>
          <w:tcPr>
            <w:tcW w:w="65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Authority; No Violation</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01"/>
        </w:trPr>
        <w:tc>
          <w:tcPr>
            <w:tcW w:w="22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3.04</w:t>
            </w:r>
          </w:p>
        </w:tc>
        <w:tc>
          <w:tcPr>
            <w:tcW w:w="65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Consents and Approvals</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01"/>
        </w:trPr>
        <w:tc>
          <w:tcPr>
            <w:tcW w:w="22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3.05</w:t>
            </w:r>
          </w:p>
        </w:tc>
        <w:tc>
          <w:tcPr>
            <w:tcW w:w="65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Reports</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01"/>
        </w:trPr>
        <w:tc>
          <w:tcPr>
            <w:tcW w:w="22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3.06</w:t>
            </w:r>
          </w:p>
        </w:tc>
        <w:tc>
          <w:tcPr>
            <w:tcW w:w="65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Financial Statements</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01"/>
        </w:trPr>
        <w:tc>
          <w:tcPr>
            <w:tcW w:w="22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3.07</w:t>
            </w:r>
          </w:p>
        </w:tc>
        <w:tc>
          <w:tcPr>
            <w:tcW w:w="65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Advisors’ Fees</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01"/>
        </w:trPr>
        <w:tc>
          <w:tcPr>
            <w:tcW w:w="22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3.08</w:t>
            </w:r>
          </w:p>
        </w:tc>
        <w:tc>
          <w:tcPr>
            <w:tcW w:w="65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Absence of Certain Changes or Events</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01"/>
        </w:trPr>
        <w:tc>
          <w:tcPr>
            <w:tcW w:w="22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3.09</w:t>
            </w:r>
          </w:p>
        </w:tc>
        <w:tc>
          <w:tcPr>
            <w:tcW w:w="65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Legal Proceedings</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01"/>
        </w:trPr>
        <w:tc>
          <w:tcPr>
            <w:tcW w:w="22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3.10</w:t>
            </w:r>
          </w:p>
        </w:tc>
        <w:tc>
          <w:tcPr>
            <w:tcW w:w="65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Taxes and Tax Returns</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01"/>
        </w:trPr>
        <w:tc>
          <w:tcPr>
            <w:tcW w:w="22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3.11</w:t>
            </w:r>
          </w:p>
        </w:tc>
        <w:tc>
          <w:tcPr>
            <w:tcW w:w="65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Employee Benefit Plans</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01"/>
        </w:trPr>
        <w:tc>
          <w:tcPr>
            <w:tcW w:w="22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3.12</w:t>
            </w:r>
          </w:p>
        </w:tc>
        <w:tc>
          <w:tcPr>
            <w:tcW w:w="65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Labor and Employment</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01"/>
        </w:trPr>
        <w:tc>
          <w:tcPr>
            <w:tcW w:w="22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3.13</w:t>
            </w:r>
          </w:p>
        </w:tc>
        <w:tc>
          <w:tcPr>
            <w:tcW w:w="65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Internal Control</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01"/>
        </w:trPr>
        <w:tc>
          <w:tcPr>
            <w:tcW w:w="22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3.14</w:t>
            </w:r>
          </w:p>
        </w:tc>
        <w:tc>
          <w:tcPr>
            <w:tcW w:w="65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Compliance with Laws; Licenses</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01"/>
        </w:trPr>
        <w:tc>
          <w:tcPr>
            <w:tcW w:w="22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3.15</w:t>
            </w:r>
          </w:p>
        </w:tc>
        <w:tc>
          <w:tcPr>
            <w:tcW w:w="65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Material Contracts</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01"/>
        </w:trPr>
        <w:tc>
          <w:tcPr>
            <w:tcW w:w="22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3.16</w:t>
            </w:r>
          </w:p>
        </w:tc>
        <w:tc>
          <w:tcPr>
            <w:tcW w:w="65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Environmental Liability</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01"/>
        </w:trPr>
        <w:tc>
          <w:tcPr>
            <w:tcW w:w="22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3.17</w:t>
            </w:r>
          </w:p>
        </w:tc>
        <w:tc>
          <w:tcPr>
            <w:tcW w:w="65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Takeover Laws</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01"/>
        </w:trPr>
        <w:tc>
          <w:tcPr>
            <w:tcW w:w="22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3.18</w:t>
            </w:r>
          </w:p>
        </w:tc>
        <w:tc>
          <w:tcPr>
            <w:tcW w:w="65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DXL Information</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01"/>
        </w:trPr>
        <w:tc>
          <w:tcPr>
            <w:tcW w:w="22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3.19</w:t>
            </w:r>
          </w:p>
        </w:tc>
        <w:tc>
          <w:tcPr>
            <w:tcW w:w="65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Affiliate Transactions</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01"/>
        </w:trPr>
        <w:tc>
          <w:tcPr>
            <w:tcW w:w="22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3.20</w:t>
            </w:r>
          </w:p>
        </w:tc>
        <w:tc>
          <w:tcPr>
            <w:tcW w:w="65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Intellectual Property</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01"/>
        </w:trPr>
        <w:tc>
          <w:tcPr>
            <w:tcW w:w="22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3.21</w:t>
            </w:r>
          </w:p>
        </w:tc>
        <w:tc>
          <w:tcPr>
            <w:tcW w:w="65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Title to Assets</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01"/>
        </w:trPr>
        <w:tc>
          <w:tcPr>
            <w:tcW w:w="22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3.22</w:t>
            </w:r>
          </w:p>
        </w:tc>
        <w:tc>
          <w:tcPr>
            <w:tcW w:w="65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Real Property; Leasehold</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01"/>
        </w:trPr>
        <w:tc>
          <w:tcPr>
            <w:tcW w:w="22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3.23</w:t>
            </w:r>
          </w:p>
        </w:tc>
        <w:tc>
          <w:tcPr>
            <w:tcW w:w="65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Anti-Corruption Laws</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01"/>
        </w:trPr>
        <w:tc>
          <w:tcPr>
            <w:tcW w:w="22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3.24</w:t>
            </w:r>
          </w:p>
        </w:tc>
        <w:tc>
          <w:tcPr>
            <w:tcW w:w="65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Fairness Opinion</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01"/>
        </w:trPr>
        <w:tc>
          <w:tcPr>
            <w:tcW w:w="22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3.25</w:t>
            </w:r>
          </w:p>
        </w:tc>
        <w:tc>
          <w:tcPr>
            <w:tcW w:w="65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Insurance</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26"/>
        </w:trPr>
        <w:tc>
          <w:tcPr>
            <w:tcW w:w="22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3.26</w:t>
            </w:r>
          </w:p>
        </w:tc>
        <w:tc>
          <w:tcPr>
            <w:tcW w:w="65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No Other Representations or Warranties; Reliance</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390"/>
        </w:trPr>
        <w:tc>
          <w:tcPr>
            <w:tcW w:w="8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IV REPRESENTATIONS AND WARRANTIES OF FBB</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365"/>
        </w:trPr>
        <w:tc>
          <w:tcPr>
            <w:tcW w:w="22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4.01</w:t>
            </w:r>
          </w:p>
        </w:tc>
        <w:tc>
          <w:tcPr>
            <w:tcW w:w="65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Corporate Organization</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26"/>
        </w:trPr>
        <w:tc>
          <w:tcPr>
            <w:tcW w:w="22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4.02</w:t>
            </w:r>
          </w:p>
        </w:tc>
        <w:tc>
          <w:tcPr>
            <w:tcW w:w="65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Capitalization</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bl>
    <w:p>
      <w:pPr>
        <w:spacing w:after="0" w:line="3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1"/>
        </w:trPr>
        <w:tc>
          <w:tcPr>
            <w:tcW w:w="1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4.03</w:t>
            </w:r>
          </w:p>
        </w:tc>
        <w:tc>
          <w:tcPr>
            <w:tcW w:w="77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Authority; No Violation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01"/>
        </w:trPr>
        <w:tc>
          <w:tcPr>
            <w:tcW w:w="1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4.04</w:t>
            </w:r>
          </w:p>
        </w:tc>
        <w:tc>
          <w:tcPr>
            <w:tcW w:w="77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Consents and Approvals</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01"/>
        </w:trPr>
        <w:tc>
          <w:tcPr>
            <w:tcW w:w="1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4.05</w:t>
            </w:r>
          </w:p>
        </w:tc>
        <w:tc>
          <w:tcPr>
            <w:tcW w:w="77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Financial Statements</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01"/>
        </w:trPr>
        <w:tc>
          <w:tcPr>
            <w:tcW w:w="1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4.06</w:t>
            </w:r>
          </w:p>
        </w:tc>
        <w:tc>
          <w:tcPr>
            <w:tcW w:w="77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Advisors’ Fees</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01"/>
        </w:trPr>
        <w:tc>
          <w:tcPr>
            <w:tcW w:w="1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4.07</w:t>
            </w:r>
          </w:p>
        </w:tc>
        <w:tc>
          <w:tcPr>
            <w:tcW w:w="77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Absence of Certain Changes or Events</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01"/>
        </w:trPr>
        <w:tc>
          <w:tcPr>
            <w:tcW w:w="1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4.08</w:t>
            </w:r>
          </w:p>
        </w:tc>
        <w:tc>
          <w:tcPr>
            <w:tcW w:w="77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Legal Proceedings</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01"/>
        </w:trPr>
        <w:tc>
          <w:tcPr>
            <w:tcW w:w="1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4.09</w:t>
            </w:r>
          </w:p>
        </w:tc>
        <w:tc>
          <w:tcPr>
            <w:tcW w:w="77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Taxes and Tax Returns</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01"/>
        </w:trPr>
        <w:tc>
          <w:tcPr>
            <w:tcW w:w="1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4.10</w:t>
            </w:r>
          </w:p>
        </w:tc>
        <w:tc>
          <w:tcPr>
            <w:tcW w:w="77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Employee Benefit Plans</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01"/>
        </w:trPr>
        <w:tc>
          <w:tcPr>
            <w:tcW w:w="1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4.11</w:t>
            </w:r>
          </w:p>
        </w:tc>
        <w:tc>
          <w:tcPr>
            <w:tcW w:w="77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Labor and Employment.</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01"/>
        </w:trPr>
        <w:tc>
          <w:tcPr>
            <w:tcW w:w="1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4.12</w:t>
            </w:r>
          </w:p>
        </w:tc>
        <w:tc>
          <w:tcPr>
            <w:tcW w:w="77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Internal Control</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01"/>
        </w:trPr>
        <w:tc>
          <w:tcPr>
            <w:tcW w:w="1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4.13</w:t>
            </w:r>
          </w:p>
        </w:tc>
        <w:tc>
          <w:tcPr>
            <w:tcW w:w="77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Compliance with Laws; Licenses</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01"/>
        </w:trPr>
        <w:tc>
          <w:tcPr>
            <w:tcW w:w="1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4.14</w:t>
            </w:r>
          </w:p>
        </w:tc>
        <w:tc>
          <w:tcPr>
            <w:tcW w:w="77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Material Contracts</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01"/>
        </w:trPr>
        <w:tc>
          <w:tcPr>
            <w:tcW w:w="1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4.15</w:t>
            </w:r>
          </w:p>
        </w:tc>
        <w:tc>
          <w:tcPr>
            <w:tcW w:w="77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Environmental Liability</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01"/>
        </w:trPr>
        <w:tc>
          <w:tcPr>
            <w:tcW w:w="1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4.16</w:t>
            </w:r>
          </w:p>
        </w:tc>
        <w:tc>
          <w:tcPr>
            <w:tcW w:w="77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Takeover Laws</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01"/>
        </w:trPr>
        <w:tc>
          <w:tcPr>
            <w:tcW w:w="1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4.17</w:t>
            </w:r>
          </w:p>
        </w:tc>
        <w:tc>
          <w:tcPr>
            <w:tcW w:w="77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FBB Information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01"/>
        </w:trPr>
        <w:tc>
          <w:tcPr>
            <w:tcW w:w="1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4.18</w:t>
            </w:r>
          </w:p>
        </w:tc>
        <w:tc>
          <w:tcPr>
            <w:tcW w:w="77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Affiliate Transactions</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01"/>
        </w:trPr>
        <w:tc>
          <w:tcPr>
            <w:tcW w:w="1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4.19</w:t>
            </w:r>
          </w:p>
        </w:tc>
        <w:tc>
          <w:tcPr>
            <w:tcW w:w="77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Intellectual Property</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01"/>
        </w:trPr>
        <w:tc>
          <w:tcPr>
            <w:tcW w:w="1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4.20</w:t>
            </w:r>
          </w:p>
        </w:tc>
        <w:tc>
          <w:tcPr>
            <w:tcW w:w="77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Title to Assets</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01"/>
        </w:trPr>
        <w:tc>
          <w:tcPr>
            <w:tcW w:w="1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4.21</w:t>
            </w:r>
          </w:p>
        </w:tc>
        <w:tc>
          <w:tcPr>
            <w:tcW w:w="77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Real Property; Leasehold</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01"/>
        </w:trPr>
        <w:tc>
          <w:tcPr>
            <w:tcW w:w="1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4.22</w:t>
            </w:r>
          </w:p>
        </w:tc>
        <w:tc>
          <w:tcPr>
            <w:tcW w:w="77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Anti-Corruption Laws</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201"/>
        </w:trPr>
        <w:tc>
          <w:tcPr>
            <w:tcW w:w="1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4.23</w:t>
            </w:r>
          </w:p>
        </w:tc>
        <w:tc>
          <w:tcPr>
            <w:tcW w:w="77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Insurance</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201"/>
        </w:trPr>
        <w:tc>
          <w:tcPr>
            <w:tcW w:w="1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4.24</w:t>
            </w:r>
          </w:p>
        </w:tc>
        <w:tc>
          <w:tcPr>
            <w:tcW w:w="77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Pre-Closing Investment</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01"/>
        </w:trPr>
        <w:tc>
          <w:tcPr>
            <w:tcW w:w="1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4.25</w:t>
            </w:r>
          </w:p>
        </w:tc>
        <w:tc>
          <w:tcPr>
            <w:tcW w:w="77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FBB Stockholders</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26"/>
        </w:trPr>
        <w:tc>
          <w:tcPr>
            <w:tcW w:w="1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4.26</w:t>
            </w:r>
          </w:p>
        </w:tc>
        <w:tc>
          <w:tcPr>
            <w:tcW w:w="77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No Other Representations or Warranties</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390"/>
        </w:trPr>
        <w:tc>
          <w:tcPr>
            <w:tcW w:w="9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V COVENANTS RELATING TO CONDUCT OF BUSINESS</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365"/>
        </w:trPr>
        <w:tc>
          <w:tcPr>
            <w:tcW w:w="1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5.01</w:t>
            </w:r>
          </w:p>
        </w:tc>
        <w:tc>
          <w:tcPr>
            <w:tcW w:w="77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Conduct of Businesses Prior to the Effective Time</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01"/>
        </w:trPr>
        <w:tc>
          <w:tcPr>
            <w:tcW w:w="1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5.02</w:t>
            </w:r>
          </w:p>
        </w:tc>
        <w:tc>
          <w:tcPr>
            <w:tcW w:w="77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DXL Forbearances</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01"/>
        </w:trPr>
        <w:tc>
          <w:tcPr>
            <w:tcW w:w="1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5.03</w:t>
            </w:r>
          </w:p>
        </w:tc>
        <w:tc>
          <w:tcPr>
            <w:tcW w:w="77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FBB Forbearances</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01"/>
        </w:trPr>
        <w:tc>
          <w:tcPr>
            <w:tcW w:w="1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5.04</w:t>
            </w:r>
          </w:p>
        </w:tc>
        <w:tc>
          <w:tcPr>
            <w:tcW w:w="77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Control of Other Party’s Business</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01"/>
        </w:trPr>
        <w:tc>
          <w:tcPr>
            <w:tcW w:w="1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5.05</w:t>
            </w:r>
          </w:p>
        </w:tc>
        <w:tc>
          <w:tcPr>
            <w:tcW w:w="77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FBB No Solicitation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26"/>
        </w:trPr>
        <w:tc>
          <w:tcPr>
            <w:tcW w:w="1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5.06</w:t>
            </w:r>
          </w:p>
        </w:tc>
        <w:tc>
          <w:tcPr>
            <w:tcW w:w="77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DXL No Solicitation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390"/>
        </w:trPr>
        <w:tc>
          <w:tcPr>
            <w:tcW w:w="9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VI ADDITIONAL AGREEMENTS</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365"/>
        </w:trPr>
        <w:tc>
          <w:tcPr>
            <w:tcW w:w="1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6.01</w:t>
            </w:r>
          </w:p>
        </w:tc>
        <w:tc>
          <w:tcPr>
            <w:tcW w:w="77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Preparation of the Proxy Statement; Stockholder Approvals; Listing Application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01"/>
        </w:trPr>
        <w:tc>
          <w:tcPr>
            <w:tcW w:w="1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6.02</w:t>
            </w:r>
          </w:p>
        </w:tc>
        <w:tc>
          <w:tcPr>
            <w:tcW w:w="77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Resale Registration Statement</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r>
      <w:tr>
        <w:trPr>
          <w:trHeight w:val="201"/>
        </w:trPr>
        <w:tc>
          <w:tcPr>
            <w:tcW w:w="1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6.03</w:t>
            </w:r>
          </w:p>
        </w:tc>
        <w:tc>
          <w:tcPr>
            <w:tcW w:w="77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Access to Information; Confidentiality</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201"/>
        </w:trPr>
        <w:tc>
          <w:tcPr>
            <w:tcW w:w="1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6.04</w:t>
            </w:r>
          </w:p>
        </w:tc>
        <w:tc>
          <w:tcPr>
            <w:tcW w:w="77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Required Actions</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r>
      <w:tr>
        <w:trPr>
          <w:trHeight w:val="201"/>
        </w:trPr>
        <w:tc>
          <w:tcPr>
            <w:tcW w:w="1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6.05</w:t>
            </w:r>
          </w:p>
        </w:tc>
        <w:tc>
          <w:tcPr>
            <w:tcW w:w="77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Stockholder Litigation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r>
      <w:tr>
        <w:trPr>
          <w:trHeight w:val="201"/>
        </w:trPr>
        <w:tc>
          <w:tcPr>
            <w:tcW w:w="1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6.06</w:t>
            </w:r>
          </w:p>
        </w:tc>
        <w:tc>
          <w:tcPr>
            <w:tcW w:w="77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DXL Stockholders Meeting</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r>
      <w:tr>
        <w:trPr>
          <w:trHeight w:val="201"/>
        </w:trPr>
        <w:tc>
          <w:tcPr>
            <w:tcW w:w="1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6.07</w:t>
            </w:r>
          </w:p>
        </w:tc>
        <w:tc>
          <w:tcPr>
            <w:tcW w:w="77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Fees and Expenses</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r>
      <w:tr>
        <w:trPr>
          <w:trHeight w:val="201"/>
        </w:trPr>
        <w:tc>
          <w:tcPr>
            <w:tcW w:w="1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6.08</w:t>
            </w:r>
          </w:p>
        </w:tc>
        <w:tc>
          <w:tcPr>
            <w:tcW w:w="77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Certain Tax Matters</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r>
      <w:tr>
        <w:trPr>
          <w:trHeight w:val="201"/>
        </w:trPr>
        <w:tc>
          <w:tcPr>
            <w:tcW w:w="1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6.09</w:t>
            </w:r>
          </w:p>
        </w:tc>
        <w:tc>
          <w:tcPr>
            <w:tcW w:w="77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Governance Matters</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r>
      <w:tr>
        <w:trPr>
          <w:trHeight w:val="201"/>
        </w:trPr>
        <w:tc>
          <w:tcPr>
            <w:tcW w:w="1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6.10</w:t>
            </w:r>
          </w:p>
        </w:tc>
        <w:tc>
          <w:tcPr>
            <w:tcW w:w="77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Employment Matters</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r>
      <w:tr>
        <w:trPr>
          <w:trHeight w:val="201"/>
        </w:trPr>
        <w:tc>
          <w:tcPr>
            <w:tcW w:w="1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6.11</w:t>
            </w:r>
          </w:p>
        </w:tc>
        <w:tc>
          <w:tcPr>
            <w:tcW w:w="77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Directors’ and Officers’ Indemnification and Insurance</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r>
      <w:tr>
        <w:trPr>
          <w:trHeight w:val="201"/>
        </w:trPr>
        <w:tc>
          <w:tcPr>
            <w:tcW w:w="1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6.12</w:t>
            </w:r>
          </w:p>
        </w:tc>
        <w:tc>
          <w:tcPr>
            <w:tcW w:w="77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Financial Statements</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r>
      <w:tr>
        <w:trPr>
          <w:trHeight w:val="201"/>
        </w:trPr>
        <w:tc>
          <w:tcPr>
            <w:tcW w:w="1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6.13</w:t>
            </w:r>
          </w:p>
        </w:tc>
        <w:tc>
          <w:tcPr>
            <w:tcW w:w="77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Notification of Certain Matters</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r>
      <w:tr>
        <w:trPr>
          <w:trHeight w:val="226"/>
        </w:trPr>
        <w:tc>
          <w:tcPr>
            <w:tcW w:w="1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6.14</w:t>
            </w:r>
          </w:p>
        </w:tc>
        <w:tc>
          <w:tcPr>
            <w:tcW w:w="77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Obligations of Merger Sub</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r>
    </w:tbl>
    <w:p>
      <w:pPr>
        <w:spacing w:after="0" w:line="3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1"/>
        </w:trPr>
        <w:tc>
          <w:tcPr>
            <w:tcW w:w="1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6.15</w:t>
            </w:r>
          </w:p>
        </w:tc>
        <w:tc>
          <w:tcPr>
            <w:tcW w:w="700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Payment for Third Party Consents</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r>
      <w:tr>
        <w:trPr>
          <w:trHeight w:val="201"/>
        </w:trPr>
        <w:tc>
          <w:tcPr>
            <w:tcW w:w="1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6.16</w:t>
            </w:r>
          </w:p>
        </w:tc>
        <w:tc>
          <w:tcPr>
            <w:tcW w:w="700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Financing; Cooperation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r>
      <w:tr>
        <w:trPr>
          <w:trHeight w:val="201"/>
        </w:trPr>
        <w:tc>
          <w:tcPr>
            <w:tcW w:w="1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6.17</w:t>
            </w:r>
          </w:p>
        </w:tc>
        <w:tc>
          <w:tcPr>
            <w:tcW w:w="700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Updated Capitalization Information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r>
      <w:tr>
        <w:trPr>
          <w:trHeight w:val="201"/>
        </w:trPr>
        <w:tc>
          <w:tcPr>
            <w:tcW w:w="1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6.18</w:t>
            </w:r>
          </w:p>
        </w:tc>
        <w:tc>
          <w:tcPr>
            <w:tcW w:w="700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Listing of DXL Common Stock on Nasdaq</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r>
      <w:tr>
        <w:trPr>
          <w:trHeight w:val="226"/>
        </w:trPr>
        <w:tc>
          <w:tcPr>
            <w:tcW w:w="1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6.19</w:t>
            </w:r>
          </w:p>
        </w:tc>
        <w:tc>
          <w:tcPr>
            <w:tcW w:w="700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FBB Corporate Actions</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r>
      <w:tr>
        <w:trPr>
          <w:trHeight w:val="390"/>
        </w:trPr>
        <w:tc>
          <w:tcPr>
            <w:tcW w:w="8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VII CONDITIONS PRECEDENT</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r>
      <w:tr>
        <w:trPr>
          <w:trHeight w:val="365"/>
        </w:trPr>
        <w:tc>
          <w:tcPr>
            <w:tcW w:w="1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7.01</w:t>
            </w:r>
          </w:p>
        </w:tc>
        <w:tc>
          <w:tcPr>
            <w:tcW w:w="700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Conditions to Each Party’s Obligation to Effect the Merger</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r>
      <w:tr>
        <w:trPr>
          <w:trHeight w:val="201"/>
        </w:trPr>
        <w:tc>
          <w:tcPr>
            <w:tcW w:w="1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7.02</w:t>
            </w:r>
          </w:p>
        </w:tc>
        <w:tc>
          <w:tcPr>
            <w:tcW w:w="700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Conditions to Obligations of DXL</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226"/>
        </w:trPr>
        <w:tc>
          <w:tcPr>
            <w:tcW w:w="1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7.03</w:t>
            </w:r>
          </w:p>
        </w:tc>
        <w:tc>
          <w:tcPr>
            <w:tcW w:w="700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Conditions to Obligations of FBB</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r>
      <w:tr>
        <w:trPr>
          <w:trHeight w:val="390"/>
        </w:trPr>
        <w:tc>
          <w:tcPr>
            <w:tcW w:w="8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VIII TERMINATION AND AMENDMENT</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r>
      <w:tr>
        <w:trPr>
          <w:trHeight w:val="365"/>
        </w:trPr>
        <w:tc>
          <w:tcPr>
            <w:tcW w:w="1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8.01</w:t>
            </w:r>
          </w:p>
        </w:tc>
        <w:tc>
          <w:tcPr>
            <w:tcW w:w="700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Termination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r>
      <w:tr>
        <w:trPr>
          <w:trHeight w:val="201"/>
        </w:trPr>
        <w:tc>
          <w:tcPr>
            <w:tcW w:w="1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8.02</w:t>
            </w:r>
          </w:p>
        </w:tc>
        <w:tc>
          <w:tcPr>
            <w:tcW w:w="700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Effect of Termination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r>
      <w:tr>
        <w:trPr>
          <w:trHeight w:val="201"/>
        </w:trPr>
        <w:tc>
          <w:tcPr>
            <w:tcW w:w="1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8.03</w:t>
            </w:r>
          </w:p>
        </w:tc>
        <w:tc>
          <w:tcPr>
            <w:tcW w:w="700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Amendment</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r>
      <w:tr>
        <w:trPr>
          <w:trHeight w:val="226"/>
        </w:trPr>
        <w:tc>
          <w:tcPr>
            <w:tcW w:w="1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8.04</w:t>
            </w:r>
          </w:p>
        </w:tc>
        <w:tc>
          <w:tcPr>
            <w:tcW w:w="700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Extension; Waiver</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r>
      <w:tr>
        <w:trPr>
          <w:trHeight w:val="390"/>
        </w:trPr>
        <w:tc>
          <w:tcPr>
            <w:tcW w:w="8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IX GENERAL PROVISIONS</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r>
      <w:tr>
        <w:trPr>
          <w:trHeight w:val="365"/>
        </w:trPr>
        <w:tc>
          <w:tcPr>
            <w:tcW w:w="1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9.01</w:t>
            </w:r>
          </w:p>
        </w:tc>
        <w:tc>
          <w:tcPr>
            <w:tcW w:w="700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Non-survival of Representations and Warranties</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r>
      <w:tr>
        <w:trPr>
          <w:trHeight w:val="201"/>
        </w:trPr>
        <w:tc>
          <w:tcPr>
            <w:tcW w:w="1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9.02</w:t>
            </w:r>
          </w:p>
        </w:tc>
        <w:tc>
          <w:tcPr>
            <w:tcW w:w="700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Notices</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r>
      <w:tr>
        <w:trPr>
          <w:trHeight w:val="201"/>
        </w:trPr>
        <w:tc>
          <w:tcPr>
            <w:tcW w:w="1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9.03</w:t>
            </w:r>
          </w:p>
        </w:tc>
        <w:tc>
          <w:tcPr>
            <w:tcW w:w="700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Definitions</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r>
      <w:tr>
        <w:trPr>
          <w:trHeight w:val="201"/>
        </w:trPr>
        <w:tc>
          <w:tcPr>
            <w:tcW w:w="1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9.04</w:t>
            </w:r>
          </w:p>
        </w:tc>
        <w:tc>
          <w:tcPr>
            <w:tcW w:w="700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Other Defined Terms</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r>
      <w:tr>
        <w:trPr>
          <w:trHeight w:val="201"/>
        </w:trPr>
        <w:tc>
          <w:tcPr>
            <w:tcW w:w="1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9.05</w:t>
            </w:r>
          </w:p>
        </w:tc>
        <w:tc>
          <w:tcPr>
            <w:tcW w:w="700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Interpretation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r>
      <w:tr>
        <w:trPr>
          <w:trHeight w:val="201"/>
        </w:trPr>
        <w:tc>
          <w:tcPr>
            <w:tcW w:w="1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9.06</w:t>
            </w:r>
          </w:p>
        </w:tc>
        <w:tc>
          <w:tcPr>
            <w:tcW w:w="700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Severability</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r>
      <w:tr>
        <w:trPr>
          <w:trHeight w:val="201"/>
        </w:trPr>
        <w:tc>
          <w:tcPr>
            <w:tcW w:w="1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9.07</w:t>
            </w:r>
          </w:p>
        </w:tc>
        <w:tc>
          <w:tcPr>
            <w:tcW w:w="700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Counterparts; Facsimile Signatures</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r>
      <w:tr>
        <w:trPr>
          <w:trHeight w:val="201"/>
        </w:trPr>
        <w:tc>
          <w:tcPr>
            <w:tcW w:w="1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9.08</w:t>
            </w:r>
          </w:p>
        </w:tc>
        <w:tc>
          <w:tcPr>
            <w:tcW w:w="700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Entire Agreement; No Third Party Beneficiaries</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r>
      <w:tr>
        <w:trPr>
          <w:trHeight w:val="201"/>
        </w:trPr>
        <w:tc>
          <w:tcPr>
            <w:tcW w:w="1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9.09</w:t>
            </w:r>
          </w:p>
        </w:tc>
        <w:tc>
          <w:tcPr>
            <w:tcW w:w="700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Governing Law</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r>
      <w:tr>
        <w:trPr>
          <w:trHeight w:val="201"/>
        </w:trPr>
        <w:tc>
          <w:tcPr>
            <w:tcW w:w="1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9.10</w:t>
            </w:r>
          </w:p>
        </w:tc>
        <w:tc>
          <w:tcPr>
            <w:tcW w:w="700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Assignment</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r>
      <w:tr>
        <w:trPr>
          <w:trHeight w:val="201"/>
        </w:trPr>
        <w:tc>
          <w:tcPr>
            <w:tcW w:w="1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9.11</w:t>
            </w:r>
          </w:p>
        </w:tc>
        <w:tc>
          <w:tcPr>
            <w:tcW w:w="700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Specific Performance</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r>
      <w:tr>
        <w:trPr>
          <w:trHeight w:val="201"/>
        </w:trPr>
        <w:tc>
          <w:tcPr>
            <w:tcW w:w="1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9.12</w:t>
            </w:r>
          </w:p>
        </w:tc>
        <w:tc>
          <w:tcPr>
            <w:tcW w:w="700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Jurisdiction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r>
      <w:tr>
        <w:trPr>
          <w:trHeight w:val="201"/>
        </w:trPr>
        <w:tc>
          <w:tcPr>
            <w:tcW w:w="1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9.13</w:t>
            </w:r>
          </w:p>
        </w:tc>
        <w:tc>
          <w:tcPr>
            <w:tcW w:w="700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Publicity</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r>
      <w:tr>
        <w:trPr>
          <w:trHeight w:val="226"/>
        </w:trPr>
        <w:tc>
          <w:tcPr>
            <w:tcW w:w="1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SECTION 9.14</w:t>
            </w:r>
          </w:p>
        </w:tc>
        <w:tc>
          <w:tcPr>
            <w:tcW w:w="700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Financing Related Parties</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r>
    </w:tbl>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Exhibits</w:t>
      </w:r>
    </w:p>
    <w:p>
      <w:pPr>
        <w:spacing w:after="0" w:line="20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7"/>
          <w:szCs w:val="17"/>
          <w:color w:val="auto"/>
        </w:rPr>
        <w:t>Exhibit A</w:t>
      </w:r>
      <w:r>
        <w:rPr>
          <w:sz w:val="20"/>
          <w:szCs w:val="20"/>
          <w:color w:val="auto"/>
        </w:rPr>
        <w:tab/>
      </w:r>
      <w:r>
        <w:rPr>
          <w:rFonts w:ascii="Times New Roman" w:cs="Times New Roman" w:eastAsia="Times New Roman" w:hAnsi="Times New Roman"/>
          <w:sz w:val="17"/>
          <w:szCs w:val="17"/>
          <w:color w:val="auto"/>
        </w:rPr>
        <w:t>Certificate of Incorporation of the Surviving Company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Exhibit B Form of Lock-Up Agreement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Exhibit C Form of Voting Agreement</w:t>
      </w:r>
    </w:p>
    <w:p>
      <w:pPr>
        <w:spacing w:after="0" w:line="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7"/>
          <w:szCs w:val="17"/>
          <w:color w:val="auto"/>
        </w:rPr>
        <w:t>Exhibit D</w:t>
      </w:r>
      <w:r>
        <w:rPr>
          <w:sz w:val="20"/>
          <w:szCs w:val="20"/>
          <w:color w:val="auto"/>
        </w:rPr>
        <w:tab/>
      </w:r>
      <w:r>
        <w:rPr>
          <w:rFonts w:ascii="Times New Roman" w:cs="Times New Roman" w:eastAsia="Times New Roman" w:hAnsi="Times New Roman"/>
          <w:sz w:val="17"/>
          <w:szCs w:val="17"/>
          <w:color w:val="auto"/>
        </w:rPr>
        <w:t>Directors and Officers of the Surviving Company</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6"/>
          <w:szCs w:val="16"/>
          <w:b w:val="1"/>
          <w:bCs w:val="1"/>
          <w:color w:val="auto"/>
        </w:rPr>
        <w:t>EXHIBIT 2.1</w:t>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Execution Copy</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AGREEMENT AND PLAN OF MERGER</w:t>
      </w:r>
    </w:p>
    <w:p>
      <w:pPr>
        <w:spacing w:after="0" w:line="197" w:lineRule="exact"/>
        <w:rPr>
          <w:sz w:val="20"/>
          <w:szCs w:val="20"/>
          <w:color w:val="auto"/>
        </w:rPr>
      </w:pPr>
    </w:p>
    <w:p>
      <w:pPr>
        <w:jc w:val="both"/>
        <w:ind w:firstLine="751"/>
        <w:spacing w:after="0" w:line="265" w:lineRule="auto"/>
        <w:rPr>
          <w:sz w:val="20"/>
          <w:szCs w:val="20"/>
          <w:color w:val="auto"/>
        </w:rPr>
      </w:pPr>
      <w:r>
        <w:rPr>
          <w:rFonts w:ascii="Times New Roman" w:cs="Times New Roman" w:eastAsia="Times New Roman" w:hAnsi="Times New Roman"/>
          <w:sz w:val="17"/>
          <w:szCs w:val="17"/>
          <w:color w:val="auto"/>
        </w:rPr>
        <w:t>This AGREEMENT AND PLAN OF MERGER, dated as of December 11, 2025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is by and among Destination XL Group, Inc., a Delaware corporation (“</w:t>
      </w:r>
      <w:r>
        <w:rPr>
          <w:rFonts w:ascii="Times New Roman" w:cs="Times New Roman" w:eastAsia="Times New Roman" w:hAnsi="Times New Roman"/>
          <w:sz w:val="17"/>
          <w:szCs w:val="17"/>
          <w:u w:val="single" w:color="auto"/>
          <w:color w:val="auto"/>
        </w:rPr>
        <w:t>DXL</w:t>
      </w:r>
      <w:r>
        <w:rPr>
          <w:rFonts w:ascii="Times New Roman" w:cs="Times New Roman" w:eastAsia="Times New Roman" w:hAnsi="Times New Roman"/>
          <w:sz w:val="17"/>
          <w:szCs w:val="17"/>
          <w:color w:val="auto"/>
        </w:rPr>
        <w:t>”), Divine Merger Sub I, Inc., a Delaware corporation and wholly owned direct subsidiary of DXL (“</w:t>
      </w:r>
      <w:r>
        <w:rPr>
          <w:rFonts w:ascii="Times New Roman" w:cs="Times New Roman" w:eastAsia="Times New Roman" w:hAnsi="Times New Roman"/>
          <w:sz w:val="17"/>
          <w:szCs w:val="17"/>
          <w:u w:val="single" w:color="auto"/>
          <w:color w:val="auto"/>
        </w:rPr>
        <w:t>Merger Sub</w:t>
      </w:r>
      <w:r>
        <w:rPr>
          <w:rFonts w:ascii="Times New Roman" w:cs="Times New Roman" w:eastAsia="Times New Roman" w:hAnsi="Times New Roman"/>
          <w:sz w:val="17"/>
          <w:szCs w:val="17"/>
          <w:color w:val="auto"/>
        </w:rPr>
        <w:t>”), and FBB Holdings I, Inc., a Delaware corporation (“</w:t>
      </w:r>
      <w:r>
        <w:rPr>
          <w:rFonts w:ascii="Times New Roman" w:cs="Times New Roman" w:eastAsia="Times New Roman" w:hAnsi="Times New Roman"/>
          <w:sz w:val="17"/>
          <w:szCs w:val="17"/>
          <w:u w:val="single" w:color="auto"/>
          <w:color w:val="auto"/>
        </w:rPr>
        <w:t>FBB</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both"/>
        <w:ind w:right="20" w:firstLine="751"/>
        <w:spacing w:after="0" w:line="299" w:lineRule="auto"/>
        <w:rPr>
          <w:sz w:val="20"/>
          <w:szCs w:val="20"/>
          <w:color w:val="auto"/>
        </w:rPr>
      </w:pPr>
      <w:r>
        <w:rPr>
          <w:rFonts w:ascii="Times New Roman" w:cs="Times New Roman" w:eastAsia="Times New Roman" w:hAnsi="Times New Roman"/>
          <w:sz w:val="17"/>
          <w:szCs w:val="17"/>
          <w:color w:val="auto"/>
        </w:rPr>
        <w:t>WHEREAS, the board of directors of DXL (the “</w:t>
      </w:r>
      <w:r>
        <w:rPr>
          <w:rFonts w:ascii="Times New Roman" w:cs="Times New Roman" w:eastAsia="Times New Roman" w:hAnsi="Times New Roman"/>
          <w:sz w:val="17"/>
          <w:szCs w:val="17"/>
          <w:u w:val="single" w:color="auto"/>
          <w:color w:val="auto"/>
        </w:rPr>
        <w:t>DXL Board</w:t>
      </w:r>
      <w:r>
        <w:rPr>
          <w:rFonts w:ascii="Times New Roman" w:cs="Times New Roman" w:eastAsia="Times New Roman" w:hAnsi="Times New Roman"/>
          <w:sz w:val="17"/>
          <w:szCs w:val="17"/>
          <w:color w:val="auto"/>
        </w:rPr>
        <w:t>”) has unanimously adopted this Agreement and determined that the terms of this Agreement, including the Merger, are fair to, and in the best interests of, DXL and its stockholders;</w:t>
      </w:r>
    </w:p>
    <w:p>
      <w:pPr>
        <w:spacing w:after="0" w:line="116" w:lineRule="exact"/>
        <w:rPr>
          <w:sz w:val="20"/>
          <w:szCs w:val="20"/>
          <w:color w:val="auto"/>
        </w:rPr>
      </w:pPr>
    </w:p>
    <w:p>
      <w:pPr>
        <w:jc w:val="both"/>
        <w:ind w:right="20" w:firstLine="751"/>
        <w:spacing w:after="0" w:line="265" w:lineRule="auto"/>
        <w:rPr>
          <w:sz w:val="20"/>
          <w:szCs w:val="20"/>
          <w:color w:val="auto"/>
        </w:rPr>
      </w:pPr>
      <w:r>
        <w:rPr>
          <w:rFonts w:ascii="Times New Roman" w:cs="Times New Roman" w:eastAsia="Times New Roman" w:hAnsi="Times New Roman"/>
          <w:sz w:val="17"/>
          <w:szCs w:val="17"/>
          <w:color w:val="auto"/>
        </w:rPr>
        <w:t>WHEREAS, the respective boards of directors of Merger Sub and FBB (the “</w:t>
      </w:r>
      <w:r>
        <w:rPr>
          <w:rFonts w:ascii="Times New Roman" w:cs="Times New Roman" w:eastAsia="Times New Roman" w:hAnsi="Times New Roman"/>
          <w:sz w:val="17"/>
          <w:szCs w:val="17"/>
          <w:u w:val="single" w:color="auto"/>
          <w:color w:val="auto"/>
        </w:rPr>
        <w:t>FBB Board</w:t>
      </w:r>
      <w:r>
        <w:rPr>
          <w:rFonts w:ascii="Times New Roman" w:cs="Times New Roman" w:eastAsia="Times New Roman" w:hAnsi="Times New Roman"/>
          <w:sz w:val="17"/>
          <w:szCs w:val="17"/>
          <w:color w:val="auto"/>
        </w:rPr>
        <w:t>”) have unanimously approved this Agreement and declared it advisable that Merger Sub and FBB, respectively, enter into this Agreement and consummate the Transactions, including the Merger, and have recommended that their respective stockholders, approve and adopt this Agreement, the Merger and the other Transactions;</w:t>
      </w:r>
    </w:p>
    <w:p>
      <w:pPr>
        <w:spacing w:after="0" w:line="14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WHEREAS, the DXL Board has recommended that its stockholders approve this Agreement and certain transactions contemplated by this Agreement;</w:t>
      </w:r>
    </w:p>
    <w:p>
      <w:pPr>
        <w:spacing w:after="0" w:line="195" w:lineRule="exact"/>
        <w:rPr>
          <w:sz w:val="20"/>
          <w:szCs w:val="20"/>
          <w:color w:val="auto"/>
        </w:rPr>
      </w:pPr>
    </w:p>
    <w:p>
      <w:pPr>
        <w:jc w:val="both"/>
        <w:ind w:firstLine="751"/>
        <w:spacing w:after="0" w:line="256" w:lineRule="auto"/>
        <w:rPr>
          <w:sz w:val="20"/>
          <w:szCs w:val="20"/>
          <w:color w:val="auto"/>
        </w:rPr>
      </w:pPr>
      <w:r>
        <w:rPr>
          <w:rFonts w:ascii="Times New Roman" w:cs="Times New Roman" w:eastAsia="Times New Roman" w:hAnsi="Times New Roman"/>
          <w:sz w:val="17"/>
          <w:szCs w:val="17"/>
          <w:color w:val="auto"/>
        </w:rPr>
        <w:t>WHEREAS, for U.S. federal income tax purposes, the parties hereto intend that the Merger qualify as a “reorganization” within the meaning of Section 368(a) of the Code and the Treasury Regulations thereunder, with respect to which each of DXL, Merger Sub, and FBB are a “party to a reorganization” under Section 368(b) of the Code, and by executing this Agreement, the parties hereto intend that this Agreement be adopted as a “plan of reorganization” for purposes of Sections 354, 361 and 368 of the Code and within the meaning of Section 368 of the Code and Treasury Regulations Sections 1.368-2(g) and 1.368-3 (the “</w:t>
      </w:r>
      <w:r>
        <w:rPr>
          <w:rFonts w:ascii="Times New Roman" w:cs="Times New Roman" w:eastAsia="Times New Roman" w:hAnsi="Times New Roman"/>
          <w:sz w:val="17"/>
          <w:szCs w:val="17"/>
          <w:u w:val="single" w:color="auto"/>
          <w:color w:val="auto"/>
        </w:rPr>
        <w:t>Intended Tax Treatment</w:t>
      </w:r>
      <w:r>
        <w:rPr>
          <w:rFonts w:ascii="Times New Roman" w:cs="Times New Roman" w:eastAsia="Times New Roman" w:hAnsi="Times New Roman"/>
          <w:sz w:val="17"/>
          <w:szCs w:val="17"/>
          <w:color w:val="auto"/>
        </w:rPr>
        <w:t>”);</w:t>
      </w:r>
    </w:p>
    <w:p>
      <w:pPr>
        <w:spacing w:after="0" w:line="152" w:lineRule="exact"/>
        <w:rPr>
          <w:sz w:val="20"/>
          <w:szCs w:val="20"/>
          <w:color w:val="auto"/>
        </w:rPr>
      </w:pPr>
    </w:p>
    <w:p>
      <w:pPr>
        <w:jc w:val="both"/>
        <w:ind w:right="20" w:firstLine="751"/>
        <w:spacing w:after="0" w:line="284" w:lineRule="auto"/>
        <w:rPr>
          <w:sz w:val="20"/>
          <w:szCs w:val="20"/>
          <w:color w:val="auto"/>
        </w:rPr>
      </w:pPr>
      <w:r>
        <w:rPr>
          <w:rFonts w:ascii="Times New Roman" w:cs="Times New Roman" w:eastAsia="Times New Roman" w:hAnsi="Times New Roman"/>
          <w:sz w:val="17"/>
          <w:szCs w:val="17"/>
          <w:color w:val="auto"/>
        </w:rPr>
        <w:t xml:space="preserve">WHEREAS, in connection with the Transactions and as an inducement to the willingness of DXL to enter into this Agreement, certain stockholders of FBB have entered into Lock-Up Agreements with FBB, substantially in the form attached hereto as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w:t>
      </w:r>
    </w:p>
    <w:p>
      <w:pPr>
        <w:spacing w:after="0" w:line="129" w:lineRule="exact"/>
        <w:rPr>
          <w:sz w:val="20"/>
          <w:szCs w:val="20"/>
          <w:color w:val="auto"/>
        </w:rPr>
      </w:pPr>
    </w:p>
    <w:p>
      <w:pPr>
        <w:jc w:val="both"/>
        <w:ind w:right="20" w:firstLine="751"/>
        <w:spacing w:after="0" w:line="265" w:lineRule="auto"/>
        <w:rPr>
          <w:sz w:val="20"/>
          <w:szCs w:val="20"/>
          <w:color w:val="auto"/>
        </w:rPr>
      </w:pPr>
      <w:r>
        <w:rPr>
          <w:rFonts w:ascii="Times New Roman" w:cs="Times New Roman" w:eastAsia="Times New Roman" w:hAnsi="Times New Roman"/>
          <w:sz w:val="17"/>
          <w:szCs w:val="17"/>
          <w:color w:val="auto"/>
        </w:rPr>
        <w:t xml:space="preserve">WHEREAS, in connection with the Transactions and as an inducement to the willingness of FBB to enter into this Agreement, certain stockholders of DXL, including each of the directors and certain officers of DXL, in their respective capacities as stockholders of DXL, have entered into Voting Agreements with FBB substantially in the form attached hereto as </w:t>
      </w:r>
      <w:r>
        <w:rPr>
          <w:rFonts w:ascii="Times New Roman" w:cs="Times New Roman" w:eastAsia="Times New Roman" w:hAnsi="Times New Roman"/>
          <w:sz w:val="17"/>
          <w:szCs w:val="17"/>
          <w:u w:val="single" w:color="auto"/>
          <w:color w:val="auto"/>
        </w:rPr>
        <w:t>Exhibit C</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both"/>
        <w:ind w:firstLine="751"/>
        <w:spacing w:after="0" w:line="265" w:lineRule="auto"/>
        <w:rPr>
          <w:sz w:val="20"/>
          <w:szCs w:val="20"/>
          <w:color w:val="auto"/>
        </w:rPr>
      </w:pPr>
      <w:r>
        <w:rPr>
          <w:rFonts w:ascii="Times New Roman" w:cs="Times New Roman" w:eastAsia="Times New Roman" w:hAnsi="Times New Roman"/>
          <w:sz w:val="17"/>
          <w:szCs w:val="17"/>
          <w:color w:val="auto"/>
        </w:rPr>
        <w:t>WHEREAS, in connection with the Transactions and as an inducement to the willingness of each of DXL and Merger Sub to enter into this Agreement, effective following the execution of this Agreement, the FBB Investors and certain other stockholders of FBB are expected to deliver to FBB the FBB Written Consent, representing not less than the FBB Stockholder Approval in accordance with this Agreement; and</w:t>
      </w:r>
    </w:p>
    <w:p>
      <w:pPr>
        <w:spacing w:after="0" w:line="145" w:lineRule="exact"/>
        <w:rPr>
          <w:sz w:val="20"/>
          <w:szCs w:val="20"/>
          <w:color w:val="auto"/>
        </w:rPr>
      </w:pPr>
    </w:p>
    <w:p>
      <w:pPr>
        <w:jc w:val="both"/>
        <w:ind w:right="20" w:firstLine="751"/>
        <w:spacing w:after="0" w:line="284" w:lineRule="auto"/>
        <w:rPr>
          <w:sz w:val="20"/>
          <w:szCs w:val="20"/>
          <w:color w:val="auto"/>
        </w:rPr>
      </w:pPr>
      <w:r>
        <w:rPr>
          <w:rFonts w:ascii="Times New Roman" w:cs="Times New Roman" w:eastAsia="Times New Roman" w:hAnsi="Times New Roman"/>
          <w:sz w:val="17"/>
          <w:szCs w:val="17"/>
          <w:color w:val="auto"/>
        </w:rPr>
        <w:t>WHEREAS, DXL, Merger Sub and FBB desire to make certain representations, warranties, covenants and agreements in connection with the Merger and also to prescribe various conditions to the Merger.</w:t>
      </w:r>
    </w:p>
    <w:p>
      <w:pPr>
        <w:spacing w:after="0" w:line="129" w:lineRule="exact"/>
        <w:rPr>
          <w:sz w:val="20"/>
          <w:szCs w:val="20"/>
          <w:color w:val="auto"/>
        </w:rPr>
      </w:pPr>
    </w:p>
    <w:p>
      <w:pPr>
        <w:jc w:val="both"/>
        <w:ind w:right="20" w:firstLine="751"/>
        <w:spacing w:after="0" w:line="284" w:lineRule="auto"/>
        <w:rPr>
          <w:sz w:val="20"/>
          <w:szCs w:val="20"/>
          <w:color w:val="auto"/>
        </w:rPr>
      </w:pPr>
      <w:r>
        <w:rPr>
          <w:rFonts w:ascii="Times New Roman" w:cs="Times New Roman" w:eastAsia="Times New Roman" w:hAnsi="Times New Roman"/>
          <w:sz w:val="17"/>
          <w:szCs w:val="17"/>
          <w:color w:val="auto"/>
        </w:rPr>
        <w:t>NOW, THEREFORE, in consideration of the foregoing and the representations, warranties, covenants and agreements contained herein, and intending to be legally bound hereby, the parties hereto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862965</wp:posOffset>
            </wp:positionV>
            <wp:extent cx="717486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9" w:right="31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ARTICLE I</w:t>
      </w:r>
    </w:p>
    <w:p>
      <w:pPr>
        <w:spacing w:after="0" w:line="195" w:lineRule="exact"/>
        <w:rPr>
          <w:sz w:val="20"/>
          <w:szCs w:val="20"/>
          <w:color w:val="auto"/>
        </w:rPr>
      </w:pPr>
    </w:p>
    <w:p>
      <w:pPr>
        <w:jc w:val="both"/>
        <w:ind w:firstLine="1220"/>
        <w:spacing w:after="0" w:line="254" w:lineRule="auto"/>
        <w:rPr>
          <w:sz w:val="20"/>
          <w:szCs w:val="20"/>
          <w:color w:val="auto"/>
        </w:rPr>
      </w:pPr>
      <w:r>
        <w:rPr>
          <w:rFonts w:ascii="Times New Roman" w:cs="Times New Roman" w:eastAsia="Times New Roman" w:hAnsi="Times New Roman"/>
          <w:sz w:val="17"/>
          <w:szCs w:val="17"/>
          <w:b w:val="1"/>
          <w:bCs w:val="1"/>
          <w:u w:val="single" w:color="auto"/>
          <w:color w:val="auto"/>
        </w:rPr>
        <w:t>SECTION 1.01 The Merger</w:t>
      </w:r>
      <w:r>
        <w:rPr>
          <w:rFonts w:ascii="Times New Roman" w:cs="Times New Roman" w:eastAsia="Times New Roman" w:hAnsi="Times New Roman"/>
          <w:sz w:val="17"/>
          <w:szCs w:val="17"/>
          <w:color w:val="auto"/>
        </w:rPr>
        <w:t>. On the terms and subject to the conditions set forth in this Agreement, and in accordance with the applicable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provisions of the Delaware General Corporation Law (the “</w:t>
      </w:r>
      <w:r>
        <w:rPr>
          <w:rFonts w:ascii="Times New Roman" w:cs="Times New Roman" w:eastAsia="Times New Roman" w:hAnsi="Times New Roman"/>
          <w:sz w:val="17"/>
          <w:szCs w:val="17"/>
          <w:u w:val="single" w:color="auto"/>
          <w:color w:val="auto"/>
        </w:rPr>
        <w:t>DGCL</w:t>
      </w:r>
      <w:r>
        <w:rPr>
          <w:rFonts w:ascii="Times New Roman" w:cs="Times New Roman" w:eastAsia="Times New Roman" w:hAnsi="Times New Roman"/>
          <w:sz w:val="17"/>
          <w:szCs w:val="17"/>
          <w:color w:val="auto"/>
        </w:rPr>
        <w:t>”), at the Effective Time, Merger Sub shall be merged with and into FBB (the “</w:t>
      </w:r>
      <w:r>
        <w:rPr>
          <w:rFonts w:ascii="Times New Roman" w:cs="Times New Roman" w:eastAsia="Times New Roman" w:hAnsi="Times New Roman"/>
          <w:sz w:val="17"/>
          <w:szCs w:val="17"/>
          <w:u w:val="single" w:color="auto"/>
          <w:color w:val="auto"/>
        </w:rPr>
        <w:t>Merger</w:t>
      </w:r>
      <w:r>
        <w:rPr>
          <w:rFonts w:ascii="Times New Roman" w:cs="Times New Roman" w:eastAsia="Times New Roman" w:hAnsi="Times New Roman"/>
          <w:sz w:val="17"/>
          <w:szCs w:val="17"/>
          <w:color w:val="auto"/>
        </w:rPr>
        <w:t>”). At the Effective Time, the separate corporate existence of Merger Sub shall cease, and FBB shall continue as the surviving corporation in the Merger (the “</w:t>
      </w:r>
      <w:r>
        <w:rPr>
          <w:rFonts w:ascii="Times New Roman" w:cs="Times New Roman" w:eastAsia="Times New Roman" w:hAnsi="Times New Roman"/>
          <w:sz w:val="17"/>
          <w:szCs w:val="17"/>
          <w:u w:val="single" w:color="auto"/>
          <w:color w:val="auto"/>
        </w:rPr>
        <w:t>Surviving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As a result of the Merger, FBB shall (a) become a wholly owned subsidiary of DXL, (b) continue to be governed by the Laws of the State of Delaware, (c) have a registered office in the State of Delaware, and (d) possess and be subject to all of the rights, properties and obligations of Merger Sub in accordance with the DGCL.</w:t>
      </w:r>
    </w:p>
    <w:p>
      <w:pPr>
        <w:spacing w:after="0" w:line="154" w:lineRule="exact"/>
        <w:rPr>
          <w:sz w:val="20"/>
          <w:szCs w:val="20"/>
          <w:color w:val="auto"/>
        </w:rPr>
      </w:pPr>
    </w:p>
    <w:p>
      <w:pPr>
        <w:jc w:val="both"/>
        <w:ind w:firstLine="1220"/>
        <w:spacing w:after="0" w:line="233" w:lineRule="auto"/>
        <w:rPr>
          <w:sz w:val="20"/>
          <w:szCs w:val="20"/>
          <w:color w:val="auto"/>
        </w:rPr>
      </w:pPr>
      <w:r>
        <w:rPr>
          <w:rFonts w:ascii="Times New Roman" w:cs="Times New Roman" w:eastAsia="Times New Roman" w:hAnsi="Times New Roman"/>
          <w:sz w:val="17"/>
          <w:szCs w:val="17"/>
          <w:b w:val="1"/>
          <w:bCs w:val="1"/>
          <w:u w:val="single" w:color="auto"/>
          <w:color w:val="auto"/>
        </w:rPr>
        <w:t>SECTION 1.02 Closing</w:t>
      </w:r>
      <w:r>
        <w:rPr>
          <w:rFonts w:ascii="Times New Roman" w:cs="Times New Roman" w:eastAsia="Times New Roman" w:hAnsi="Times New Roman"/>
          <w:sz w:val="17"/>
          <w:szCs w:val="17"/>
          <w:color w:val="auto"/>
        </w:rPr>
        <w:t>. Unless this Agreement shall have been terminated in accordance with ‎Section 8.01, the closing (the “</w:t>
      </w:r>
      <w:r>
        <w:rPr>
          <w:rFonts w:ascii="Times New Roman" w:cs="Times New Roman" w:eastAsia="Times New Roman" w:hAnsi="Times New Roman"/>
          <w:sz w:val="17"/>
          <w:szCs w:val="17"/>
          <w:u w:val="single" w:color="auto"/>
          <w:color w:val="auto"/>
        </w:rPr>
        <w:t>Closing</w:t>
      </w:r>
      <w:r>
        <w:rPr>
          <w:rFonts w:ascii="Times New Roman" w:cs="Times New Roman" w:eastAsia="Times New Roman" w:hAnsi="Times New Roman"/>
          <w:sz w:val="17"/>
          <w:szCs w:val="17"/>
          <w:color w:val="auto"/>
        </w:rPr>
        <w:t>”)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Merger shall take place by electronic exchange of all executed documents and other deliverables required by this Agreement to be delivered at Closing, including pursuant to ‎Article VII) at 10:00 a.m., Eastern time, on the third (3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7"/>
          <w:szCs w:val="17"/>
          <w:color w:val="auto"/>
        </w:rPr>
        <w:t>) Business Day following the satisfaction or (to the extent permitted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5219700</wp:posOffset>
            </wp:positionH>
            <wp:positionV relativeFrom="paragraph">
              <wp:posOffset>-283845</wp:posOffset>
            </wp:positionV>
            <wp:extent cx="54991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9910" cy="7620"/>
                    </a:xfrm>
                    <a:prstGeom prst="rect">
                      <a:avLst/>
                    </a:prstGeom>
                    <a:noFill/>
                  </pic:spPr>
                </pic:pic>
              </a:graphicData>
            </a:graphic>
          </wp:anchor>
        </w:drawing>
        <w:drawing>
          <wp:anchor simplePos="0" relativeHeight="251657728" behindDoc="1" locked="0" layoutInCell="0" allowOverlap="1">
            <wp:simplePos x="0" y="0"/>
            <wp:positionH relativeFrom="column">
              <wp:posOffset>996950</wp:posOffset>
            </wp:positionH>
            <wp:positionV relativeFrom="paragraph">
              <wp:posOffset>-20955</wp:posOffset>
            </wp:positionV>
            <wp:extent cx="49339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3395" cy="7620"/>
                    </a:xfrm>
                    <a:prstGeom prst="rect">
                      <a:avLst/>
                    </a:prstGeom>
                    <a:noFill/>
                  </pic:spPr>
                </pic:pic>
              </a:graphicData>
            </a:graphic>
          </wp:anchor>
        </w:drawing>
      </w:r>
    </w:p>
    <w:p>
      <w:pPr>
        <w:jc w:val="both"/>
        <w:ind w:right="20"/>
        <w:spacing w:after="0" w:line="253" w:lineRule="auto"/>
        <w:rPr>
          <w:sz w:val="20"/>
          <w:szCs w:val="20"/>
          <w:color w:val="auto"/>
        </w:rPr>
      </w:pPr>
      <w:r>
        <w:rPr>
          <w:rFonts w:ascii="Times New Roman" w:cs="Times New Roman" w:eastAsia="Times New Roman" w:hAnsi="Times New Roman"/>
          <w:sz w:val="17"/>
          <w:szCs w:val="17"/>
          <w:color w:val="auto"/>
        </w:rPr>
        <w:t>waiver by the party or parties entitled to the benefits thereof of the conditions set forth in Article‎ VII (other than those conditions that by their nature are to be satisfied at the Closing, but subject to the satisfaction or (to the extent permitted by Law) waiver of those conditions), or at such other place, time and date as shall be agreed in writing between DXL and FBB. The date on which the Closing occurs is referred to in this Agreement as the “</w:t>
      </w:r>
      <w:r>
        <w:rPr>
          <w:rFonts w:ascii="Times New Roman" w:cs="Times New Roman" w:eastAsia="Times New Roman" w:hAnsi="Times New Roman"/>
          <w:sz w:val="17"/>
          <w:szCs w:val="17"/>
          <w:u w:val="single" w:color="auto"/>
          <w:color w:val="auto"/>
        </w:rPr>
        <w:t>Closing Date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4048760</wp:posOffset>
            </wp:positionH>
            <wp:positionV relativeFrom="paragraph">
              <wp:posOffset>-286385</wp:posOffset>
            </wp:positionV>
            <wp:extent cx="48577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85775" cy="7620"/>
                    </a:xfrm>
                    <a:prstGeom prst="rect">
                      <a:avLst/>
                    </a:prstGeom>
                    <a:noFill/>
                  </pic:spPr>
                </pic:pic>
              </a:graphicData>
            </a:graphic>
          </wp:anchor>
        </w:drawing>
      </w:r>
    </w:p>
    <w:p>
      <w:pPr>
        <w:spacing w:after="0" w:line="132" w:lineRule="exact"/>
        <w:rPr>
          <w:sz w:val="20"/>
          <w:szCs w:val="20"/>
          <w:color w:val="auto"/>
        </w:rPr>
      </w:pPr>
    </w:p>
    <w:p>
      <w:pPr>
        <w:jc w:val="both"/>
        <w:ind w:right="20" w:firstLine="1220"/>
        <w:spacing w:after="0" w:line="267" w:lineRule="auto"/>
        <w:rPr>
          <w:sz w:val="20"/>
          <w:szCs w:val="20"/>
          <w:color w:val="auto"/>
        </w:rPr>
      </w:pPr>
      <w:r>
        <w:rPr>
          <w:rFonts w:ascii="Times New Roman" w:cs="Times New Roman" w:eastAsia="Times New Roman" w:hAnsi="Times New Roman"/>
          <w:sz w:val="17"/>
          <w:szCs w:val="17"/>
          <w:b w:val="1"/>
          <w:bCs w:val="1"/>
          <w:u w:val="single" w:color="auto"/>
          <w:color w:val="auto"/>
        </w:rPr>
        <w:t>SECTION 1.03 Effective Time</w:t>
      </w:r>
      <w:r>
        <w:rPr>
          <w:rFonts w:ascii="Times New Roman" w:cs="Times New Roman" w:eastAsia="Times New Roman" w:hAnsi="Times New Roman"/>
          <w:sz w:val="17"/>
          <w:szCs w:val="17"/>
          <w:color w:val="auto"/>
        </w:rPr>
        <w:t>. The Merger shall become effective upon the filing of a certificate of merger in respect of the Merger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Certificate of Merger</w:t>
      </w:r>
      <w:r>
        <w:rPr>
          <w:rFonts w:ascii="Times New Roman" w:cs="Times New Roman" w:eastAsia="Times New Roman" w:hAnsi="Times New Roman"/>
          <w:sz w:val="17"/>
          <w:szCs w:val="17"/>
          <w:color w:val="auto"/>
        </w:rPr>
        <w:t>”) with the Secretary of State of the State of Delaware, or such later date and time as may be specified in the Certificate of Merger in accordance with the DGCL (the “</w:t>
      </w:r>
      <w:r>
        <w:rPr>
          <w:rFonts w:ascii="Times New Roman" w:cs="Times New Roman" w:eastAsia="Times New Roman" w:hAnsi="Times New Roman"/>
          <w:sz w:val="17"/>
          <w:szCs w:val="17"/>
          <w:u w:val="single" w:color="auto"/>
          <w:color w:val="auto"/>
        </w:rPr>
        <w:t>Effective Time</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jc w:val="both"/>
        <w:ind w:right="20" w:firstLine="1220"/>
        <w:spacing w:after="0" w:line="260" w:lineRule="auto"/>
        <w:rPr>
          <w:sz w:val="20"/>
          <w:szCs w:val="20"/>
          <w:color w:val="auto"/>
        </w:rPr>
      </w:pPr>
      <w:r>
        <w:rPr>
          <w:rFonts w:ascii="Times New Roman" w:cs="Times New Roman" w:eastAsia="Times New Roman" w:hAnsi="Times New Roman"/>
          <w:sz w:val="17"/>
          <w:szCs w:val="17"/>
          <w:b w:val="1"/>
          <w:bCs w:val="1"/>
          <w:u w:val="single" w:color="auto"/>
          <w:color w:val="auto"/>
        </w:rPr>
        <w:t>SECTION 1.04 Effects of the Merger</w:t>
      </w:r>
      <w:r>
        <w:rPr>
          <w:rFonts w:ascii="Times New Roman" w:cs="Times New Roman" w:eastAsia="Times New Roman" w:hAnsi="Times New Roman"/>
          <w:sz w:val="17"/>
          <w:szCs w:val="17"/>
          <w:color w:val="auto"/>
        </w:rPr>
        <w:t>. The Merger shall have the effects set forth in this Agreement and as specified in the applicable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provisions of the DGCL. Without limiting the generality of the foregoing, and subject thereto, from and after the Effective Time, all property, rights, privileges, immunities, powers, franchises, licenses and authority of FBB and Merger Sub shall vest in the Surviving Company, and all debts, liabilities, obligations, restrictions and duties of each of FBB and Merger Sub shall become the debts, liabilities, obligations, restrictions and duties of the Surviving Company.</w:t>
      </w:r>
    </w:p>
    <w:p>
      <w:pPr>
        <w:spacing w:after="0" w:line="146" w:lineRule="exact"/>
        <w:rPr>
          <w:sz w:val="20"/>
          <w:szCs w:val="20"/>
          <w:color w:val="auto"/>
        </w:rPr>
      </w:pPr>
    </w:p>
    <w:p>
      <w:pPr>
        <w:ind w:left="1220"/>
        <w:spacing w:after="0"/>
        <w:tabs>
          <w:tab w:leader="none" w:pos="2580" w:val="left"/>
        </w:tabs>
        <w:rPr>
          <w:sz w:val="20"/>
          <w:szCs w:val="20"/>
          <w:color w:val="auto"/>
        </w:rPr>
      </w:pPr>
      <w:r>
        <w:rPr>
          <w:rFonts w:ascii="Times New Roman" w:cs="Times New Roman" w:eastAsia="Times New Roman" w:hAnsi="Times New Roman"/>
          <w:sz w:val="17"/>
          <w:szCs w:val="17"/>
          <w:b w:val="1"/>
          <w:bCs w:val="1"/>
          <w:u w:val="single" w:color="auto"/>
          <w:color w:val="auto"/>
        </w:rPr>
        <w:t>SECTION 1.05</w:t>
      </w:r>
      <w:r>
        <w:rPr>
          <w:sz w:val="20"/>
          <w:szCs w:val="20"/>
          <w:color w:val="auto"/>
        </w:rPr>
        <w:tab/>
      </w:r>
      <w:r>
        <w:rPr>
          <w:rFonts w:ascii="Times New Roman" w:cs="Times New Roman" w:eastAsia="Times New Roman" w:hAnsi="Times New Roman"/>
          <w:sz w:val="17"/>
          <w:szCs w:val="17"/>
          <w:b w:val="1"/>
          <w:bCs w:val="1"/>
          <w:u w:val="single" w:color="auto"/>
          <w:color w:val="auto"/>
        </w:rPr>
        <w:t>Organizational Documents</w:t>
      </w:r>
      <w:r>
        <w:rPr>
          <w:rFonts w:ascii="Times New Roman" w:cs="Times New Roman" w:eastAsia="Times New Roman" w:hAnsi="Times New Roman"/>
          <w:sz w:val="17"/>
          <w:szCs w:val="17"/>
          <w:color w:val="auto"/>
        </w:rPr>
        <w:t>.</w:t>
      </w:r>
    </w:p>
    <w:p>
      <w:pPr>
        <w:spacing w:after="0" w:line="197" w:lineRule="exact"/>
        <w:rPr>
          <w:sz w:val="20"/>
          <w:szCs w:val="20"/>
          <w:color w:val="auto"/>
        </w:rPr>
      </w:pPr>
    </w:p>
    <w:p>
      <w:pPr>
        <w:jc w:val="both"/>
        <w:ind w:right="20" w:firstLine="1496"/>
        <w:spacing w:after="0" w:line="265" w:lineRule="auto"/>
        <w:tabs>
          <w:tab w:leader="none" w:pos="1848"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Effective as of the Effective Time, the certificate of incorporation of FBB, as in effect immediately prior to the Effective Time, shall be amended and restated in its entirety to read as set forth on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hereto, and, as so amended and restated, will be the certificate of incorporation of the Surviving Company (the “</w:t>
      </w:r>
      <w:r>
        <w:rPr>
          <w:rFonts w:ascii="Times New Roman" w:cs="Times New Roman" w:eastAsia="Times New Roman" w:hAnsi="Times New Roman"/>
          <w:sz w:val="17"/>
          <w:szCs w:val="17"/>
          <w:u w:val="single" w:color="auto"/>
          <w:color w:val="auto"/>
        </w:rPr>
        <w:t>Surviving Company Charter</w:t>
      </w:r>
      <w:r>
        <w:rPr>
          <w:rFonts w:ascii="Times New Roman" w:cs="Times New Roman" w:eastAsia="Times New Roman" w:hAnsi="Times New Roman"/>
          <w:sz w:val="17"/>
          <w:szCs w:val="17"/>
          <w:color w:val="auto"/>
        </w:rPr>
        <w:t>”), until thereafter amended in accordance with its terms, the terms of this Agreement and applicable Law.</w:t>
      </w:r>
    </w:p>
    <w:p>
      <w:pPr>
        <w:spacing w:after="0" w:line="144" w:lineRule="exact"/>
        <w:rPr>
          <w:rFonts w:ascii="Times New Roman" w:cs="Times New Roman" w:eastAsia="Times New Roman" w:hAnsi="Times New Roman"/>
          <w:sz w:val="17"/>
          <w:szCs w:val="17"/>
          <w:color w:val="auto"/>
        </w:rPr>
      </w:pPr>
    </w:p>
    <w:p>
      <w:pPr>
        <w:jc w:val="both"/>
        <w:ind w:right="20" w:firstLine="1496"/>
        <w:spacing w:after="0" w:line="259" w:lineRule="auto"/>
        <w:tabs>
          <w:tab w:leader="none" w:pos="1848"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Effective Time, the bylaws of the Surviving Company shall be amended and restated to conform to the bylaws of Merger Sub as in effect immediately prior to the Effective Time, which shall conform with the rights and responsibilities of the Surviving Company under this Agreement,</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including the provisions of Section‎ 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1207135</wp:posOffset>
            </wp:positionH>
            <wp:positionV relativeFrom="paragraph">
              <wp:posOffset>-17780</wp:posOffset>
            </wp:positionV>
            <wp:extent cx="54991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9910" cy="7620"/>
                    </a:xfrm>
                    <a:prstGeom prst="rect">
                      <a:avLst/>
                    </a:prstGeom>
                    <a:noFill/>
                  </pic:spPr>
                </pic:pic>
              </a:graphicData>
            </a:graphic>
          </wp:anchor>
        </w:drawing>
      </w:r>
    </w:p>
    <w:p>
      <w:pPr>
        <w:spacing w:after="0" w:line="153" w:lineRule="exact"/>
        <w:rPr>
          <w:sz w:val="20"/>
          <w:szCs w:val="20"/>
          <w:color w:val="auto"/>
        </w:rPr>
      </w:pPr>
    </w:p>
    <w:p>
      <w:pPr>
        <w:jc w:val="both"/>
        <w:ind w:right="20" w:firstLine="1220"/>
        <w:spacing w:after="0" w:line="267" w:lineRule="auto"/>
        <w:rPr>
          <w:sz w:val="20"/>
          <w:szCs w:val="20"/>
          <w:color w:val="auto"/>
        </w:rPr>
      </w:pPr>
      <w:r>
        <w:rPr>
          <w:rFonts w:ascii="Times New Roman" w:cs="Times New Roman" w:eastAsia="Times New Roman" w:hAnsi="Times New Roman"/>
          <w:sz w:val="17"/>
          <w:szCs w:val="17"/>
          <w:b w:val="1"/>
          <w:bCs w:val="1"/>
          <w:u w:val="single" w:color="auto"/>
          <w:color w:val="auto"/>
        </w:rPr>
        <w:t>SECTION 1.06 Directors and Officers of the Surviving Company</w:t>
      </w:r>
      <w:r>
        <w:rPr>
          <w:rFonts w:ascii="Times New Roman" w:cs="Times New Roman" w:eastAsia="Times New Roman" w:hAnsi="Times New Roman"/>
          <w:sz w:val="17"/>
          <w:szCs w:val="17"/>
          <w:color w:val="auto"/>
        </w:rPr>
        <w:t>. At the Effective Time, the directors and officers of the Surviving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Company, each to hold office in accordance with the Surviving Company Charter and until their earlier resignation or removal or until their respective successors are duly elected or appointed and qualified, shall be such individuals as set forth on </w:t>
      </w:r>
      <w:r>
        <w:rPr>
          <w:rFonts w:ascii="Times New Roman" w:cs="Times New Roman" w:eastAsia="Times New Roman" w:hAnsi="Times New Roman"/>
          <w:sz w:val="17"/>
          <w:szCs w:val="17"/>
          <w:u w:val="single" w:color="auto"/>
          <w:color w:val="auto"/>
        </w:rPr>
        <w:t>Exhibit D</w:t>
      </w:r>
      <w:r>
        <w:rPr>
          <w:rFonts w:ascii="Times New Roman" w:cs="Times New Roman" w:eastAsia="Times New Roman" w:hAnsi="Times New Roman"/>
          <w:sz w:val="17"/>
          <w:szCs w:val="17"/>
          <w:color w:val="auto"/>
        </w:rPr>
        <w:t xml:space="preserve"> hereto.</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ARTICLE II</w:t>
      </w:r>
    </w:p>
    <w:p>
      <w:pPr>
        <w:spacing w:after="0" w:line="195" w:lineRule="exact"/>
        <w:rPr>
          <w:sz w:val="20"/>
          <w:szCs w:val="20"/>
          <w:color w:val="auto"/>
        </w:rPr>
      </w:pPr>
    </w:p>
    <w:p>
      <w:pPr>
        <w:ind w:left="1220"/>
        <w:spacing w:after="0"/>
        <w:tabs>
          <w:tab w:leader="none" w:pos="2580" w:val="left"/>
        </w:tabs>
        <w:rPr>
          <w:sz w:val="20"/>
          <w:szCs w:val="20"/>
          <w:color w:val="auto"/>
        </w:rPr>
      </w:pPr>
      <w:r>
        <w:rPr>
          <w:rFonts w:ascii="Times New Roman" w:cs="Times New Roman" w:eastAsia="Times New Roman" w:hAnsi="Times New Roman"/>
          <w:sz w:val="17"/>
          <w:szCs w:val="17"/>
          <w:b w:val="1"/>
          <w:bCs w:val="1"/>
          <w:u w:val="single" w:color="auto"/>
          <w:color w:val="auto"/>
        </w:rPr>
        <w:t>SECTION 2.01</w:t>
      </w:r>
      <w:r>
        <w:rPr>
          <w:sz w:val="20"/>
          <w:szCs w:val="20"/>
          <w:color w:val="auto"/>
        </w:rPr>
        <w:tab/>
      </w:r>
      <w:r>
        <w:rPr>
          <w:rFonts w:ascii="Times New Roman" w:cs="Times New Roman" w:eastAsia="Times New Roman" w:hAnsi="Times New Roman"/>
          <w:sz w:val="17"/>
          <w:szCs w:val="17"/>
          <w:b w:val="1"/>
          <w:bCs w:val="1"/>
          <w:u w:val="single" w:color="auto"/>
          <w:color w:val="auto"/>
        </w:rPr>
        <w:t>Effect on FBB Capital Stock</w:t>
      </w:r>
      <w:r>
        <w:rPr>
          <w:rFonts w:ascii="Times New Roman" w:cs="Times New Roman" w:eastAsia="Times New Roman" w:hAnsi="Times New Roman"/>
          <w:sz w:val="17"/>
          <w:szCs w:val="17"/>
          <w:color w:val="auto"/>
        </w:rPr>
        <w:t>.</w:t>
      </w:r>
    </w:p>
    <w:p>
      <w:pPr>
        <w:spacing w:after="0" w:line="197" w:lineRule="exact"/>
        <w:rPr>
          <w:sz w:val="20"/>
          <w:szCs w:val="20"/>
          <w:color w:val="auto"/>
        </w:rPr>
      </w:pPr>
    </w:p>
    <w:p>
      <w:pPr>
        <w:ind w:left="1500"/>
        <w:spacing w:after="0"/>
        <w:tabs>
          <w:tab w:leader="none" w:pos="1820" w:val="left"/>
        </w:tabs>
        <w:rPr>
          <w:sz w:val="20"/>
          <w:szCs w:val="20"/>
          <w:color w:val="auto"/>
        </w:rPr>
      </w:pPr>
      <w:r>
        <w:rPr>
          <w:rFonts w:ascii="Times New Roman" w:cs="Times New Roman" w:eastAsia="Times New Roman" w:hAnsi="Times New Roman"/>
          <w:sz w:val="17"/>
          <w:szCs w:val="17"/>
          <w:color w:val="auto"/>
        </w:rPr>
        <w:t>(a)</w:t>
        <w:tab/>
        <w:t>At the Effective Time, by virtue of the Merger and without any action on the part of DXL, Merger Sub or FBB, or the holders of any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FBB Capital Stock:</w:t>
      </w:r>
    </w:p>
    <w:p>
      <w:pPr>
        <w:spacing w:after="0" w:line="175" w:lineRule="exact"/>
        <w:rPr>
          <w:sz w:val="20"/>
          <w:szCs w:val="20"/>
          <w:color w:val="auto"/>
        </w:rPr>
      </w:pPr>
    </w:p>
    <w:p>
      <w:pPr>
        <w:jc w:val="both"/>
        <w:ind w:firstLine="2246"/>
        <w:spacing w:after="0" w:line="259" w:lineRule="auto"/>
        <w:tabs>
          <w:tab w:leader="none" w:pos="2598"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Merger Consideration</w:t>
      </w:r>
      <w:r>
        <w:rPr>
          <w:rFonts w:ascii="Times New Roman" w:cs="Times New Roman" w:eastAsia="Times New Roman" w:hAnsi="Times New Roman"/>
          <w:sz w:val="17"/>
          <w:szCs w:val="17"/>
          <w:color w:val="auto"/>
        </w:rPr>
        <w:t>. Each share of FBB Common Stock, other than Excluded Shares, Appraisal Shares and Unaccredited Investor Shares, shall be converted into the right to receive that number of fully paid and nonassessable shares of DXL Common Stock equal to the Exchange</w:t>
      </w:r>
    </w:p>
    <w:p>
      <w:pPr>
        <w:jc w:val="both"/>
        <w:ind w:right="20"/>
        <w:spacing w:after="0" w:line="24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Ratio with that number of shares of DXL Common Stock to be received by a holder of FBB Common Stock pursuant to this Section‎ 2.01(a) who would otherwise be entitled to receive a fraction of a share of a DXL Common Stock (after aggregating all fractional DXL Common Stock issuable to such holder in connection with the Merger) to be rounded up to the nearest whole number of shares of DXL Common Stock. All shares of DXL Common Stock to be issued pursuant to</w:t>
      </w:r>
    </w:p>
    <w:p>
      <w:pPr>
        <w:spacing w:after="0" w:line="2" w:lineRule="exact"/>
        <w:rPr>
          <w:rFonts w:ascii="Times New Roman" w:cs="Times New Roman" w:eastAsia="Times New Roman" w:hAnsi="Times New Roman"/>
          <w:sz w:val="17"/>
          <w:szCs w:val="17"/>
          <w:color w:val="auto"/>
        </w:rPr>
      </w:pPr>
    </w:p>
    <w:p>
      <w:pPr>
        <w:jc w:val="both"/>
        <w:spacing w:after="0" w:line="24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Section‎ 2.01(a), together with the Unaccredited Investor Cash Consideration, are collectively referred to herein as the “</w:t>
      </w:r>
      <w:r>
        <w:rPr>
          <w:rFonts w:ascii="Times New Roman" w:cs="Times New Roman" w:eastAsia="Times New Roman" w:hAnsi="Times New Roman"/>
          <w:sz w:val="17"/>
          <w:szCs w:val="17"/>
          <w:u w:val="single" w:color="auto"/>
          <w:color w:val="auto"/>
        </w:rPr>
        <w:t>Merger Consideration</w:t>
      </w:r>
      <w:r>
        <w:rPr>
          <w:rFonts w:ascii="Times New Roman" w:cs="Times New Roman" w:eastAsia="Times New Roman" w:hAnsi="Times New Roman"/>
          <w:sz w:val="17"/>
          <w:szCs w:val="17"/>
          <w:color w:val="auto"/>
        </w:rPr>
        <w:t>”. Each holder of a physical certificate (a “</w:t>
      </w:r>
      <w:r>
        <w:rPr>
          <w:rFonts w:ascii="Times New Roman" w:cs="Times New Roman" w:eastAsia="Times New Roman" w:hAnsi="Times New Roman"/>
          <w:sz w:val="17"/>
          <w:szCs w:val="17"/>
          <w:u w:val="single" w:color="auto"/>
          <w:color w:val="auto"/>
        </w:rPr>
        <w:t>Certificate</w:t>
      </w:r>
      <w:r>
        <w:rPr>
          <w:rFonts w:ascii="Times New Roman" w:cs="Times New Roman" w:eastAsia="Times New Roman" w:hAnsi="Times New Roman"/>
          <w:sz w:val="17"/>
          <w:szCs w:val="17"/>
          <w:color w:val="auto"/>
        </w:rPr>
        <w:t>”) that immediately prior to the Effective Time represented any FBB Common Stock or non-certificated shares of FBB</w:t>
      </w:r>
    </w:p>
    <w:p>
      <w:pPr>
        <w:spacing w:after="0" w:line="1" w:lineRule="exact"/>
        <w:rPr>
          <w:rFonts w:ascii="Times New Roman" w:cs="Times New Roman" w:eastAsia="Times New Roman" w:hAnsi="Times New Roman"/>
          <w:sz w:val="17"/>
          <w:szCs w:val="17"/>
          <w:color w:val="auto"/>
        </w:rPr>
      </w:pPr>
    </w:p>
    <w:p>
      <w:pPr>
        <w:jc w:val="both"/>
        <w:spacing w:after="0" w:line="24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Common Stock held in book-entry form (each, a “</w:t>
      </w:r>
      <w:r>
        <w:rPr>
          <w:rFonts w:ascii="Times New Roman" w:cs="Times New Roman" w:eastAsia="Times New Roman" w:hAnsi="Times New Roman"/>
          <w:sz w:val="17"/>
          <w:szCs w:val="17"/>
          <w:u w:val="single" w:color="auto"/>
          <w:color w:val="auto"/>
        </w:rPr>
        <w:t>Book-Entry Share</w:t>
      </w:r>
      <w:r>
        <w:rPr>
          <w:rFonts w:ascii="Times New Roman" w:cs="Times New Roman" w:eastAsia="Times New Roman" w:hAnsi="Times New Roman"/>
          <w:sz w:val="17"/>
          <w:szCs w:val="17"/>
          <w:color w:val="auto"/>
        </w:rPr>
        <w:t xml:space="preserve">”), in each case, converted pursuant to this Section‎ 2.01(a) shall cease to have any rights with respect thereto, except the right to receive the portion of the Merger Consideration to which such shares of FBB Common Stock are entitled pursuant hereto and any dividends or other distributions to which holders become entitled upon the surrender of such Certificates or Book-Entry Shares in accordance with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w:t>
      </w:r>
    </w:p>
    <w:p>
      <w:pPr>
        <w:spacing w:after="0" w:line="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2.02(d)</w:t>
      </w:r>
      <w:r>
        <w:rPr>
          <w:rFonts w:ascii="Times New Roman" w:cs="Times New Roman" w:eastAsia="Times New Roman" w:hAnsi="Times New Roman"/>
          <w:sz w:val="17"/>
          <w:szCs w:val="17"/>
          <w:color w:val="auto"/>
        </w:rPr>
        <w:t>, in each case without interest and less, subject to Section‎ 2.02(h), any applicable withholding Taxes.</w:t>
      </w:r>
    </w:p>
    <w:p>
      <w:pPr>
        <w:spacing w:after="0" w:line="174" w:lineRule="exact"/>
        <w:rPr>
          <w:rFonts w:ascii="Times New Roman" w:cs="Times New Roman" w:eastAsia="Times New Roman" w:hAnsi="Times New Roman"/>
          <w:sz w:val="17"/>
          <w:szCs w:val="17"/>
          <w:color w:val="auto"/>
        </w:rPr>
      </w:pPr>
    </w:p>
    <w:p>
      <w:pPr>
        <w:jc w:val="both"/>
        <w:ind w:firstLine="2246"/>
        <w:spacing w:after="0" w:line="265" w:lineRule="auto"/>
        <w:tabs>
          <w:tab w:leader="none" w:pos="2598" w:val="left"/>
        </w:tabs>
        <w:numPr>
          <w:ilvl w:val="1"/>
          <w:numId w:val="4"/>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Treatment of Excluded Shares</w:t>
      </w:r>
      <w:r>
        <w:rPr>
          <w:rFonts w:ascii="Times New Roman" w:cs="Times New Roman" w:eastAsia="Times New Roman" w:hAnsi="Times New Roman"/>
          <w:sz w:val="17"/>
          <w:szCs w:val="17"/>
          <w:color w:val="auto"/>
        </w:rPr>
        <w:t xml:space="preserve"> . Each share of FBB Capital Stock that is directly owned by FBB as treasury stock or otherwise, by DXL or Merger Sub, or by any Subsidiary of any of the foregoing immediately prior to the Effective Time (the “</w:t>
      </w:r>
      <w:r>
        <w:rPr>
          <w:rFonts w:ascii="Times New Roman" w:cs="Times New Roman" w:eastAsia="Times New Roman" w:hAnsi="Times New Roman"/>
          <w:sz w:val="17"/>
          <w:szCs w:val="17"/>
          <w:u w:val="single" w:color="auto"/>
          <w:color w:val="auto"/>
        </w:rPr>
        <w:t>Excluded Shares</w:t>
      </w:r>
      <w:r>
        <w:rPr>
          <w:rFonts w:ascii="Times New Roman" w:cs="Times New Roman" w:eastAsia="Times New Roman" w:hAnsi="Times New Roman"/>
          <w:sz w:val="17"/>
          <w:szCs w:val="17"/>
          <w:color w:val="auto"/>
        </w:rPr>
        <w:t>”) shall be cancelled and shall cease to exist, and no consideration shall be delivered in exchange therefor.</w:t>
      </w:r>
    </w:p>
    <w:p>
      <w:pPr>
        <w:spacing w:after="0" w:line="144" w:lineRule="exact"/>
        <w:rPr>
          <w:rFonts w:ascii="Times New Roman" w:cs="Times New Roman" w:eastAsia="Times New Roman" w:hAnsi="Times New Roman"/>
          <w:sz w:val="17"/>
          <w:szCs w:val="17"/>
          <w:u w:val="single" w:color="auto"/>
          <w:color w:val="auto"/>
        </w:rPr>
      </w:pPr>
    </w:p>
    <w:p>
      <w:pPr>
        <w:jc w:val="both"/>
        <w:ind w:firstLine="2246"/>
        <w:spacing w:after="0" w:line="259" w:lineRule="auto"/>
        <w:tabs>
          <w:tab w:leader="none" w:pos="2598" w:val="left"/>
        </w:tabs>
        <w:numPr>
          <w:ilvl w:val="1"/>
          <w:numId w:val="4"/>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Treatment of Unaccredited Investor Shares</w:t>
      </w:r>
      <w:r>
        <w:rPr>
          <w:rFonts w:ascii="Times New Roman" w:cs="Times New Roman" w:eastAsia="Times New Roman" w:hAnsi="Times New Roman"/>
          <w:sz w:val="17"/>
          <w:szCs w:val="17"/>
          <w:color w:val="auto"/>
        </w:rPr>
        <w:t xml:space="preserve"> . Notwithstanding any other provision of this Agreement, each share of FBB Common Stock held immediately prior to the Effective Time by a FBB Stockholder that is an Unaccredited Investor (each, an “</w:t>
      </w:r>
      <w:r>
        <w:rPr>
          <w:rFonts w:ascii="Times New Roman" w:cs="Times New Roman" w:eastAsia="Times New Roman" w:hAnsi="Times New Roman"/>
          <w:sz w:val="17"/>
          <w:szCs w:val="17"/>
          <w:u w:val="single" w:color="auto"/>
          <w:color w:val="auto"/>
        </w:rPr>
        <w:t>Unaccredited Investor Share</w:t>
      </w:r>
      <w:r>
        <w:rPr>
          <w:rFonts w:ascii="Times New Roman" w:cs="Times New Roman" w:eastAsia="Times New Roman" w:hAnsi="Times New Roman"/>
          <w:sz w:val="17"/>
          <w:szCs w:val="17"/>
          <w:color w:val="auto"/>
        </w:rPr>
        <w:t>”) shall be converted into the right to receive the Unaccredited Investor Cash Consideration, without any interest thereon. For the avoidance of doubt, no Unaccredited Investor shall receive any stock consideration in the Merger.</w:t>
      </w:r>
    </w:p>
    <w:p>
      <w:pPr>
        <w:spacing w:after="0" w:line="149" w:lineRule="exact"/>
        <w:rPr>
          <w:rFonts w:ascii="Times New Roman" w:cs="Times New Roman" w:eastAsia="Times New Roman" w:hAnsi="Times New Roman"/>
          <w:sz w:val="17"/>
          <w:szCs w:val="17"/>
          <w:u w:val="single" w:color="auto"/>
          <w:color w:val="auto"/>
        </w:rPr>
      </w:pPr>
    </w:p>
    <w:p>
      <w:pPr>
        <w:jc w:val="both"/>
        <w:ind w:firstLine="2246"/>
        <w:spacing w:after="0" w:line="259" w:lineRule="auto"/>
        <w:tabs>
          <w:tab w:leader="none" w:pos="261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Treatment of FBB Warrants</w:t>
      </w:r>
      <w:r>
        <w:rPr>
          <w:rFonts w:ascii="Times New Roman" w:cs="Times New Roman" w:eastAsia="Times New Roman" w:hAnsi="Times New Roman"/>
          <w:sz w:val="17"/>
          <w:szCs w:val="17"/>
          <w:color w:val="auto"/>
        </w:rPr>
        <w:t>. Contingent on and with effect immediately prior to the Effective Time, all FBB Warrants outstanding immediately prior to the Effective Time shall, without any further action on the part of any holder thereof, be cancelled, terminated, and extinguished in their entirety in accordance with the terms and conditions of those certain warrant termination agreements duly executed and delivered by each holder of FBB Warrants to FBB prior to the Closing Date.</w:t>
      </w:r>
    </w:p>
    <w:p>
      <w:pPr>
        <w:spacing w:after="0" w:line="149" w:lineRule="exact"/>
        <w:rPr>
          <w:rFonts w:ascii="Times New Roman" w:cs="Times New Roman" w:eastAsia="Times New Roman" w:hAnsi="Times New Roman"/>
          <w:sz w:val="17"/>
          <w:szCs w:val="17"/>
          <w:color w:val="auto"/>
        </w:rPr>
      </w:pPr>
    </w:p>
    <w:p>
      <w:pPr>
        <w:jc w:val="both"/>
        <w:ind w:firstLine="1496"/>
        <w:spacing w:after="0" w:line="254" w:lineRule="auto"/>
        <w:tabs>
          <w:tab w:leader="none" w:pos="1848" w:val="left"/>
        </w:tabs>
        <w:numPr>
          <w:ilvl w:val="0"/>
          <w:numId w:val="5"/>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Appraisal Rights</w:t>
      </w:r>
      <w:r>
        <w:rPr>
          <w:rFonts w:ascii="Times New Roman" w:cs="Times New Roman" w:eastAsia="Times New Roman" w:hAnsi="Times New Roman"/>
          <w:sz w:val="17"/>
          <w:szCs w:val="17"/>
          <w:color w:val="auto"/>
        </w:rPr>
        <w:t>. Notwithstanding any provision of this Agreement to the contrary, shares of FBB Capital Stock that are issued and outstanding immediately prior to the Effective Time (other than the Excluded Shares) and that are held by holders of such shares who have not voted in favor of the adoption of this Agreement or consented thereto in writing and who have properly exercised appraisal rights with respect thereto in accordance with, and who have complied with, Section 262 of the DGCL with respect to any such shares held by any such holder (the “</w:t>
      </w:r>
      <w:r>
        <w:rPr>
          <w:rFonts w:ascii="Times New Roman" w:cs="Times New Roman" w:eastAsia="Times New Roman" w:hAnsi="Times New Roman"/>
          <w:sz w:val="17"/>
          <w:szCs w:val="17"/>
          <w:u w:val="single" w:color="auto"/>
          <w:color w:val="auto"/>
        </w:rPr>
        <w:t>Appraisal Shares</w:t>
      </w:r>
      <w:r>
        <w:rPr>
          <w:rFonts w:ascii="Times New Roman" w:cs="Times New Roman" w:eastAsia="Times New Roman" w:hAnsi="Times New Roman"/>
          <w:sz w:val="17"/>
          <w:szCs w:val="17"/>
          <w:color w:val="auto"/>
        </w:rPr>
        <w:t>”) shall not be converted into the right to receive the Merger Consideration, and holders of Appraisal Shares shall be entitled to receive payment of the fair value of Appraisal Shares in accordance with the provisions of Section 262 of the DGCL, unless and until any such holder fails to perfect or effectively withdraws or loses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5495925</wp:posOffset>
            </wp:positionH>
            <wp:positionV relativeFrom="paragraph">
              <wp:posOffset>-3703320</wp:posOffset>
            </wp:positionV>
            <wp:extent cx="67246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2465" cy="7620"/>
                    </a:xfrm>
                    <a:prstGeom prst="rect">
                      <a:avLst/>
                    </a:prstGeom>
                    <a:noFill/>
                  </pic:spPr>
                </pic:pic>
              </a:graphicData>
            </a:graphic>
          </wp:anchor>
        </w:drawing>
        <w:drawing>
          <wp:anchor simplePos="0" relativeHeight="251657728" behindDoc="1" locked="0" layoutInCell="0" allowOverlap="1">
            <wp:simplePos x="0" y="0"/>
            <wp:positionH relativeFrom="column">
              <wp:posOffset>182880</wp:posOffset>
            </wp:positionH>
            <wp:positionV relativeFrom="paragraph">
              <wp:posOffset>-3320415</wp:posOffset>
            </wp:positionV>
            <wp:extent cx="67246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2465" cy="7620"/>
                    </a:xfrm>
                    <a:prstGeom prst="rect">
                      <a:avLst/>
                    </a:prstGeom>
                    <a:noFill/>
                  </pic:spPr>
                </pic:pic>
              </a:graphicData>
            </a:graphic>
          </wp:anchor>
        </w:drawing>
        <w:drawing>
          <wp:anchor simplePos="0" relativeHeight="251657728" behindDoc="1" locked="0" layoutInCell="0" allowOverlap="1">
            <wp:simplePos x="0" y="0"/>
            <wp:positionH relativeFrom="column">
              <wp:posOffset>4919980</wp:posOffset>
            </wp:positionH>
            <wp:positionV relativeFrom="paragraph">
              <wp:posOffset>-3065145</wp:posOffset>
            </wp:positionV>
            <wp:extent cx="67246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2465" cy="7620"/>
                    </a:xfrm>
                    <a:prstGeom prst="rect">
                      <a:avLst/>
                    </a:prstGeom>
                    <a:noFill/>
                  </pic:spPr>
                </pic:pic>
              </a:graphicData>
            </a:graphic>
          </wp:anchor>
        </w:drawing>
        <w:drawing>
          <wp:anchor simplePos="0" relativeHeight="251657728" behindDoc="1" locked="0" layoutInCell="0" allowOverlap="1">
            <wp:simplePos x="0" y="0"/>
            <wp:positionH relativeFrom="column">
              <wp:posOffset>2505710</wp:posOffset>
            </wp:positionH>
            <wp:positionV relativeFrom="paragraph">
              <wp:posOffset>-2681605</wp:posOffset>
            </wp:positionV>
            <wp:extent cx="67881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8815" cy="762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3" w:name="page14"/>
    <w:bookmarkEnd w:id="13"/>
    <w:p>
      <w:pPr>
        <w:jc w:val="both"/>
        <w:spacing w:after="0" w:line="256" w:lineRule="auto"/>
        <w:rPr>
          <w:sz w:val="20"/>
          <w:szCs w:val="20"/>
          <w:color w:val="auto"/>
        </w:rPr>
      </w:pPr>
      <w:r>
        <w:rPr>
          <w:rFonts w:ascii="Times New Roman" w:cs="Times New Roman" w:eastAsia="Times New Roman" w:hAnsi="Times New Roman"/>
          <w:sz w:val="17"/>
          <w:szCs w:val="17"/>
          <w:color w:val="auto"/>
        </w:rPr>
        <w:t>its rights to appraisal and payment under the DGCL. If, after the Effective Time, any such holder fails to perfect or effectively withdraws or loses such rights, such Appraisal Shares will thereupon be no longer considered Appraisal Shares under this Agreement and will be treated as if they had been converted into, at the Effective Time, the right to receive the Merger Consideration, without any interest thereon, and the Surviving Company shall remain liable for payment of the Merger Consideration for such shares. At the Effective Time, any holder of Appraisal Shares shall cease to have any rights with respect thereto, except the rights provided in Section 262 of the DGCL and as provided in the previous sentence.</w:t>
      </w:r>
    </w:p>
    <w:p>
      <w:pPr>
        <w:spacing w:after="0" w:line="152" w:lineRule="exact"/>
        <w:rPr>
          <w:sz w:val="20"/>
          <w:szCs w:val="20"/>
          <w:color w:val="auto"/>
        </w:rPr>
      </w:pPr>
    </w:p>
    <w:p>
      <w:pPr>
        <w:jc w:val="both"/>
        <w:ind w:right="20" w:firstLine="1496"/>
        <w:spacing w:after="0" w:line="252" w:lineRule="auto"/>
        <w:tabs>
          <w:tab w:leader="none" w:pos="1848"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Certain Adjustments</w:t>
      </w:r>
      <w:r>
        <w:rPr>
          <w:rFonts w:ascii="Times New Roman" w:cs="Times New Roman" w:eastAsia="Times New Roman" w:hAnsi="Times New Roman"/>
          <w:sz w:val="17"/>
          <w:szCs w:val="17"/>
          <w:color w:val="auto"/>
        </w:rPr>
        <w:t>. If, between the date of this Agreement and the Effective Time, the number of outstanding DXL Common Stock or FBB Common Stock shall have been changed into a different number of shares or a different class of shares by reason of any stock dividend, subdivision, reorganization, reclassification, recapitalization, stock split, reverse stock split, combination or exchange of shares, or any similar event shall have occurred, then the Exchange Ratio shall be appropriately and proportionately adjusted to provide to the holders of DXL Common Stock and the holders of FBB Common Stock</w:t>
      </w:r>
    </w:p>
    <w:p>
      <w:pPr>
        <w:spacing w:after="0" w:line="3"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and FBB Warrants the same economic effect as contemplated by this Agreement prior to such event; provided that this Section‎ 2.01(c) shall not affect or</w:t>
      </w:r>
    </w:p>
    <w:p>
      <w:pPr>
        <w:spacing w:after="0" w:line="5"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supersede the provisions of Section‎ 5.01 or Section‎ 5.02.</w:t>
      </w:r>
    </w:p>
    <w:p>
      <w:pPr>
        <w:spacing w:after="0" w:line="174" w:lineRule="exact"/>
        <w:rPr>
          <w:rFonts w:ascii="Times New Roman" w:cs="Times New Roman" w:eastAsia="Times New Roman" w:hAnsi="Times New Roman"/>
          <w:sz w:val="17"/>
          <w:szCs w:val="17"/>
          <w:color w:val="auto"/>
        </w:rPr>
      </w:pPr>
    </w:p>
    <w:p>
      <w:pPr>
        <w:jc w:val="both"/>
        <w:ind w:right="20" w:firstLine="1496"/>
        <w:spacing w:after="0" w:line="256" w:lineRule="auto"/>
        <w:tabs>
          <w:tab w:leader="none" w:pos="18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Conversion of Merger Sub Capital Stock</w:t>
      </w:r>
      <w:r>
        <w:rPr>
          <w:rFonts w:ascii="Times New Roman" w:cs="Times New Roman" w:eastAsia="Times New Roman" w:hAnsi="Times New Roman"/>
          <w:sz w:val="17"/>
          <w:szCs w:val="17"/>
          <w:color w:val="auto"/>
        </w:rPr>
        <w:t>. At the Effective Time, by virtue of and simultaneously with the Merger and without any further action on the part of DXL, Merger Sub or FBB, each share of common stock of Merger Sub issued and outstanding immediately prior to the Effective Time shall be automatically converted into one validly issued, fully paid and non-assessable share of common stock of the Surviving Company and such shares shall constitute the only outstanding shares of capital stock of the Surviving Company. Each certificate evidencing ownership of such shares of Merger Sub immediately prior to the Effective Time shall, as of the Effective Time, evidence ownership of such shares of the Surviving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5579745</wp:posOffset>
            </wp:positionH>
            <wp:positionV relativeFrom="paragraph">
              <wp:posOffset>-918845</wp:posOffset>
            </wp:positionV>
            <wp:extent cx="68707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7070" cy="7620"/>
                    </a:xfrm>
                    <a:prstGeom prst="rect">
                      <a:avLst/>
                    </a:prstGeom>
                    <a:noFill/>
                  </pic:spPr>
                </pic:pic>
              </a:graphicData>
            </a:graphic>
          </wp:anchor>
        </w:drawing>
        <w:drawing>
          <wp:anchor simplePos="0" relativeHeight="251657728" behindDoc="1" locked="0" layoutInCell="0" allowOverlap="1">
            <wp:simplePos x="0" y="0"/>
            <wp:positionH relativeFrom="column">
              <wp:posOffset>1225550</wp:posOffset>
            </wp:positionH>
            <wp:positionV relativeFrom="paragraph">
              <wp:posOffset>-791210</wp:posOffset>
            </wp:positionV>
            <wp:extent cx="124714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47140" cy="7620"/>
                    </a:xfrm>
                    <a:prstGeom prst="rect">
                      <a:avLst/>
                    </a:prstGeom>
                    <a:noFill/>
                  </pic:spPr>
                </pic:pic>
              </a:graphicData>
            </a:graphic>
          </wp:anchor>
        </w:drawing>
      </w:r>
    </w:p>
    <w:p>
      <w:pPr>
        <w:spacing w:after="0" w:line="130" w:lineRule="exact"/>
        <w:rPr>
          <w:sz w:val="20"/>
          <w:szCs w:val="20"/>
          <w:color w:val="auto"/>
        </w:rPr>
      </w:pPr>
    </w:p>
    <w:p>
      <w:pPr>
        <w:ind w:left="1220"/>
        <w:spacing w:after="0"/>
        <w:tabs>
          <w:tab w:leader="none" w:pos="2580" w:val="left"/>
        </w:tabs>
        <w:rPr>
          <w:sz w:val="20"/>
          <w:szCs w:val="20"/>
          <w:color w:val="auto"/>
        </w:rPr>
      </w:pPr>
      <w:r>
        <w:rPr>
          <w:rFonts w:ascii="Times New Roman" w:cs="Times New Roman" w:eastAsia="Times New Roman" w:hAnsi="Times New Roman"/>
          <w:sz w:val="17"/>
          <w:szCs w:val="17"/>
          <w:b w:val="1"/>
          <w:bCs w:val="1"/>
          <w:u w:val="single" w:color="auto"/>
          <w:color w:val="auto"/>
        </w:rPr>
        <w:t>SECTION 2.02</w:t>
      </w:r>
      <w:r>
        <w:rPr>
          <w:sz w:val="20"/>
          <w:szCs w:val="20"/>
          <w:color w:val="auto"/>
        </w:rPr>
        <w:tab/>
      </w:r>
      <w:r>
        <w:rPr>
          <w:rFonts w:ascii="Times New Roman" w:cs="Times New Roman" w:eastAsia="Times New Roman" w:hAnsi="Times New Roman"/>
          <w:sz w:val="17"/>
          <w:szCs w:val="17"/>
          <w:b w:val="1"/>
          <w:bCs w:val="1"/>
          <w:u w:val="single" w:color="auto"/>
          <w:color w:val="auto"/>
        </w:rPr>
        <w:t>Exchange of Certificates</w:t>
      </w:r>
      <w:r>
        <w:rPr>
          <w:rFonts w:ascii="Times New Roman" w:cs="Times New Roman" w:eastAsia="Times New Roman" w:hAnsi="Times New Roman"/>
          <w:sz w:val="17"/>
          <w:szCs w:val="17"/>
          <w:color w:val="auto"/>
        </w:rPr>
        <w:t>.</w:t>
      </w:r>
    </w:p>
    <w:p>
      <w:pPr>
        <w:spacing w:after="0" w:line="197" w:lineRule="exact"/>
        <w:rPr>
          <w:sz w:val="20"/>
          <w:szCs w:val="20"/>
          <w:color w:val="auto"/>
        </w:rPr>
      </w:pPr>
    </w:p>
    <w:p>
      <w:pPr>
        <w:jc w:val="both"/>
        <w:ind w:firstLine="1496"/>
        <w:spacing w:after="0" w:line="259" w:lineRule="auto"/>
        <w:tabs>
          <w:tab w:leader="none" w:pos="1848"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Exchange Agent</w:t>
      </w:r>
      <w:r>
        <w:rPr>
          <w:rFonts w:ascii="Times New Roman" w:cs="Times New Roman" w:eastAsia="Times New Roman" w:hAnsi="Times New Roman"/>
          <w:sz w:val="17"/>
          <w:szCs w:val="17"/>
          <w:color w:val="auto"/>
        </w:rPr>
        <w:t>. Prior to the Effective Time, DXL and FBB shall appoint a commercial bank, trust company or stockholder service provider to be mutually agreed upon by them to act as exchange agent (the “</w:t>
      </w:r>
      <w:r>
        <w:rPr>
          <w:rFonts w:ascii="Times New Roman" w:cs="Times New Roman" w:eastAsia="Times New Roman" w:hAnsi="Times New Roman"/>
          <w:sz w:val="17"/>
          <w:szCs w:val="17"/>
          <w:u w:val="single" w:color="auto"/>
          <w:color w:val="auto"/>
        </w:rPr>
        <w:t>Exchange Agent</w:t>
      </w:r>
      <w:r>
        <w:rPr>
          <w:rFonts w:ascii="Times New Roman" w:cs="Times New Roman" w:eastAsia="Times New Roman" w:hAnsi="Times New Roman"/>
          <w:sz w:val="17"/>
          <w:szCs w:val="17"/>
          <w:color w:val="auto"/>
        </w:rPr>
        <w:t>”) for the delivery of the Merger Consideration to holders of FBB</w:t>
      </w:r>
    </w:p>
    <w:p>
      <w:pPr>
        <w:jc w:val="both"/>
        <w:spacing w:after="0" w:line="24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Common Stock (together with any cash in respect of any other dividends or distributions that such holders have the right to receive pursuant to Section‎ 2.02‎(d)). Promptly following the Effective Time, FBB shall provide DXL (with a copy to the Exchange Agent) the stockholders registry of FBB updated as of immediately prior to the Effective Time, following the conversion of the FBB Preferred Stock into FBB Common Stock in accordance with their respective terms (the “</w:t>
      </w:r>
      <w:r>
        <w:rPr>
          <w:rFonts w:ascii="Times New Roman" w:cs="Times New Roman" w:eastAsia="Times New Roman" w:hAnsi="Times New Roman"/>
          <w:sz w:val="17"/>
          <w:szCs w:val="17"/>
          <w:u w:val="single" w:color="auto"/>
          <w:color w:val="auto"/>
        </w:rPr>
        <w:t>Final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Stockholders Registry</w:t>
      </w:r>
      <w:r>
        <w:rPr>
          <w:rFonts w:ascii="Times New Roman" w:cs="Times New Roman" w:eastAsia="Times New Roman" w:hAnsi="Times New Roman"/>
          <w:sz w:val="17"/>
          <w:szCs w:val="17"/>
          <w:color w:val="auto"/>
        </w:rPr>
        <w:t>”), including addresses, tax identification numbers and other information reasonably required by the Exchange Agent. At or prior to the Effective Time, DXL shall deposit with the Exchange Agent, for the benefit of holders of Certificates or Book-Entry Shares appearing in the Final Stockholders</w:t>
      </w:r>
    </w:p>
    <w:p>
      <w:pPr>
        <w:spacing w:after="0" w:line="3" w:lineRule="exact"/>
        <w:rPr>
          <w:rFonts w:ascii="Times New Roman" w:cs="Times New Roman" w:eastAsia="Times New Roman" w:hAnsi="Times New Roman"/>
          <w:sz w:val="17"/>
          <w:szCs w:val="17"/>
          <w:color w:val="auto"/>
        </w:rPr>
      </w:pPr>
    </w:p>
    <w:p>
      <w:pPr>
        <w:jc w:val="both"/>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Registry, for exchange in accordance with this Article‎ II through the Exchange Agent, the DXL Common Stock (in certificated or book-entry form) to be delivered as the Merger Consideration (the “</w:t>
      </w:r>
      <w:r>
        <w:rPr>
          <w:rFonts w:ascii="Times New Roman" w:cs="Times New Roman" w:eastAsia="Times New Roman" w:hAnsi="Times New Roman"/>
          <w:sz w:val="17"/>
          <w:szCs w:val="17"/>
          <w:u w:val="single" w:color="auto"/>
          <w:color w:val="auto"/>
        </w:rPr>
        <w:t>Exchange Fund</w:t>
      </w:r>
      <w:r>
        <w:rPr>
          <w:rFonts w:ascii="Times New Roman" w:cs="Times New Roman" w:eastAsia="Times New Roman" w:hAnsi="Times New Roman"/>
          <w:sz w:val="17"/>
          <w:szCs w:val="17"/>
          <w:color w:val="auto"/>
        </w:rPr>
        <w:t>”). Immediately following the Effective Time, DXL shall instruct the Exchange Agent to timely pay the Merger Consideration (including the Unaccredited Investor Cash Consideration) and such other amounts in accordance with this Agreement.</w:t>
      </w:r>
    </w:p>
    <w:p>
      <w:pPr>
        <w:spacing w:after="0" w:line="154" w:lineRule="exact"/>
        <w:rPr>
          <w:rFonts w:ascii="Times New Roman" w:cs="Times New Roman" w:eastAsia="Times New Roman" w:hAnsi="Times New Roman"/>
          <w:sz w:val="17"/>
          <w:szCs w:val="17"/>
          <w:color w:val="auto"/>
        </w:rPr>
      </w:pPr>
    </w:p>
    <w:p>
      <w:pPr>
        <w:jc w:val="both"/>
        <w:ind w:right="20" w:firstLine="1496"/>
        <w:spacing w:after="0" w:line="259" w:lineRule="auto"/>
        <w:tabs>
          <w:tab w:leader="none" w:pos="1848"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Deposit of Unaccredited Investor Cash Consideration</w:t>
      </w:r>
      <w:r>
        <w:rPr>
          <w:rFonts w:ascii="Times New Roman" w:cs="Times New Roman" w:eastAsia="Times New Roman" w:hAnsi="Times New Roman"/>
          <w:sz w:val="17"/>
          <w:szCs w:val="17"/>
          <w:color w:val="auto"/>
        </w:rPr>
        <w:t>. At least two (2) Business Days prior to the Closing Date, FBB shall deliver to DXL a schedule (the “</w:t>
      </w:r>
      <w:r>
        <w:rPr>
          <w:rFonts w:ascii="Times New Roman" w:cs="Times New Roman" w:eastAsia="Times New Roman" w:hAnsi="Times New Roman"/>
          <w:sz w:val="17"/>
          <w:szCs w:val="17"/>
          <w:u w:val="single" w:color="auto"/>
          <w:color w:val="auto"/>
        </w:rPr>
        <w:t>Unaccredited Investor Schedule</w:t>
      </w:r>
      <w:r>
        <w:rPr>
          <w:rFonts w:ascii="Times New Roman" w:cs="Times New Roman" w:eastAsia="Times New Roman" w:hAnsi="Times New Roman"/>
          <w:sz w:val="17"/>
          <w:szCs w:val="17"/>
          <w:color w:val="auto"/>
        </w:rPr>
        <w:t>”), setting forth (A) the name and address of each holder of Unaccredited Investor Shares as of immediately prior to the Effective Time, (B) the number of Unaccredited Investor Shares held by each such holder, and (C) the mailing address for each such holder. Promptly following the Effective Time, DXL shall deposit, or cause to be deposited, with the Exchange Agent, for the benefit of holders of Unaccredited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6392545</wp:posOffset>
            </wp:positionH>
            <wp:positionV relativeFrom="paragraph">
              <wp:posOffset>-1558290</wp:posOffset>
            </wp:positionV>
            <wp:extent cx="68580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0" cy="7620"/>
                    </a:xfrm>
                    <a:prstGeom prst="rect">
                      <a:avLst/>
                    </a:prstGeom>
                    <a:noFill/>
                  </pic:spPr>
                </pic:pic>
              </a:graphicData>
            </a:graphic>
          </wp:anchor>
        </w:drawing>
        <w:drawing>
          <wp:anchor simplePos="0" relativeHeight="251657728" behindDoc="1" locked="0" layoutInCell="0" allowOverlap="1">
            <wp:simplePos x="0" y="0"/>
            <wp:positionH relativeFrom="column">
              <wp:posOffset>2188845</wp:posOffset>
            </wp:positionH>
            <wp:positionV relativeFrom="paragraph">
              <wp:posOffset>-920115</wp:posOffset>
            </wp:positionV>
            <wp:extent cx="42164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21640" cy="762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color w:val="auto"/>
        </w:rPr>
        <w:t>Investor Shares, cash in immediately available funds in an amount equal to the total amount of Merger Consideration to be paid to the Unaccredited Investors.</w:t>
      </w:r>
    </w:p>
    <w:p>
      <w:pPr>
        <w:spacing w:after="0" w:line="195" w:lineRule="exact"/>
        <w:rPr>
          <w:sz w:val="20"/>
          <w:szCs w:val="20"/>
          <w:color w:val="auto"/>
        </w:rPr>
      </w:pPr>
    </w:p>
    <w:p>
      <w:pPr>
        <w:ind w:left="1840" w:hanging="344"/>
        <w:spacing w:after="0"/>
        <w:tabs>
          <w:tab w:leader="none" w:pos="18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Exchange Procedures</w:t>
      </w:r>
      <w:r>
        <w:rPr>
          <w:rFonts w:ascii="Times New Roman" w:cs="Times New Roman" w:eastAsia="Times New Roman" w:hAnsi="Times New Roman"/>
          <w:sz w:val="17"/>
          <w:szCs w:val="17"/>
          <w:color w:val="auto"/>
        </w:rPr>
        <w:t>.</w:t>
      </w:r>
    </w:p>
    <w:p>
      <w:pPr>
        <w:spacing w:after="0" w:line="194" w:lineRule="exact"/>
        <w:rPr>
          <w:rFonts w:ascii="Times New Roman" w:cs="Times New Roman" w:eastAsia="Times New Roman" w:hAnsi="Times New Roman"/>
          <w:sz w:val="17"/>
          <w:szCs w:val="17"/>
          <w:color w:val="auto"/>
        </w:rPr>
      </w:pPr>
    </w:p>
    <w:p>
      <w:pPr>
        <w:ind w:left="2600" w:hanging="354"/>
        <w:spacing w:after="0"/>
        <w:tabs>
          <w:tab w:leader="none" w:pos="260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soon as reasonably practicable after the Effective Time, DXL shall cause the Exchange Agent to mail to each holder of</w:t>
      </w:r>
    </w:p>
    <w:p>
      <w:pPr>
        <w:spacing w:after="0" w:line="25" w:lineRule="exact"/>
        <w:rPr>
          <w:rFonts w:ascii="Times New Roman" w:cs="Times New Roman" w:eastAsia="Times New Roman" w:hAnsi="Times New Roman"/>
          <w:sz w:val="17"/>
          <w:szCs w:val="17"/>
          <w:color w:val="auto"/>
        </w:rPr>
      </w:pPr>
    </w:p>
    <w:p>
      <w:pPr>
        <w:jc w:val="both"/>
        <w:spacing w:after="0" w:line="24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record of a Certificate or Book Entry-Share whose shares will be or were transferred pursuant to Section‎ 2.01(a) in consideration for the right to receive the Merger Consideration (i) a letter of transmittal in customary form as reasonably agreed by the parties which (A) shall specify that delivery shall be effected, and risk of loss and title to the Certificates or Book Entry-Share shall pass, only upon delivery of the letter of transmittal and, if applicable, Certificates to the Exchange Agent and (B) shall have such other provisions as DXL and FBB may reasonably specify and (ii) instructions for effecting the surrender of the Certificates or Book Entry-Shares in exchange for the Merger Consideration. Upon proper surrender of a Certificate to the Exchange Agent, if applicable, together with such letter of transmittal, duly completed and validly executed in accordance with the instructions thereto, and such other documents as may reasonably be required by the Exchange Agent, the holder of such Certificate or Book-Entry Share shall be entitled to receive in exchange therefor either the (A) Unaccredited Investor Cash Consideration or (B) a physical certificate or uncertificated book-entry representing that number of whole DXL Common Stock that such holder has the right to receive in respect of the aggregate number of FBB Common Stock previously represented by such Certificate or Book Entry-Share</w:t>
      </w:r>
    </w:p>
    <w:p>
      <w:pPr>
        <w:spacing w:after="0" w:line="6" w:lineRule="exact"/>
        <w:rPr>
          <w:rFonts w:ascii="Times New Roman" w:cs="Times New Roman" w:eastAsia="Times New Roman" w:hAnsi="Times New Roman"/>
          <w:sz w:val="17"/>
          <w:szCs w:val="17"/>
          <w:color w:val="auto"/>
        </w:rPr>
      </w:pPr>
    </w:p>
    <w:p>
      <w:pPr>
        <w:jc w:val="both"/>
        <w:spacing w:after="0" w:line="24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Section‎ 2.01(a) and a check representing any dividends or distributions that the holder has the right to receive pursuant to Section‎ 2.02‎(d) in respect of such Certificate or Book Entry-Share, and the Certificate so surrendered or the Book-Entry Share shall immediately be canceled. Until surrendered as</w:t>
      </w:r>
    </w:p>
    <w:p>
      <w:pPr>
        <w:spacing w:after="0" w:line="1" w:lineRule="exact"/>
        <w:rPr>
          <w:rFonts w:ascii="Times New Roman" w:cs="Times New Roman" w:eastAsia="Times New Roman" w:hAnsi="Times New Roman"/>
          <w:sz w:val="17"/>
          <w:szCs w:val="17"/>
          <w:color w:val="auto"/>
        </w:rPr>
      </w:pPr>
    </w:p>
    <w:p>
      <w:pPr>
        <w:jc w:val="both"/>
        <w:ind w:right="20"/>
        <w:spacing w:after="0" w:line="24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contemplated by this Section‎ 2.02, if applicable, each Certificate or Book Entry-Share shall be deemed at any time after the Effective Time to represent only the right to receive upon such surrender the Merger Consideration that the holder of such Certificate or Book Entry-Share has the right to receive in respect of such</w:t>
      </w:r>
    </w:p>
    <w:p>
      <w:pPr>
        <w:spacing w:after="0" w:line="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Certificate or Book Entry-Share pursuant to Section‎ 2.01(a) (together with any cash in respect of any dividends or distributions that the holder has the right to</w:t>
      </w:r>
    </w:p>
    <w:p>
      <w:pPr>
        <w:spacing w:after="0" w:line="5"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receive pursuant to Section‎ 2.02‎(d) in respect of such Certificate or Book Entry-Share). No interest shall be paid or shall accrue on any cash payable upon</w:t>
      </w:r>
    </w:p>
    <w:p>
      <w:pPr>
        <w:spacing w:after="0" w:line="5"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surrender of any Certificate or Book Entry-Share pursuant to Section‎ 2.01(a).</w:t>
      </w:r>
    </w:p>
    <w:p>
      <w:pPr>
        <w:spacing w:after="0" w:line="174" w:lineRule="exact"/>
        <w:rPr>
          <w:rFonts w:ascii="Times New Roman" w:cs="Times New Roman" w:eastAsia="Times New Roman" w:hAnsi="Times New Roman"/>
          <w:sz w:val="17"/>
          <w:szCs w:val="17"/>
          <w:color w:val="auto"/>
        </w:rPr>
      </w:pPr>
    </w:p>
    <w:p>
      <w:pPr>
        <w:jc w:val="both"/>
        <w:ind w:right="20" w:firstLine="1496"/>
        <w:spacing w:after="0" w:line="252" w:lineRule="auto"/>
        <w:tabs>
          <w:tab w:leader="none" w:pos="1848"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Treatment of Unexchanged Shares</w:t>
      </w:r>
      <w:r>
        <w:rPr>
          <w:rFonts w:ascii="Times New Roman" w:cs="Times New Roman" w:eastAsia="Times New Roman" w:hAnsi="Times New Roman"/>
          <w:sz w:val="17"/>
          <w:szCs w:val="17"/>
          <w:color w:val="auto"/>
        </w:rPr>
        <w:t>. No dividends or other distributions declared or made with respect to DXL Common Stock with a record date after the Effective Time shall be paid to the holder of any unsurrendered Certificate or Book Entry-Share with respect to the DXL Common Stock issuable upon surrender or cancellation thereof, and no cash in respect of any unpaid dividends or distributions with a record date prior to the Effective Time that have been declared with respect to the FBB Common Stock shall be paid to any such holder, until the surrender of such Certificate or Book Entry-Share in</w:t>
      </w:r>
    </w:p>
    <w:p>
      <w:pPr>
        <w:spacing w:after="0" w:line="3" w:lineRule="exact"/>
        <w:rPr>
          <w:rFonts w:ascii="Times New Roman" w:cs="Times New Roman" w:eastAsia="Times New Roman" w:hAnsi="Times New Roman"/>
          <w:sz w:val="17"/>
          <w:szCs w:val="17"/>
          <w:color w:val="auto"/>
        </w:rPr>
      </w:pPr>
    </w:p>
    <w:p>
      <w:pPr>
        <w:jc w:val="both"/>
        <w:spacing w:after="0" w:line="24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accordance with this Article‎ II. Subject to escheat or other applicable Law, following surrender of any such Certificate or Book Entry-Share, there shall be paid to the holder of the Certificate or Book Entry-Share, without interest, at the time of surrender, the amount of dividends or other distributions with a record date after</w:t>
      </w:r>
    </w:p>
    <w:p>
      <w:pPr>
        <w:spacing w:after="0" w:line="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Effective Time previously paid with respect to each share of DXL Common Stock that such holder has the right to receive pursuant to Section‎ 2.01(a).</w:t>
      </w:r>
    </w:p>
    <w:p>
      <w:pPr>
        <w:spacing w:after="0" w:line="174" w:lineRule="exact"/>
        <w:rPr>
          <w:rFonts w:ascii="Times New Roman" w:cs="Times New Roman" w:eastAsia="Times New Roman" w:hAnsi="Times New Roman"/>
          <w:sz w:val="17"/>
          <w:szCs w:val="17"/>
          <w:color w:val="auto"/>
        </w:rPr>
      </w:pPr>
    </w:p>
    <w:p>
      <w:pPr>
        <w:ind w:left="1840" w:hanging="344"/>
        <w:spacing w:after="0"/>
        <w:tabs>
          <w:tab w:leader="none" w:pos="18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Further Ownership Rights in FBB Common Stock</w:t>
      </w:r>
      <w:r>
        <w:rPr>
          <w:rFonts w:ascii="Times New Roman" w:cs="Times New Roman" w:eastAsia="Times New Roman" w:hAnsi="Times New Roman"/>
          <w:sz w:val="17"/>
          <w:szCs w:val="17"/>
          <w:color w:val="auto"/>
        </w:rPr>
        <w:t>. The DXL Common Stock issued and cash paid in accordance with the terms of</w:t>
      </w:r>
    </w:p>
    <w:p>
      <w:pPr>
        <w:spacing w:after="0" w:line="25" w:lineRule="exact"/>
        <w:rPr>
          <w:rFonts w:ascii="Times New Roman" w:cs="Times New Roman" w:eastAsia="Times New Roman" w:hAnsi="Times New Roman"/>
          <w:sz w:val="17"/>
          <w:szCs w:val="17"/>
          <w:color w:val="auto"/>
        </w:rPr>
      </w:pPr>
    </w:p>
    <w:p>
      <w:pPr>
        <w:jc w:val="both"/>
        <w:spacing w:after="0" w:line="24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Article‎ II upon conversion of any FBB Common Stock shall be deemed to have been issued and paid in full satisfaction of all rights pertaining to such shares. From and after the Effective Time, (i) all holders of any FBB Common Stock shall cease to have any rights as stockholders of FBB other than the right to receive the Merger Consideration and any dividends or other distributions that holders have the right to receive upon surrender of such Certificates or Book Entry-Shares</w:t>
      </w:r>
    </w:p>
    <w:p>
      <w:pPr>
        <w:spacing w:after="0" w:line="2" w:lineRule="exact"/>
        <w:rPr>
          <w:rFonts w:ascii="Times New Roman" w:cs="Times New Roman" w:eastAsia="Times New Roman" w:hAnsi="Times New Roman"/>
          <w:sz w:val="17"/>
          <w:szCs w:val="17"/>
          <w:color w:val="auto"/>
        </w:rPr>
      </w:pPr>
    </w:p>
    <w:p>
      <w:pPr>
        <w:ind w:right="2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accordance with Section‎ 2.02‎(d), without interest, and (ii) the share registry of FBB shall be closed with respect to all FBB Common Stock outstanding immediately prior to the Effective Time. From and after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4450715</wp:posOffset>
            </wp:positionH>
            <wp:positionV relativeFrom="paragraph">
              <wp:posOffset>-3850005</wp:posOffset>
            </wp:positionV>
            <wp:extent cx="68008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0085" cy="7620"/>
                    </a:xfrm>
                    <a:prstGeom prst="rect">
                      <a:avLst/>
                    </a:prstGeom>
                    <a:noFill/>
                  </pic:spPr>
                </pic:pic>
              </a:graphicData>
            </a:graphic>
          </wp:anchor>
        </w:drawing>
        <w:drawing>
          <wp:anchor simplePos="0" relativeHeight="251657728" behindDoc="1" locked="0" layoutInCell="0" allowOverlap="1">
            <wp:simplePos x="0" y="0"/>
            <wp:positionH relativeFrom="column">
              <wp:posOffset>516255</wp:posOffset>
            </wp:positionH>
            <wp:positionV relativeFrom="paragraph">
              <wp:posOffset>-2701290</wp:posOffset>
            </wp:positionV>
            <wp:extent cx="67246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2465" cy="762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-2701290</wp:posOffset>
            </wp:positionV>
            <wp:extent cx="67881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8815" cy="7620"/>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-2445385</wp:posOffset>
            </wp:positionV>
            <wp:extent cx="54991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49910" cy="7620"/>
                    </a:xfrm>
                    <a:prstGeom prst="rect">
                      <a:avLst/>
                    </a:prstGeom>
                    <a:noFill/>
                  </pic:spPr>
                </pic:pic>
              </a:graphicData>
            </a:graphic>
          </wp:anchor>
        </w:drawing>
        <w:drawing>
          <wp:anchor simplePos="0" relativeHeight="251657728" behindDoc="1" locked="0" layoutInCell="0" allowOverlap="1">
            <wp:simplePos x="0" y="0"/>
            <wp:positionH relativeFrom="column">
              <wp:posOffset>1997710</wp:posOffset>
            </wp:positionH>
            <wp:positionV relativeFrom="paragraph">
              <wp:posOffset>-2190115</wp:posOffset>
            </wp:positionV>
            <wp:extent cx="68008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0085" cy="7620"/>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-2062480</wp:posOffset>
            </wp:positionV>
            <wp:extent cx="69342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3420" cy="7620"/>
                    </a:xfrm>
                    <a:prstGeom prst="rect">
                      <a:avLst/>
                    </a:prstGeom>
                    <a:noFill/>
                  </pic:spPr>
                </pic:pic>
              </a:graphicData>
            </a:graphic>
          </wp:anchor>
        </w:drawing>
        <w:drawing>
          <wp:anchor simplePos="0" relativeHeight="251657728" behindDoc="1" locked="0" layoutInCell="0" allowOverlap="1">
            <wp:simplePos x="0" y="0"/>
            <wp:positionH relativeFrom="column">
              <wp:posOffset>2701290</wp:posOffset>
            </wp:positionH>
            <wp:positionV relativeFrom="paragraph">
              <wp:posOffset>-1934845</wp:posOffset>
            </wp:positionV>
            <wp:extent cx="67246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2465" cy="7620"/>
                    </a:xfrm>
                    <a:prstGeom prst="rect">
                      <a:avLst/>
                    </a:prstGeom>
                    <a:noFill/>
                  </pic:spPr>
                </pic:pic>
              </a:graphicData>
            </a:graphic>
          </wp:anchor>
        </w:drawing>
        <w:drawing>
          <wp:anchor simplePos="0" relativeHeight="251657728" behindDoc="1" locked="0" layoutInCell="0" allowOverlap="1">
            <wp:simplePos x="0" y="0"/>
            <wp:positionH relativeFrom="column">
              <wp:posOffset>928370</wp:posOffset>
            </wp:positionH>
            <wp:positionV relativeFrom="paragraph">
              <wp:posOffset>-1176655</wp:posOffset>
            </wp:positionV>
            <wp:extent cx="40640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06400" cy="7620"/>
                    </a:xfrm>
                    <a:prstGeom prst="rect">
                      <a:avLst/>
                    </a:prstGeom>
                    <a:noFill/>
                  </pic:spPr>
                </pic:pic>
              </a:graphicData>
            </a:graphic>
          </wp:anchor>
        </w:drawing>
        <w:drawing>
          <wp:anchor simplePos="0" relativeHeight="251657728" behindDoc="1" locked="0" layoutInCell="0" allowOverlap="1">
            <wp:simplePos x="0" y="0"/>
            <wp:positionH relativeFrom="column">
              <wp:posOffset>6090920</wp:posOffset>
            </wp:positionH>
            <wp:positionV relativeFrom="paragraph">
              <wp:posOffset>-921385</wp:posOffset>
            </wp:positionV>
            <wp:extent cx="672465"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2465" cy="7620"/>
                    </a:xfrm>
                    <a:prstGeom prst="rect">
                      <a:avLst/>
                    </a:prstGeom>
                    <a:noFill/>
                  </pic:spPr>
                </pic:pic>
              </a:graphicData>
            </a:graphic>
          </wp:anchor>
        </w:drawing>
        <w:drawing>
          <wp:anchor simplePos="0" relativeHeight="251657728" behindDoc="1" locked="0" layoutInCell="0" allowOverlap="1">
            <wp:simplePos x="0" y="0"/>
            <wp:positionH relativeFrom="column">
              <wp:posOffset>182880</wp:posOffset>
            </wp:positionH>
            <wp:positionV relativeFrom="paragraph">
              <wp:posOffset>-545465</wp:posOffset>
            </wp:positionV>
            <wp:extent cx="40640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06400" cy="7620"/>
                    </a:xfrm>
                    <a:prstGeom prst="rect">
                      <a:avLst/>
                    </a:prstGeom>
                    <a:noFill/>
                  </pic:spPr>
                </pic:pic>
              </a:graphicData>
            </a:graphic>
          </wp:anchor>
        </w:drawing>
        <w:drawing>
          <wp:anchor simplePos="0" relativeHeight="251657728" behindDoc="1" locked="0" layoutInCell="0" allowOverlap="1">
            <wp:simplePos x="0" y="0"/>
            <wp:positionH relativeFrom="column">
              <wp:posOffset>900430</wp:posOffset>
            </wp:positionH>
            <wp:positionV relativeFrom="paragraph">
              <wp:posOffset>-162560</wp:posOffset>
            </wp:positionV>
            <wp:extent cx="69342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3420" cy="762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15" w:name="page16"/>
    <w:bookmarkEnd w:id="15"/>
    <w:p>
      <w:pPr>
        <w:jc w:val="both"/>
        <w:spacing w:after="0" w:line="256" w:lineRule="auto"/>
        <w:rPr>
          <w:sz w:val="20"/>
          <w:szCs w:val="20"/>
          <w:color w:val="auto"/>
        </w:rPr>
      </w:pPr>
      <w:r>
        <w:rPr>
          <w:rFonts w:ascii="Times New Roman" w:cs="Times New Roman" w:eastAsia="Times New Roman" w:hAnsi="Times New Roman"/>
          <w:sz w:val="17"/>
          <w:szCs w:val="17"/>
          <w:color w:val="auto"/>
        </w:rPr>
        <w:t>Effective Time, there shall be no further registration of transfers on the share registry of the Surviving Company of FBB Common Stock that were outstanding immediately prior to the Effective Time and FBB Common Stock outstanding immediately prior to the Effective Time shall, from and after the Effective Time, be deemed for all purposes to evidence solely the right in accordance with the terms of this Agreement to receive the allocable Merger Consideration. If, after the Effective Time, any Certificates or Book Entry-Shares formerly representing FBB Common Stock are presented to DXL, the Surviving Company or the Exchange Agent for any reason, such Certificates or Book Entry-Shares shall be canceled and exchanged as provided in this ‎Article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5492115</wp:posOffset>
            </wp:positionH>
            <wp:positionV relativeFrom="paragraph">
              <wp:posOffset>-32385</wp:posOffset>
            </wp:positionV>
            <wp:extent cx="40640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06400" cy="7620"/>
                    </a:xfrm>
                    <a:prstGeom prst="rect">
                      <a:avLst/>
                    </a:prstGeom>
                    <a:noFill/>
                  </pic:spPr>
                </pic:pic>
              </a:graphicData>
            </a:graphic>
          </wp:anchor>
        </w:drawing>
      </w:r>
    </w:p>
    <w:p>
      <w:pPr>
        <w:spacing w:after="0" w:line="132" w:lineRule="exact"/>
        <w:rPr>
          <w:sz w:val="20"/>
          <w:szCs w:val="20"/>
          <w:color w:val="auto"/>
        </w:rPr>
      </w:pPr>
    </w:p>
    <w:p>
      <w:pPr>
        <w:jc w:val="both"/>
        <w:ind w:firstLine="1496"/>
        <w:spacing w:after="0" w:line="255" w:lineRule="auto"/>
        <w:tabs>
          <w:tab w:leader="none" w:pos="186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of Exchange Fund</w:t>
      </w:r>
      <w:r>
        <w:rPr>
          <w:rFonts w:ascii="Times New Roman" w:cs="Times New Roman" w:eastAsia="Times New Roman" w:hAnsi="Times New Roman"/>
          <w:sz w:val="17"/>
          <w:szCs w:val="17"/>
          <w:color w:val="auto"/>
        </w:rPr>
        <w:t xml:space="preserve">. Any portion of the Exchange Fund (including any interest or other amounts received with respect thereto) that remains unclaimed by, or otherwise undistributed to, the holders of Certificates or Book Entry-Shares by the date that is twelve (12) months after the Effective Time shall be delivered to DXL, upon demand, and any holder of Certificates or Book Entry-Shares who has not theretofore complied with this </w:t>
      </w:r>
      <w:r>
        <w:rPr>
          <w:rFonts w:ascii="Times New Roman" w:cs="Times New Roman" w:eastAsia="Times New Roman" w:hAnsi="Times New Roman"/>
          <w:sz w:val="17"/>
          <w:szCs w:val="17"/>
          <w:u w:val="single" w:color="auto"/>
          <w:color w:val="auto"/>
        </w:rPr>
        <w:t>Article</w:t>
      </w:r>
      <w:r>
        <w:rPr>
          <w:rFonts w:ascii="Times New Roman" w:cs="Times New Roman" w:eastAsia="Times New Roman" w:hAnsi="Times New Roman"/>
          <w:sz w:val="17"/>
          <w:szCs w:val="17"/>
          <w:color w:val="auto"/>
        </w:rPr>
        <w:t>‎</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xml:space="preserve"> shall thereafter look only to DXL for satisfaction of its claim for Merger Consideration and any cash in respect of any dividends or distributions that the holder</w:t>
      </w:r>
    </w:p>
    <w:p>
      <w:pPr>
        <w:spacing w:after="0" w:line="5"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has the right to receive pursuant to Section‎ 2.02‎(d).</w:t>
      </w:r>
    </w:p>
    <w:p>
      <w:pPr>
        <w:spacing w:after="0" w:line="174" w:lineRule="exact"/>
        <w:rPr>
          <w:rFonts w:ascii="Times New Roman" w:cs="Times New Roman" w:eastAsia="Times New Roman" w:hAnsi="Times New Roman"/>
          <w:sz w:val="17"/>
          <w:szCs w:val="17"/>
          <w:color w:val="auto"/>
        </w:rPr>
      </w:pPr>
    </w:p>
    <w:p>
      <w:pPr>
        <w:jc w:val="both"/>
        <w:ind w:firstLine="1496"/>
        <w:spacing w:after="0" w:line="255" w:lineRule="auto"/>
        <w:tabs>
          <w:tab w:leader="none" w:pos="186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Liability</w:t>
      </w:r>
      <w:r>
        <w:rPr>
          <w:rFonts w:ascii="Times New Roman" w:cs="Times New Roman" w:eastAsia="Times New Roman" w:hAnsi="Times New Roman"/>
          <w:sz w:val="17"/>
          <w:szCs w:val="17"/>
          <w:color w:val="auto"/>
        </w:rPr>
        <w:t>. None of DXL, Merger Sub, FBB or the Exchange Agent shall be liable to any Person in respect of any portion of the Exchange Fund or the Merger Consideration delivered to a public official pursuant to any applicable abandoned property, escheat or similar Law. If any Certificate has not been surrendered prior to the date on which the Merger Consideration to be paid in respect of such Certificate would otherwise escheat to or become the property of any Governmental Entity, any Merger Consideration to be paid in respect of such Certificate or Book Entry-Share shall, to the extent permitted by applicable Law, immediately prior to such time become the property of DXL, free and clear of all claims or interest of any Person previously entitled thereto.</w:t>
      </w:r>
    </w:p>
    <w:p>
      <w:pPr>
        <w:spacing w:after="0" w:line="357" w:lineRule="exact"/>
        <w:rPr>
          <w:rFonts w:ascii="Times New Roman" w:cs="Times New Roman" w:eastAsia="Times New Roman" w:hAnsi="Times New Roman"/>
          <w:sz w:val="17"/>
          <w:szCs w:val="17"/>
          <w:color w:val="auto"/>
        </w:rPr>
      </w:pPr>
    </w:p>
    <w:p>
      <w:pPr>
        <w:jc w:val="both"/>
        <w:ind w:firstLine="1496"/>
        <w:spacing w:after="0" w:line="251" w:lineRule="auto"/>
        <w:tabs>
          <w:tab w:leader="none" w:pos="186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Withholding Rights</w:t>
      </w:r>
      <w:r>
        <w:rPr>
          <w:rFonts w:ascii="Times New Roman" w:cs="Times New Roman" w:eastAsia="Times New Roman" w:hAnsi="Times New Roman"/>
          <w:sz w:val="17"/>
          <w:szCs w:val="17"/>
          <w:color w:val="auto"/>
        </w:rPr>
        <w:t>. Each of DXL, the Exchange Agent, or anyone on their behalf (each a “</w:t>
      </w:r>
      <w:r>
        <w:rPr>
          <w:rFonts w:ascii="Times New Roman" w:cs="Times New Roman" w:eastAsia="Times New Roman" w:hAnsi="Times New Roman"/>
          <w:sz w:val="17"/>
          <w:szCs w:val="17"/>
          <w:u w:val="single" w:color="auto"/>
          <w:color w:val="auto"/>
        </w:rPr>
        <w:t>Payor</w:t>
      </w:r>
      <w:r>
        <w:rPr>
          <w:rFonts w:ascii="Times New Roman" w:cs="Times New Roman" w:eastAsia="Times New Roman" w:hAnsi="Times New Roman"/>
          <w:sz w:val="17"/>
          <w:szCs w:val="17"/>
          <w:color w:val="auto"/>
        </w:rPr>
        <w:t>”) (without duplication) shall be entitled to deduct and withhold from any consideration otherwise payable or deliverable to any Person pursuant to this Agreement such amounts as may be required to be deducted and withheld with respect to the making of such payment under any applicable Tax Law; provided, however, that a Payor that intends to withhold shall use commercially reasonable efforts to provide FBB with reasonable advance notice of any such withholding (other than where such deduction or withholding is with respect to an amount treated as compensation under the Code or is due to a failure of the payee to provide any applicable Tax forms required</w:t>
      </w:r>
    </w:p>
    <w:p>
      <w:pPr>
        <w:spacing w:after="0" w:line="3" w:lineRule="exact"/>
        <w:rPr>
          <w:rFonts w:ascii="Times New Roman" w:cs="Times New Roman" w:eastAsia="Times New Roman" w:hAnsi="Times New Roman"/>
          <w:sz w:val="17"/>
          <w:szCs w:val="17"/>
          <w:color w:val="auto"/>
        </w:rPr>
      </w:pPr>
    </w:p>
    <w:p>
      <w:pPr>
        <w:jc w:val="both"/>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the letter of transmittal described under Section‎ 2.02(c) or the failure of FBB to provide the certificate described in Section‎ 6.08(b)) and shall reasonably cooperate with FBB to eliminate or reduce any such required deduction or withholding. Any amounts so deducted, withheld and paid over to the appropriate taxing authority shall be treated for all purposes of this Agreement as having been paid to the Person in respect of which such deduction or withholding was made.</w:t>
      </w:r>
    </w:p>
    <w:p>
      <w:pPr>
        <w:spacing w:after="0" w:line="357" w:lineRule="exact"/>
        <w:rPr>
          <w:rFonts w:ascii="Times New Roman" w:cs="Times New Roman" w:eastAsia="Times New Roman" w:hAnsi="Times New Roman"/>
          <w:sz w:val="17"/>
          <w:szCs w:val="17"/>
          <w:color w:val="auto"/>
        </w:rPr>
      </w:pPr>
    </w:p>
    <w:p>
      <w:pPr>
        <w:jc w:val="both"/>
        <w:ind w:right="20" w:firstLine="1496"/>
        <w:spacing w:after="0" w:line="252" w:lineRule="auto"/>
        <w:tabs>
          <w:tab w:leader="none" w:pos="1848"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Lost or Unissued Certificates</w:t>
      </w:r>
      <w:r>
        <w:rPr>
          <w:rFonts w:ascii="Times New Roman" w:cs="Times New Roman" w:eastAsia="Times New Roman" w:hAnsi="Times New Roman"/>
          <w:sz w:val="17"/>
          <w:szCs w:val="17"/>
          <w:color w:val="auto"/>
        </w:rPr>
        <w:t>. If any Certificate shall have been lost, stolen or destroyed, upon the making of an affidavit of that fact by the Person claiming such Certificate to be lost, stolen or destroyed and, if reasonably required by the Exchange Agent, the posting by such Person of a bond, in such reasonable amount as DXL or the Exchange Agent may direct, as indemnity against any claim that may be made against it with respect to such Certificate, the Exchange Agent shall deliver, in exchange for such lost, stolen or destroyed Certificate, the Merger Consideration and any cash in respect of any dividends or</w:t>
      </w:r>
    </w:p>
    <w:p>
      <w:pPr>
        <w:spacing w:after="0" w:line="3"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distributions that the holder has the right to receive pursuant to Section‎ 2.02‎(d).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1546225</wp:posOffset>
            </wp:positionH>
            <wp:positionV relativeFrom="paragraph">
              <wp:posOffset>-2931795</wp:posOffset>
            </wp:positionV>
            <wp:extent cx="67881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8815" cy="7620"/>
                    </a:xfrm>
                    <a:prstGeom prst="rect">
                      <a:avLst/>
                    </a:prstGeom>
                    <a:noFill/>
                  </pic:spPr>
                </pic:pic>
              </a:graphicData>
            </a:graphic>
          </wp:anchor>
        </w:drawing>
        <w:drawing>
          <wp:anchor simplePos="0" relativeHeight="251657728" behindDoc="1" locked="0" layoutInCell="0" allowOverlap="1">
            <wp:simplePos x="0" y="0"/>
            <wp:positionH relativeFrom="column">
              <wp:posOffset>2072640</wp:posOffset>
            </wp:positionH>
            <wp:positionV relativeFrom="paragraph">
              <wp:posOffset>-1159510</wp:posOffset>
            </wp:positionV>
            <wp:extent cx="672465"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2465" cy="762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-1159510</wp:posOffset>
            </wp:positionV>
            <wp:extent cx="68580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0" cy="7620"/>
                    </a:xfrm>
                    <a:prstGeom prst="rect">
                      <a:avLst/>
                    </a:prstGeom>
                    <a:noFill/>
                  </pic:spPr>
                </pic:pic>
              </a:graphicData>
            </a:graphic>
          </wp:anchor>
        </w:drawing>
        <w:drawing>
          <wp:anchor simplePos="0" relativeHeight="251657728" behindDoc="1" locked="0" layoutInCell="0" allowOverlap="1">
            <wp:simplePos x="0" y="0"/>
            <wp:positionH relativeFrom="column">
              <wp:posOffset>2787015</wp:posOffset>
            </wp:positionH>
            <wp:positionV relativeFrom="paragraph">
              <wp:posOffset>-17780</wp:posOffset>
            </wp:positionV>
            <wp:extent cx="678815"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8815" cy="7620"/>
                    </a:xfrm>
                    <a:prstGeom prst="rect">
                      <a:avLst/>
                    </a:prstGeom>
                    <a:noFill/>
                  </pic:spPr>
                </pic:pic>
              </a:graphicData>
            </a:graphic>
          </wp:anchor>
        </w:drawing>
      </w:r>
    </w:p>
    <w:p>
      <w:pPr>
        <w:spacing w:after="0" w:line="153" w:lineRule="exact"/>
        <w:rPr>
          <w:sz w:val="20"/>
          <w:szCs w:val="20"/>
          <w:color w:val="auto"/>
        </w:rPr>
      </w:pPr>
    </w:p>
    <w:p>
      <w:pPr>
        <w:ind w:right="20" w:firstLine="1220"/>
        <w:spacing w:after="0" w:line="287" w:lineRule="auto"/>
        <w:rPr>
          <w:sz w:val="20"/>
          <w:szCs w:val="20"/>
          <w:color w:val="auto"/>
        </w:rPr>
      </w:pPr>
      <w:r>
        <w:rPr>
          <w:rFonts w:ascii="Times New Roman" w:cs="Times New Roman" w:eastAsia="Times New Roman" w:hAnsi="Times New Roman"/>
          <w:sz w:val="17"/>
          <w:szCs w:val="17"/>
          <w:b w:val="1"/>
          <w:bCs w:val="1"/>
          <w:u w:val="single" w:color="auto"/>
          <w:color w:val="auto"/>
        </w:rPr>
        <w:t>SECTION 2.03 Stock Transfer Books</w:t>
      </w:r>
      <w:r>
        <w:rPr>
          <w:rFonts w:ascii="Times New Roman" w:cs="Times New Roman" w:eastAsia="Times New Roman" w:hAnsi="Times New Roman"/>
          <w:sz w:val="17"/>
          <w:szCs w:val="17"/>
          <w:color w:val="auto"/>
        </w:rPr>
        <w:t>. At the Effective Time, the stock transfer books of FBB shall be closed and there shall be no further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registration of transfers of FBB Common Stock thereafter on the records of FBB. From and after the Effective Time, the holders of Certificates representing</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16" w:name="page17"/>
    <w:bookmarkEnd w:id="16"/>
    <w:p>
      <w:pPr>
        <w:jc w:val="both"/>
        <w:ind w:right="20"/>
        <w:spacing w:after="0" w:line="265" w:lineRule="auto"/>
        <w:rPr>
          <w:sz w:val="20"/>
          <w:szCs w:val="20"/>
          <w:color w:val="auto"/>
        </w:rPr>
      </w:pPr>
      <w:r>
        <w:rPr>
          <w:rFonts w:ascii="Times New Roman" w:cs="Times New Roman" w:eastAsia="Times New Roman" w:hAnsi="Times New Roman"/>
          <w:sz w:val="17"/>
          <w:szCs w:val="17"/>
          <w:color w:val="auto"/>
        </w:rPr>
        <w:t>FBB Common Stock or Book-Entry Shares outstanding immediately prior to the Effective Time shall cease to have any rights with respect to such FBB Common Stock or Book-Entry Shares, except as otherwise provided in this Agreement or by Law. On or after the Effective Time, any Certificates presented to the Exchange Agent or DXL for any reason shall be cancelled and exchanged as provided in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2.02.</w:t>
      </w:r>
    </w:p>
    <w:p>
      <w:pPr>
        <w:spacing w:after="0" w:line="1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u w:val="single" w:color="auto"/>
          <w:color w:val="auto"/>
        </w:rPr>
        <w:t>ARTICLE III</w:t>
      </w:r>
    </w:p>
    <w:p>
      <w:pPr>
        <w:spacing w:after="0" w:line="197" w:lineRule="exact"/>
        <w:rPr>
          <w:sz w:val="20"/>
          <w:szCs w:val="20"/>
          <w:color w:val="auto"/>
        </w:rPr>
      </w:pPr>
    </w:p>
    <w:p>
      <w:pPr>
        <w:jc w:val="both"/>
        <w:ind w:firstLine="751"/>
        <w:spacing w:after="0" w:line="252" w:lineRule="auto"/>
        <w:rPr>
          <w:sz w:val="20"/>
          <w:szCs w:val="20"/>
          <w:color w:val="auto"/>
        </w:rPr>
      </w:pPr>
      <w:r>
        <w:rPr>
          <w:rFonts w:ascii="Times New Roman" w:cs="Times New Roman" w:eastAsia="Times New Roman" w:hAnsi="Times New Roman"/>
          <w:sz w:val="17"/>
          <w:szCs w:val="17"/>
          <w:color w:val="auto"/>
        </w:rPr>
        <w:t>Except as disclosed in the correspondingly numbered section or subsection of the DXL Disclosure Schedule (it being understood that any disclosure set forth in one section or subsection of the DXL Disclosure Schedule shall be deemed disclosure with respect to, and shall be deemed to qualify, (i) the section or subsection of this Agreement to which it corresponds in number and (ii) each other section or subsection of this Agreement to the extent that it is reasonably apparent from the face of such disclosure that such disclosure also qualifies or applies to such other section or subsection), or as disclosed or identified in the DXL SEC Reports publicly available on the SEC’s Electronic Data Gathering Analysis and Retrieval System at least two Business Days before the date of this Agreement (excluding (1) any forward-looking disclosures contained in the “Forward-Looking Statements” and “Risk Factors” sections of the DXL SEC Reports, but including any historical or factual matters disclosed in such sections, and (2) any other statement or other disclosure that is similarly predictive or forward-looking), DXL and Merger Sub hereby represent and warrant to FBB as follows:</w:t>
      </w:r>
    </w:p>
    <w:p>
      <w:pPr>
        <w:spacing w:after="0" w:line="154" w:lineRule="exact"/>
        <w:rPr>
          <w:sz w:val="20"/>
          <w:szCs w:val="20"/>
          <w:color w:val="auto"/>
        </w:rPr>
      </w:pPr>
    </w:p>
    <w:p>
      <w:pPr>
        <w:ind w:left="1220"/>
        <w:spacing w:after="0"/>
        <w:tabs>
          <w:tab w:leader="none" w:pos="2580" w:val="left"/>
        </w:tabs>
        <w:rPr>
          <w:sz w:val="20"/>
          <w:szCs w:val="20"/>
          <w:color w:val="auto"/>
        </w:rPr>
      </w:pPr>
      <w:r>
        <w:rPr>
          <w:rFonts w:ascii="Times New Roman" w:cs="Times New Roman" w:eastAsia="Times New Roman" w:hAnsi="Times New Roman"/>
          <w:sz w:val="17"/>
          <w:szCs w:val="17"/>
          <w:b w:val="1"/>
          <w:bCs w:val="1"/>
          <w:u w:val="single" w:color="auto"/>
          <w:color w:val="auto"/>
        </w:rPr>
        <w:t>SECTION 3.01</w:t>
      </w:r>
      <w:r>
        <w:rPr>
          <w:sz w:val="20"/>
          <w:szCs w:val="20"/>
          <w:color w:val="auto"/>
        </w:rPr>
        <w:tab/>
      </w:r>
      <w:r>
        <w:rPr>
          <w:rFonts w:ascii="Times New Roman" w:cs="Times New Roman" w:eastAsia="Times New Roman" w:hAnsi="Times New Roman"/>
          <w:sz w:val="17"/>
          <w:szCs w:val="17"/>
          <w:b w:val="1"/>
          <w:bCs w:val="1"/>
          <w:u w:val="single" w:color="auto"/>
          <w:color w:val="auto"/>
        </w:rPr>
        <w:t>Corporate Organization</w:t>
      </w:r>
      <w:r>
        <w:rPr>
          <w:rFonts w:ascii="Times New Roman" w:cs="Times New Roman" w:eastAsia="Times New Roman" w:hAnsi="Times New Roman"/>
          <w:sz w:val="17"/>
          <w:szCs w:val="17"/>
          <w:color w:val="auto"/>
        </w:rPr>
        <w:t>.</w:t>
      </w:r>
    </w:p>
    <w:p>
      <w:pPr>
        <w:spacing w:after="0" w:line="197" w:lineRule="exact"/>
        <w:rPr>
          <w:sz w:val="20"/>
          <w:szCs w:val="20"/>
          <w:color w:val="auto"/>
        </w:rPr>
      </w:pPr>
    </w:p>
    <w:p>
      <w:pPr>
        <w:ind w:left="1840" w:hanging="344"/>
        <w:spacing w:after="0"/>
        <w:tabs>
          <w:tab w:leader="none" w:pos="18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DXL</w:t>
      </w:r>
      <w:r>
        <w:rPr>
          <w:rFonts w:ascii="Times New Roman" w:cs="Times New Roman" w:eastAsia="Times New Roman" w:hAnsi="Times New Roman"/>
          <w:sz w:val="17"/>
          <w:szCs w:val="17"/>
          <w:color w:val="auto"/>
        </w:rPr>
        <w:t>.</w:t>
      </w:r>
    </w:p>
    <w:p>
      <w:pPr>
        <w:spacing w:after="0" w:line="195" w:lineRule="exact"/>
        <w:rPr>
          <w:sz w:val="20"/>
          <w:szCs w:val="20"/>
          <w:color w:val="auto"/>
        </w:rPr>
      </w:pPr>
    </w:p>
    <w:p>
      <w:pPr>
        <w:jc w:val="both"/>
        <w:ind w:firstLine="2246"/>
        <w:spacing w:after="0" w:line="256" w:lineRule="auto"/>
        <w:tabs>
          <w:tab w:leader="none" w:pos="2598"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DXL is a company duly incorporated, validly existing and in good standing under the laws of the State of Delaware. DXL has the corporate power and authority to own or lease all of its properties and assets and to carry on its business as it is now being conducted, and is duly licensed or qualified to do business in each jurisdiction in which the nature of the business conducted by it or the character or location of the properties and assets owned or leased by it makes such licensing or qualification necessary, except where the failure to be so licensed or qualified would not, individually or in the aggregate, be material.</w:t>
      </w:r>
    </w:p>
    <w:p>
      <w:pPr>
        <w:spacing w:after="0" w:line="151" w:lineRule="exact"/>
        <w:rPr>
          <w:rFonts w:ascii="Times New Roman" w:cs="Times New Roman" w:eastAsia="Times New Roman" w:hAnsi="Times New Roman"/>
          <w:sz w:val="17"/>
          <w:szCs w:val="17"/>
          <w:color w:val="auto"/>
        </w:rPr>
      </w:pPr>
    </w:p>
    <w:p>
      <w:pPr>
        <w:ind w:right="20" w:firstLine="2246"/>
        <w:spacing w:after="0" w:line="284" w:lineRule="auto"/>
        <w:tabs>
          <w:tab w:leader="none" w:pos="2598"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true and complete copy of each of the DXL Charter and DXL Bylaws has previously been made available to FBB. DXL is not in violation of any of the provisions of the DXL Charter or DXL Bylaws.</w:t>
      </w:r>
    </w:p>
    <w:p>
      <w:pPr>
        <w:spacing w:after="0" w:line="128" w:lineRule="exact"/>
        <w:rPr>
          <w:rFonts w:ascii="Times New Roman" w:cs="Times New Roman" w:eastAsia="Times New Roman" w:hAnsi="Times New Roman"/>
          <w:sz w:val="17"/>
          <w:szCs w:val="17"/>
          <w:color w:val="auto"/>
        </w:rPr>
      </w:pPr>
    </w:p>
    <w:p>
      <w:pPr>
        <w:jc w:val="both"/>
        <w:ind w:right="20" w:firstLine="2246"/>
        <w:spacing w:after="0" w:line="256" w:lineRule="auto"/>
        <w:tabs>
          <w:tab w:leader="none" w:pos="2598"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DXL Subsidiary (A) is duly organized, validly existing and, to the extent such concept is applicable, in good standing under the laws of its jurisdiction of organization, (B) is duly licensed or qualified to do business in each jurisdiction in which the nature of the business conducted by it or the character or location of the properties and assets owned or leased by it makes such licensing or qualification necessary and (C) has all requisite corporate power and authority to own or lease its properties and assets and to carry on its business as now conducted, except for such variances from the matters set forth in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xml:space="preserve"> as would not, individually or in the aggregate, be material.</w:t>
      </w:r>
    </w:p>
    <w:p>
      <w:pPr>
        <w:spacing w:after="0" w:line="151" w:lineRule="exact"/>
        <w:rPr>
          <w:rFonts w:ascii="Times New Roman" w:cs="Times New Roman" w:eastAsia="Times New Roman" w:hAnsi="Times New Roman"/>
          <w:sz w:val="17"/>
          <w:szCs w:val="17"/>
          <w:color w:val="auto"/>
        </w:rPr>
      </w:pPr>
    </w:p>
    <w:p>
      <w:pPr>
        <w:ind w:left="1840" w:hanging="344"/>
        <w:spacing w:after="0"/>
        <w:tabs>
          <w:tab w:leader="none" w:pos="18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Merger Sub</w:t>
      </w:r>
      <w:r>
        <w:rPr>
          <w:rFonts w:ascii="Times New Roman" w:cs="Times New Roman" w:eastAsia="Times New Roman" w:hAnsi="Times New Roman"/>
          <w:sz w:val="17"/>
          <w:szCs w:val="17"/>
          <w:color w:val="auto"/>
        </w:rPr>
        <w:t>.</w:t>
      </w:r>
    </w:p>
    <w:p>
      <w:pPr>
        <w:spacing w:after="0" w:line="194" w:lineRule="exact"/>
        <w:rPr>
          <w:rFonts w:ascii="Times New Roman" w:cs="Times New Roman" w:eastAsia="Times New Roman" w:hAnsi="Times New Roman"/>
          <w:sz w:val="17"/>
          <w:szCs w:val="17"/>
          <w:color w:val="auto"/>
        </w:rPr>
      </w:pPr>
    </w:p>
    <w:p>
      <w:pPr>
        <w:ind w:right="20" w:firstLine="2246"/>
        <w:spacing w:after="0" w:line="284" w:lineRule="auto"/>
        <w:tabs>
          <w:tab w:leader="none" w:pos="2598"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true and complete copy of the certificate of incorporation of Merger Sub, as amended and in effect as of the date of this Agreement, has previously been made available to FBB.</w:t>
      </w:r>
    </w:p>
    <w:p>
      <w:pPr>
        <w:spacing w:after="0" w:line="128" w:lineRule="exact"/>
        <w:rPr>
          <w:rFonts w:ascii="Times New Roman" w:cs="Times New Roman" w:eastAsia="Times New Roman" w:hAnsi="Times New Roman"/>
          <w:sz w:val="17"/>
          <w:szCs w:val="17"/>
          <w:color w:val="auto"/>
        </w:rPr>
      </w:pPr>
    </w:p>
    <w:p>
      <w:pPr>
        <w:ind w:right="20" w:firstLine="2246"/>
        <w:spacing w:after="0" w:line="284" w:lineRule="auto"/>
        <w:tabs>
          <w:tab w:leader="none" w:pos="2598"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Merger Sub is a company duly incorporated, validly existing and in good standing under the laws of the State of Delaware. Merger Sub does not hold and has not held any material</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color w:val="auto"/>
        </w:rPr>
        <w:t>assets or incurred any material liabilities, and has not carried on any business activities other than in connection with the Merger and the other Transactions.</w:t>
      </w:r>
    </w:p>
    <w:p>
      <w:pPr>
        <w:spacing w:after="0" w:line="193" w:lineRule="exact"/>
        <w:rPr>
          <w:sz w:val="20"/>
          <w:szCs w:val="20"/>
          <w:color w:val="auto"/>
        </w:rPr>
      </w:pPr>
    </w:p>
    <w:p>
      <w:pPr>
        <w:ind w:left="1220"/>
        <w:spacing w:after="0"/>
        <w:tabs>
          <w:tab w:leader="none" w:pos="2580" w:val="left"/>
        </w:tabs>
        <w:rPr>
          <w:sz w:val="20"/>
          <w:szCs w:val="20"/>
          <w:color w:val="auto"/>
        </w:rPr>
      </w:pPr>
      <w:r>
        <w:rPr>
          <w:rFonts w:ascii="Times New Roman" w:cs="Times New Roman" w:eastAsia="Times New Roman" w:hAnsi="Times New Roman"/>
          <w:sz w:val="17"/>
          <w:szCs w:val="17"/>
          <w:b w:val="1"/>
          <w:bCs w:val="1"/>
          <w:u w:val="single" w:color="auto"/>
          <w:color w:val="auto"/>
        </w:rPr>
        <w:t>SECTION 3.02</w:t>
      </w:r>
      <w:r>
        <w:rPr>
          <w:sz w:val="20"/>
          <w:szCs w:val="20"/>
          <w:color w:val="auto"/>
        </w:rPr>
        <w:tab/>
      </w:r>
      <w:r>
        <w:rPr>
          <w:rFonts w:ascii="Times New Roman" w:cs="Times New Roman" w:eastAsia="Times New Roman" w:hAnsi="Times New Roman"/>
          <w:sz w:val="17"/>
          <w:szCs w:val="17"/>
          <w:b w:val="1"/>
          <w:bCs w:val="1"/>
          <w:u w:val="single" w:color="auto"/>
          <w:color w:val="auto"/>
        </w:rPr>
        <w:t>Capitalization</w:t>
      </w:r>
      <w:r>
        <w:rPr>
          <w:rFonts w:ascii="Times New Roman" w:cs="Times New Roman" w:eastAsia="Times New Roman" w:hAnsi="Times New Roman"/>
          <w:sz w:val="17"/>
          <w:szCs w:val="17"/>
          <w:color w:val="auto"/>
        </w:rPr>
        <w:t>.</w:t>
      </w:r>
    </w:p>
    <w:p>
      <w:pPr>
        <w:spacing w:after="0" w:line="197" w:lineRule="exact"/>
        <w:rPr>
          <w:sz w:val="20"/>
          <w:szCs w:val="20"/>
          <w:color w:val="auto"/>
        </w:rPr>
      </w:pPr>
    </w:p>
    <w:p>
      <w:pPr>
        <w:ind w:left="1840" w:hanging="344"/>
        <w:spacing w:after="0"/>
        <w:tabs>
          <w:tab w:leader="none" w:pos="18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Authorized and Issued Shares</w:t>
      </w:r>
      <w:r>
        <w:rPr>
          <w:rFonts w:ascii="Times New Roman" w:cs="Times New Roman" w:eastAsia="Times New Roman" w:hAnsi="Times New Roman"/>
          <w:sz w:val="17"/>
          <w:szCs w:val="17"/>
          <w:color w:val="auto"/>
        </w:rPr>
        <w:t>.</w:t>
      </w:r>
    </w:p>
    <w:p>
      <w:pPr>
        <w:spacing w:after="0" w:line="194" w:lineRule="exact"/>
        <w:rPr>
          <w:rFonts w:ascii="Times New Roman" w:cs="Times New Roman" w:eastAsia="Times New Roman" w:hAnsi="Times New Roman"/>
          <w:sz w:val="17"/>
          <w:szCs w:val="17"/>
          <w:color w:val="auto"/>
        </w:rPr>
      </w:pPr>
    </w:p>
    <w:p>
      <w:pPr>
        <w:jc w:val="both"/>
        <w:ind w:firstLine="2246"/>
        <w:spacing w:after="0" w:line="250" w:lineRule="auto"/>
        <w:tabs>
          <w:tab w:leader="none" w:pos="2598"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authorized share capital of DXL is 126,000,000 shares of capital stock, consisting of 125,000,000 shares of DXL Common Stock and 1,000,000 shares of DXL Preferred Stock (together, the “</w:t>
      </w:r>
      <w:r>
        <w:rPr>
          <w:rFonts w:ascii="Times New Roman" w:cs="Times New Roman" w:eastAsia="Times New Roman" w:hAnsi="Times New Roman"/>
          <w:sz w:val="17"/>
          <w:szCs w:val="17"/>
          <w:u w:val="single" w:color="auto"/>
          <w:color w:val="auto"/>
        </w:rPr>
        <w:t>DXL Capital Stock</w:t>
      </w:r>
      <w:r>
        <w:rPr>
          <w:rFonts w:ascii="Times New Roman" w:cs="Times New Roman" w:eastAsia="Times New Roman" w:hAnsi="Times New Roman"/>
          <w:sz w:val="17"/>
          <w:szCs w:val="17"/>
          <w:color w:val="auto"/>
        </w:rPr>
        <w:t>”). As of the date of this Agreement, there were (1) 54,656,415 shares of DXL Common Stock issued and outstanding (not including shares held in treasury), (2) 25,908,333 shares of DXL Common Stock held in the treasury of DXL or by its Subsidiaries, (3) 2,961,796 shares of DXL Common Stock subject to outstanding DXL Options, all of which are exercisable, (4) 1,257,986 shares of DXL Common Stock subject to outstanding DXL Restricted Stock Unit Awards, (5) 589,357 shares of DXL Common Stock subject to DXL Deferred Stock Awards, (6) 573,000 shares of DXL Common Stock subject to outstanding DXL Performance Share Awards, and (7) no shares of DXL Preferred Stock</w:t>
      </w:r>
    </w:p>
    <w:p>
      <w:pPr>
        <w:spacing w:after="0" w:line="4" w:lineRule="exact"/>
        <w:rPr>
          <w:rFonts w:ascii="Times New Roman" w:cs="Times New Roman" w:eastAsia="Times New Roman" w:hAnsi="Times New Roman"/>
          <w:sz w:val="17"/>
          <w:szCs w:val="17"/>
          <w:color w:val="auto"/>
        </w:rPr>
      </w:pPr>
    </w:p>
    <w:p>
      <w:pPr>
        <w:jc w:val="both"/>
        <w:spacing w:after="0" w:line="24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issued and outstanding. Except as set forth in the second sentence of this Section‎ 3.02(a)(i), (i) there are no outstanding or authorized restricted stock, restricted stock unit, stock appreciation right, phantom stock or other equity-based compensation awards with respect to DXL Common Stock, (ii) no other Equity Interests of DXL were issued, reserved for issuance or outstanding, and (iii) DXL has no other options, warrants, calls, pre-emptive rights, subscriptions or other rights, Contracts, arrangements or commitments of any kind, including any stockholder rights plan, relating to, or the value of which is determined in reference to, the issued or unissued DXL Capital Stock (or any other Equity Interest of DXL) or the Equity Interests of any DXL Subsidiary, obligating DXL or any DXL Subsidiary to issue, transfer or sell, or cause to be issued, transferred or sold, any Equity Interests of DXL or any DXL Subsidiary. All of the issued and outstanding shares of DXL Capital Stock are duly authorized and validly issued and fully paid, nonassessable and not subject to or issued in violation of any purchase option, call option, right of first refusal, preemptive right, subscription right or any similar right under any provision of the DGCL, the DXL Charter or any Contract to which DXL is a party or by which it is otherwise bound.</w:t>
      </w:r>
    </w:p>
    <w:p>
      <w:pPr>
        <w:spacing w:after="0" w:line="160" w:lineRule="exact"/>
        <w:rPr>
          <w:rFonts w:ascii="Times New Roman" w:cs="Times New Roman" w:eastAsia="Times New Roman" w:hAnsi="Times New Roman"/>
          <w:sz w:val="17"/>
          <w:szCs w:val="17"/>
          <w:color w:val="auto"/>
        </w:rPr>
      </w:pPr>
    </w:p>
    <w:p>
      <w:pPr>
        <w:jc w:val="both"/>
        <w:ind w:right="20" w:firstLine="1496"/>
        <w:spacing w:after="0" w:line="265" w:lineRule="auto"/>
        <w:tabs>
          <w:tab w:leader="none" w:pos="1848"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bonds, debentures, notes or other Indebtedness, or securities convertible into or exchangeable for, or other rights to acquire, any such bonds, debentures, notes or other Indebtedness, of DXL having the right to vote on any matters on which stockholders may vote (“</w:t>
      </w:r>
      <w:r>
        <w:rPr>
          <w:rFonts w:ascii="Times New Roman" w:cs="Times New Roman" w:eastAsia="Times New Roman" w:hAnsi="Times New Roman"/>
          <w:sz w:val="17"/>
          <w:szCs w:val="17"/>
          <w:u w:val="single" w:color="auto"/>
          <w:color w:val="auto"/>
        </w:rPr>
        <w:t>DXL Voting Debt</w:t>
      </w:r>
      <w:r>
        <w:rPr>
          <w:rFonts w:ascii="Times New Roman" w:cs="Times New Roman" w:eastAsia="Times New Roman" w:hAnsi="Times New Roman"/>
          <w:sz w:val="17"/>
          <w:szCs w:val="17"/>
          <w:color w:val="auto"/>
        </w:rPr>
        <w:t>”) are issued or outstanding.</w:t>
      </w:r>
    </w:p>
    <w:p>
      <w:pPr>
        <w:spacing w:after="0" w:line="144" w:lineRule="exact"/>
        <w:rPr>
          <w:rFonts w:ascii="Times New Roman" w:cs="Times New Roman" w:eastAsia="Times New Roman" w:hAnsi="Times New Roman"/>
          <w:sz w:val="17"/>
          <w:szCs w:val="17"/>
          <w:color w:val="auto"/>
        </w:rPr>
      </w:pPr>
    </w:p>
    <w:p>
      <w:pPr>
        <w:ind w:left="1840" w:hanging="344"/>
        <w:spacing w:after="0"/>
        <w:tabs>
          <w:tab w:leader="none" w:pos="18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for the Equity Interests of the DXL Subsidiaries, which are identified by name, jurisdiction of incorporation or formation, and</w:t>
      </w:r>
    </w:p>
    <w:p>
      <w:pPr>
        <w:spacing w:after="0" w:line="25" w:lineRule="exact"/>
        <w:rPr>
          <w:rFonts w:ascii="Times New Roman" w:cs="Times New Roman" w:eastAsia="Times New Roman" w:hAnsi="Times New Roman"/>
          <w:sz w:val="17"/>
          <w:szCs w:val="17"/>
          <w:color w:val="auto"/>
        </w:rPr>
      </w:pPr>
    </w:p>
    <w:p>
      <w:pPr>
        <w:jc w:val="both"/>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ownership thereof (including the percentage of such ownership) on Section‎ 3.02(c) of the DXL Disclosure Schedule, DXL does not own, beneficially or of record, directly or indirectly any Equity Interests in any Person, nor does DXL or any DXL Subsidiary have any Contract or other obligation requiring that DXL or any DXL Subsidiary acquire any Equity Interest in any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3286125</wp:posOffset>
            </wp:positionH>
            <wp:positionV relativeFrom="paragraph">
              <wp:posOffset>-2186305</wp:posOffset>
            </wp:positionV>
            <wp:extent cx="77597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5970" cy="7620"/>
                    </a:xfrm>
                    <a:prstGeom prst="rect">
                      <a:avLst/>
                    </a:prstGeom>
                    <a:noFill/>
                  </pic:spPr>
                </pic:pic>
              </a:graphicData>
            </a:graphic>
          </wp:anchor>
        </w:drawing>
        <w:drawing>
          <wp:anchor simplePos="0" relativeHeight="251657728" behindDoc="1" locked="0" layoutInCell="0" allowOverlap="1">
            <wp:simplePos x="0" y="0"/>
            <wp:positionH relativeFrom="column">
              <wp:posOffset>3104515</wp:posOffset>
            </wp:positionH>
            <wp:positionV relativeFrom="paragraph">
              <wp:posOffset>-286385</wp:posOffset>
            </wp:positionV>
            <wp:extent cx="68707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7070" cy="7620"/>
                    </a:xfrm>
                    <a:prstGeom prst="rect">
                      <a:avLst/>
                    </a:prstGeom>
                    <a:noFill/>
                  </pic:spPr>
                </pic:pic>
              </a:graphicData>
            </a:graphic>
          </wp:anchor>
        </w:drawing>
      </w:r>
    </w:p>
    <w:p>
      <w:pPr>
        <w:spacing w:after="0" w:line="132" w:lineRule="exact"/>
        <w:rPr>
          <w:sz w:val="20"/>
          <w:szCs w:val="20"/>
          <w:color w:val="auto"/>
        </w:rPr>
      </w:pPr>
    </w:p>
    <w:p>
      <w:pPr>
        <w:ind w:left="1220"/>
        <w:spacing w:after="0"/>
        <w:tabs>
          <w:tab w:leader="none" w:pos="2580" w:val="left"/>
        </w:tabs>
        <w:rPr>
          <w:sz w:val="20"/>
          <w:szCs w:val="20"/>
          <w:color w:val="auto"/>
        </w:rPr>
      </w:pPr>
      <w:r>
        <w:rPr>
          <w:rFonts w:ascii="Times New Roman" w:cs="Times New Roman" w:eastAsia="Times New Roman" w:hAnsi="Times New Roman"/>
          <w:sz w:val="17"/>
          <w:szCs w:val="17"/>
          <w:b w:val="1"/>
          <w:bCs w:val="1"/>
          <w:u w:val="single" w:color="auto"/>
          <w:color w:val="auto"/>
        </w:rPr>
        <w:t>SECTION 3.03</w:t>
      </w:r>
      <w:r>
        <w:rPr>
          <w:sz w:val="20"/>
          <w:szCs w:val="20"/>
          <w:color w:val="auto"/>
        </w:rPr>
        <w:tab/>
      </w:r>
      <w:r>
        <w:rPr>
          <w:rFonts w:ascii="Times New Roman" w:cs="Times New Roman" w:eastAsia="Times New Roman" w:hAnsi="Times New Roman"/>
          <w:sz w:val="17"/>
          <w:szCs w:val="17"/>
          <w:b w:val="1"/>
          <w:bCs w:val="1"/>
          <w:u w:val="single" w:color="auto"/>
          <w:color w:val="auto"/>
        </w:rPr>
        <w:t>Authority; No Violation</w:t>
      </w:r>
      <w:r>
        <w:rPr>
          <w:rFonts w:ascii="Times New Roman" w:cs="Times New Roman" w:eastAsia="Times New Roman" w:hAnsi="Times New Roman"/>
          <w:sz w:val="17"/>
          <w:szCs w:val="17"/>
          <w:color w:val="auto"/>
        </w:rPr>
        <w:t>.</w:t>
      </w:r>
    </w:p>
    <w:p>
      <w:pPr>
        <w:spacing w:after="0" w:line="197" w:lineRule="exact"/>
        <w:rPr>
          <w:sz w:val="20"/>
          <w:szCs w:val="20"/>
          <w:color w:val="auto"/>
        </w:rPr>
      </w:pPr>
    </w:p>
    <w:p>
      <w:pPr>
        <w:jc w:val="both"/>
        <w:ind w:right="20" w:firstLine="1496"/>
        <w:spacing w:after="0" w:line="256" w:lineRule="auto"/>
        <w:tabs>
          <w:tab w:leader="none" w:pos="1848"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DXL has full corporate power and authority to execute and deliver this Agreement and to perform its obligations hereunder and, subject to receipt of the Required DXL Stockholder Vote, to consummate the Merger and the other Transactions hereunder. The execution and delivery of this Agreement and the consummation of the Merger and the other Transactions have been duly and validly approved and adopted by the DXL Board. The DXL Board (at meetings duly called and held) has: (a) determined that the Transactions are fair to, advisable and in the best interests of DXL and its stockholders; (b) approved and declared advisable this Agreement and the Transactions, including the issuance of the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18" w:name="page19"/>
    <w:bookmarkEnd w:id="18"/>
    <w:p>
      <w:pPr>
        <w:jc w:val="both"/>
        <w:ind w:right="20"/>
        <w:spacing w:after="0" w:line="256" w:lineRule="auto"/>
        <w:rPr>
          <w:sz w:val="20"/>
          <w:szCs w:val="20"/>
          <w:color w:val="auto"/>
        </w:rPr>
      </w:pPr>
      <w:r>
        <w:rPr>
          <w:rFonts w:ascii="Times New Roman" w:cs="Times New Roman" w:eastAsia="Times New Roman" w:hAnsi="Times New Roman"/>
          <w:sz w:val="17"/>
          <w:szCs w:val="17"/>
          <w:color w:val="auto"/>
        </w:rPr>
        <w:t>Merger Consideration pursuant to the terms of this Agreement; and (c) determined to recommend, upon the terms and subject to the conditions set forth in this Agreement, that the stockholders of DXL vote to approve the DXL Stockholder Matters. This Agreement has been duly and validly executed and delivered by DXL and (assuming due authorization, execution and delivery by the other parties hereto) constitutes the valid and binding obligation of DXL, enforceable against DXL in accordance with its terms (except as may be limited by bankruptcy, insolvency, moratorium, reorganization or other Laws affecting the rights of creditors generally and the availability of equitable remedies (collectively, the “</w:t>
      </w:r>
      <w:r>
        <w:rPr>
          <w:rFonts w:ascii="Times New Roman" w:cs="Times New Roman" w:eastAsia="Times New Roman" w:hAnsi="Times New Roman"/>
          <w:sz w:val="17"/>
          <w:szCs w:val="17"/>
          <w:u w:val="single" w:color="auto"/>
          <w:color w:val="auto"/>
        </w:rPr>
        <w:t>Enforceability Exceptions</w:t>
      </w:r>
      <w:r>
        <w:rPr>
          <w:rFonts w:ascii="Times New Roman" w:cs="Times New Roman" w:eastAsia="Times New Roman" w:hAnsi="Times New Roman"/>
          <w:sz w:val="17"/>
          <w:szCs w:val="17"/>
          <w:color w:val="auto"/>
        </w:rPr>
        <w:t>”)).</w:t>
      </w:r>
    </w:p>
    <w:p>
      <w:pPr>
        <w:spacing w:after="0" w:line="152" w:lineRule="exact"/>
        <w:rPr>
          <w:sz w:val="20"/>
          <w:szCs w:val="20"/>
          <w:color w:val="auto"/>
        </w:rPr>
      </w:pPr>
    </w:p>
    <w:p>
      <w:pPr>
        <w:jc w:val="both"/>
        <w:ind w:firstLine="1496"/>
        <w:spacing w:after="0" w:line="259" w:lineRule="auto"/>
        <w:tabs>
          <w:tab w:leader="none" w:pos="1848"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affirmative vote of a majority of the votes cast at a meeting of the holders of DXL Common Stock to approve the issuance of DXL Common Stock as the Merger Consideration pursuant to the terms of this Agreement (the “</w:t>
      </w:r>
      <w:r>
        <w:rPr>
          <w:rFonts w:ascii="Times New Roman" w:cs="Times New Roman" w:eastAsia="Times New Roman" w:hAnsi="Times New Roman"/>
          <w:sz w:val="17"/>
          <w:szCs w:val="17"/>
          <w:u w:val="single" w:color="auto"/>
          <w:color w:val="auto"/>
        </w:rPr>
        <w:t>DXL Stockholder Matters</w:t>
      </w:r>
      <w:r>
        <w:rPr>
          <w:rFonts w:ascii="Times New Roman" w:cs="Times New Roman" w:eastAsia="Times New Roman" w:hAnsi="Times New Roman"/>
          <w:sz w:val="17"/>
          <w:szCs w:val="17"/>
          <w:color w:val="auto"/>
        </w:rPr>
        <w:t>,” and such meeting, the “</w:t>
      </w:r>
      <w:r>
        <w:rPr>
          <w:rFonts w:ascii="Times New Roman" w:cs="Times New Roman" w:eastAsia="Times New Roman" w:hAnsi="Times New Roman"/>
          <w:sz w:val="17"/>
          <w:szCs w:val="17"/>
          <w:u w:val="single" w:color="auto"/>
          <w:color w:val="auto"/>
        </w:rPr>
        <w:t>DXL Stockholders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Meeting</w:t>
      </w:r>
      <w:r>
        <w:rPr>
          <w:rFonts w:ascii="Times New Roman" w:cs="Times New Roman" w:eastAsia="Times New Roman" w:hAnsi="Times New Roman"/>
          <w:sz w:val="17"/>
          <w:szCs w:val="17"/>
          <w:color w:val="auto"/>
        </w:rPr>
        <w:t>”) is the only vote of the holders of any Equity Interests of DXL necessary to approve the Merger and the Transactions, including the issuance of the Merger Consideration pursuant to the terms of this Agreement (the “</w:t>
      </w:r>
      <w:r>
        <w:rPr>
          <w:rFonts w:ascii="Times New Roman" w:cs="Times New Roman" w:eastAsia="Times New Roman" w:hAnsi="Times New Roman"/>
          <w:sz w:val="17"/>
          <w:szCs w:val="17"/>
          <w:u w:val="single" w:color="auto"/>
          <w:color w:val="auto"/>
        </w:rPr>
        <w:t>Required DXL Stockholder Vote</w:t>
      </w:r>
      <w:r>
        <w:rPr>
          <w:rFonts w:ascii="Times New Roman" w:cs="Times New Roman" w:eastAsia="Times New Roman" w:hAnsi="Times New Roman"/>
          <w:sz w:val="17"/>
          <w:szCs w:val="17"/>
          <w:color w:val="auto"/>
        </w:rPr>
        <w:t>”).</w:t>
      </w:r>
    </w:p>
    <w:p>
      <w:pPr>
        <w:spacing w:after="0" w:line="149" w:lineRule="exact"/>
        <w:rPr>
          <w:rFonts w:ascii="Times New Roman" w:cs="Times New Roman" w:eastAsia="Times New Roman" w:hAnsi="Times New Roman"/>
          <w:sz w:val="17"/>
          <w:szCs w:val="17"/>
          <w:color w:val="auto"/>
        </w:rPr>
      </w:pPr>
    </w:p>
    <w:p>
      <w:pPr>
        <w:jc w:val="both"/>
        <w:ind w:right="20" w:firstLine="1496"/>
        <w:spacing w:after="0" w:line="255" w:lineRule="auto"/>
        <w:tabs>
          <w:tab w:leader="none" w:pos="1848"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execution and delivery of this Agreement by DXL and Merger Sub nor the consummation by DXL and Merger Sub of the Merger or the other Transactions, nor compliance by DXL and Merger Sub with any of the terms or provisions of this Agreement, will (i) violate any provision of the DXL Charter or DXL Bylaws or the certificate of incorporation or bylaws of Merger Sub or (ii) assuming that the consents, approvals and filings referred to</w:t>
      </w:r>
    </w:p>
    <w:p>
      <w:pPr>
        <w:jc w:val="both"/>
        <w:ind w:right="20"/>
        <w:spacing w:after="0" w:line="24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Section‎ 3.04 are duly obtained and/or made, (A) violate any order, injunction or decree issued by any court or agency of competent jurisdiction or other legal restraint or prohibition (an “</w:t>
      </w:r>
      <w:r>
        <w:rPr>
          <w:rFonts w:ascii="Times New Roman" w:cs="Times New Roman" w:eastAsia="Times New Roman" w:hAnsi="Times New Roman"/>
          <w:sz w:val="17"/>
          <w:szCs w:val="17"/>
          <w:u w:val="single" w:color="auto"/>
          <w:color w:val="auto"/>
        </w:rPr>
        <w:t>Injunction</w:t>
      </w:r>
      <w:r>
        <w:rPr>
          <w:rFonts w:ascii="Times New Roman" w:cs="Times New Roman" w:eastAsia="Times New Roman" w:hAnsi="Times New Roman"/>
          <w:sz w:val="17"/>
          <w:szCs w:val="17"/>
          <w:color w:val="auto"/>
        </w:rPr>
        <w:t>”) or any statute, code, ordinance, rule, regulation, judgment, order, writ or decree applicable to DXL, any of the DXL Subsidiaries or any of their respective properties or assets or (B) violate, conflict with, result in a breach of any provision of or the loss of any benefit under, constitute a default (or an event which, with notice or lapse of time, or both, would constitute a default) under, result in the termination of or a right of termination or cancelation under, accelerate the performance required by, or result in the creation of any Lien upon any of the respective properties or assets of DXL or any of the DXL Subsidiaries under, any of the terms, conditions or provisions of any Contract, note, bond, mortgage, indenture, deed of trust, DXL License, lease, agreement or other instrument or obligation to which DXL or any of the DXL Subsidiaries is a party, or by which they or any of their respective properties or assets may be bound or affected, other than, in the case of clause (ii), that would not have, individually or in the aggregate, a Material Adverse Effect on DXL.</w:t>
      </w:r>
    </w:p>
    <w:p>
      <w:pPr>
        <w:spacing w:after="0" w:line="161" w:lineRule="exact"/>
        <w:rPr>
          <w:rFonts w:ascii="Times New Roman" w:cs="Times New Roman" w:eastAsia="Times New Roman" w:hAnsi="Times New Roman"/>
          <w:sz w:val="17"/>
          <w:szCs w:val="17"/>
          <w:color w:val="auto"/>
        </w:rPr>
      </w:pPr>
    </w:p>
    <w:p>
      <w:pPr>
        <w:jc w:val="both"/>
        <w:ind w:firstLine="1496"/>
        <w:spacing w:after="0" w:line="250" w:lineRule="auto"/>
        <w:tabs>
          <w:tab w:leader="none" w:pos="1848"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Merger Sub has full corporate power and authority to execute and deliver this Agreement, to consummate the Merger and the other Transactions and to perform its obligations hereunder. The execution and delivery of this Agreement and the consummation of the Merger and the other Transactions have been duly and validly approved by the board of directors of Merger Sub. The board of directors of Merger Sub has determined that this Agreement, the Merger and the other Transactions are in the best interests of Merger Sub and its sole stockholder, and that considering the financial position of Merger Sub and FBB, no reasonable concern exists that the Surviving Company will be unable to fulfill both the obligations of Merger Sub to its creditors, adopted this Agreement, recommended that its sole stockholder vote in favor of the approval of this Agreement and directed that this Agreement be submitted to its sole stockholder for approval in connection with the consummation of the Merger and the other Transactions. Except for the approval of this Agreement by DXL as the sole stockholder of Merger Sub, no other corporate proceeding on the part of Merger Sub or any other vote by the sole stockholder of Merger Sub is necessary to approve or adopt this Agreement or to consummate the Merger and the other Transactions (except for the filing of the appropriate merger documents as required by the DGCL). This Agreement has been duly and validly executed and delivered by Merger Sub and (assuming due authorization, execution and delivery by the other parties hereto) constitutes the valid and binding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-2444750</wp:posOffset>
            </wp:positionV>
            <wp:extent cx="54991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49910" cy="762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color w:val="auto"/>
        </w:rPr>
        <w:t>obligation of Merger Sub enforceable against Merger Sub in accordance with its terms, subject to the Enforceability Exceptions.</w:t>
      </w:r>
    </w:p>
    <w:p>
      <w:pPr>
        <w:spacing w:after="0" w:line="193" w:lineRule="exact"/>
        <w:rPr>
          <w:sz w:val="20"/>
          <w:szCs w:val="20"/>
          <w:color w:val="auto"/>
        </w:rPr>
      </w:pPr>
    </w:p>
    <w:p>
      <w:pPr>
        <w:jc w:val="both"/>
        <w:ind w:firstLine="1220"/>
        <w:spacing w:after="0" w:line="250" w:lineRule="auto"/>
        <w:rPr>
          <w:sz w:val="20"/>
          <w:szCs w:val="20"/>
          <w:color w:val="auto"/>
        </w:rPr>
      </w:pPr>
      <w:r>
        <w:rPr>
          <w:rFonts w:ascii="Times New Roman" w:cs="Times New Roman" w:eastAsia="Times New Roman" w:hAnsi="Times New Roman"/>
          <w:sz w:val="17"/>
          <w:szCs w:val="17"/>
          <w:b w:val="1"/>
          <w:bCs w:val="1"/>
          <w:u w:val="single" w:color="auto"/>
          <w:color w:val="auto"/>
        </w:rPr>
        <w:t>SECTION 3.04 Consents and Approvals</w:t>
      </w:r>
      <w:r>
        <w:rPr>
          <w:rFonts w:ascii="Times New Roman" w:cs="Times New Roman" w:eastAsia="Times New Roman" w:hAnsi="Times New Roman"/>
          <w:sz w:val="17"/>
          <w:szCs w:val="17"/>
          <w:color w:val="auto"/>
        </w:rPr>
        <w:t>. Except for (a) the furnishing with the SEC of the Proxy Statement, and the filing with the SEC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such other reports required in connection with the Merger and the other Transactions under, and such other compliance with, the Exchange Act and the Securities Act, (b) the filing of the Certificate of Merger in accordance with the DGCL, (c) compliance with notices and filings, if any, under all applicable antitrust Laws and all other applicable Laws issued by a Governmental Entity that are designed or intended to prohibit, restrict or regulate actions having the purpose or effect of monopolization or restraint of trade or lessening of competition through merger or acquisition (collectively, “</w:t>
      </w:r>
      <w:r>
        <w:rPr>
          <w:rFonts w:ascii="Times New Roman" w:cs="Times New Roman" w:eastAsia="Times New Roman" w:hAnsi="Times New Roman"/>
          <w:sz w:val="17"/>
          <w:szCs w:val="17"/>
          <w:u w:val="single" w:color="auto"/>
          <w:color w:val="auto"/>
        </w:rPr>
        <w:t>Antitrust Laws</w:t>
      </w:r>
      <w:r>
        <w:rPr>
          <w:rFonts w:ascii="Times New Roman" w:cs="Times New Roman" w:eastAsia="Times New Roman" w:hAnsi="Times New Roman"/>
          <w:sz w:val="17"/>
          <w:szCs w:val="17"/>
          <w:color w:val="auto"/>
        </w:rPr>
        <w:t>”), (d) such filings and approvals as are required to be made or obtained under the securities or “Blue Sky” laws of various states in connection with the issuance of DXL Common Stock constituting the Merger Consideration, (e) any filings required under the rules and regulations of The Nasdaq Stock Market, Inc. (“</w:t>
      </w:r>
      <w:r>
        <w:rPr>
          <w:rFonts w:ascii="Times New Roman" w:cs="Times New Roman" w:eastAsia="Times New Roman" w:hAnsi="Times New Roman"/>
          <w:sz w:val="17"/>
          <w:szCs w:val="17"/>
          <w:u w:val="single" w:color="auto"/>
          <w:color w:val="auto"/>
        </w:rPr>
        <w:t>Nasdaq</w:t>
      </w:r>
      <w:r>
        <w:rPr>
          <w:rFonts w:ascii="Times New Roman" w:cs="Times New Roman" w:eastAsia="Times New Roman" w:hAnsi="Times New Roman"/>
          <w:sz w:val="17"/>
          <w:szCs w:val="17"/>
          <w:color w:val="auto"/>
        </w:rPr>
        <w:t>”) (including, inter alia, to permit the DXL Common Stock that are to be issued as the Merger Consideration to be listed thereon) and (f) such approvals, consents, authorizations, declarations, filings or registrations the failure of which to be obtained or made would not have, individually or in the aggregate, a Material Adverse Effect on DXL, no consents, approvals of, filings or registrations with, or orders, authorizations or authority of any federal, state, local or foreign government, court of competent jurisdiction, agency, commission, department, bureau, tribunal, board or other governmental authority, regulatory commission or instrumentality (each, a “</w:t>
      </w:r>
      <w:r>
        <w:rPr>
          <w:rFonts w:ascii="Times New Roman" w:cs="Times New Roman" w:eastAsia="Times New Roman" w:hAnsi="Times New Roman"/>
          <w:sz w:val="17"/>
          <w:szCs w:val="17"/>
          <w:u w:val="single" w:color="auto"/>
          <w:color w:val="auto"/>
        </w:rPr>
        <w:t>Governmental Entity</w:t>
      </w:r>
      <w:r>
        <w:rPr>
          <w:rFonts w:ascii="Times New Roman" w:cs="Times New Roman" w:eastAsia="Times New Roman" w:hAnsi="Times New Roman"/>
          <w:sz w:val="17"/>
          <w:szCs w:val="17"/>
          <w:color w:val="auto"/>
        </w:rPr>
        <w:t>”) are necessary in connection with (i) the execution and delivery by DXL and Merger Sub of this Agreement and (ii) the consummation by DXL and Merger Sub of the Transactions.</w:t>
      </w:r>
    </w:p>
    <w:p>
      <w:pPr>
        <w:spacing w:after="0" w:line="156" w:lineRule="exact"/>
        <w:rPr>
          <w:sz w:val="20"/>
          <w:szCs w:val="20"/>
          <w:color w:val="auto"/>
        </w:rPr>
      </w:pPr>
    </w:p>
    <w:p>
      <w:pPr>
        <w:jc w:val="both"/>
        <w:ind w:firstLine="1220"/>
        <w:spacing w:after="0" w:line="253" w:lineRule="auto"/>
        <w:rPr>
          <w:sz w:val="20"/>
          <w:szCs w:val="20"/>
          <w:color w:val="auto"/>
        </w:rPr>
      </w:pPr>
      <w:r>
        <w:rPr>
          <w:rFonts w:ascii="Times New Roman" w:cs="Times New Roman" w:eastAsia="Times New Roman" w:hAnsi="Times New Roman"/>
          <w:sz w:val="17"/>
          <w:szCs w:val="17"/>
          <w:b w:val="1"/>
          <w:bCs w:val="1"/>
          <w:u w:val="single" w:color="auto"/>
          <w:color w:val="auto"/>
        </w:rPr>
        <w:t>SECTION 3.05 Reports</w:t>
      </w:r>
      <w:r>
        <w:rPr>
          <w:rFonts w:ascii="Times New Roman" w:cs="Times New Roman" w:eastAsia="Times New Roman" w:hAnsi="Times New Roman"/>
          <w:sz w:val="17"/>
          <w:szCs w:val="17"/>
          <w:color w:val="auto"/>
        </w:rPr>
        <w:t>. DXL and each of the DXL Subsidiaries have timely filed all submissions, reports, registrations, schedules, forms,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statements and other documents, together with any amendments required to be made with respect thereto and all exhibits and other information incorporated therein, that they were required to file since January 29, 2023, with (a) the SEC (all such documents filed with, or furnished to, the SEC, the “</w:t>
      </w:r>
      <w:r>
        <w:rPr>
          <w:rFonts w:ascii="Times New Roman" w:cs="Times New Roman" w:eastAsia="Times New Roman" w:hAnsi="Times New Roman"/>
          <w:sz w:val="17"/>
          <w:szCs w:val="17"/>
          <w:u w:val="single" w:color="auto"/>
          <w:color w:val="auto"/>
        </w:rPr>
        <w:t>DXL SEC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Reports</w:t>
      </w:r>
      <w:r>
        <w:rPr>
          <w:rFonts w:ascii="Times New Roman" w:cs="Times New Roman" w:eastAsia="Times New Roman" w:hAnsi="Times New Roman"/>
          <w:sz w:val="17"/>
          <w:szCs w:val="17"/>
          <w:color w:val="auto"/>
        </w:rPr>
        <w:t>”), (b) any state or other federal regulatory authority (other than any Tax Authority, which is covered by ‎Section 3.10) and (c) any foreign regulatory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5142865</wp:posOffset>
            </wp:positionH>
            <wp:positionV relativeFrom="paragraph">
              <wp:posOffset>-20320</wp:posOffset>
            </wp:positionV>
            <wp:extent cx="55753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7530" cy="7620"/>
                    </a:xfrm>
                    <a:prstGeom prst="rect">
                      <a:avLst/>
                    </a:prstGeom>
                    <a:noFill/>
                  </pic:spPr>
                </pic:pic>
              </a:graphicData>
            </a:graphic>
          </wp:anchor>
        </w:drawing>
      </w:r>
    </w:p>
    <w:p>
      <w:pPr>
        <w:jc w:val="both"/>
        <w:spacing w:after="0" w:line="248" w:lineRule="auto"/>
        <w:rPr>
          <w:sz w:val="20"/>
          <w:szCs w:val="20"/>
          <w:color w:val="auto"/>
        </w:rPr>
      </w:pPr>
      <w:r>
        <w:rPr>
          <w:rFonts w:ascii="Times New Roman" w:cs="Times New Roman" w:eastAsia="Times New Roman" w:hAnsi="Times New Roman"/>
          <w:sz w:val="17"/>
          <w:szCs w:val="17"/>
          <w:color w:val="auto"/>
        </w:rPr>
        <w:t>authority (other than any Tax Authority, which is covered by Section‎ 3.10) (collectively, “</w:t>
      </w:r>
      <w:r>
        <w:rPr>
          <w:rFonts w:ascii="Times New Roman" w:cs="Times New Roman" w:eastAsia="Times New Roman" w:hAnsi="Times New Roman"/>
          <w:sz w:val="17"/>
          <w:szCs w:val="17"/>
          <w:u w:val="single" w:color="auto"/>
          <w:color w:val="auto"/>
        </w:rPr>
        <w:t>Regulatory Agencies</w:t>
      </w:r>
      <w:r>
        <w:rPr>
          <w:rFonts w:ascii="Times New Roman" w:cs="Times New Roman" w:eastAsia="Times New Roman" w:hAnsi="Times New Roman"/>
          <w:sz w:val="17"/>
          <w:szCs w:val="17"/>
          <w:color w:val="auto"/>
        </w:rPr>
        <w:t>”), and have paid all fees and assessments due and payable in connection therewith, except in each case where the failure to file such report, registration, schedule, form, statement or other document, or to pay such fees or assessments, would not, individually or in the aggregate, reasonably be expected to be material to DXL or any of the DXL Subsidiaries. As of their respective dates, the DXL SEC Reports (i) did not contain any untrue statement of a material fact or omit to state a material fact required to be stated therein or necessary in order to make the statements made therein, in light of the circumstances under which they were made, not misleading and (ii) complied as to form in all material respects with the applicable requirements of the Exchange Act or the Securities Act, as the case may be, the Sarbanes-Oxley Act of 2002 (the “</w:t>
      </w:r>
      <w:r>
        <w:rPr>
          <w:rFonts w:ascii="Times New Roman" w:cs="Times New Roman" w:eastAsia="Times New Roman" w:hAnsi="Times New Roman"/>
          <w:sz w:val="17"/>
          <w:szCs w:val="17"/>
          <w:u w:val="single" w:color="auto"/>
          <w:color w:val="auto"/>
        </w:rPr>
        <w:t>Sarbanes-Oxley Act</w:t>
      </w:r>
      <w:r>
        <w:rPr>
          <w:rFonts w:ascii="Times New Roman" w:cs="Times New Roman" w:eastAsia="Times New Roman" w:hAnsi="Times New Roman"/>
          <w:sz w:val="17"/>
          <w:szCs w:val="17"/>
          <w:color w:val="auto"/>
        </w:rPr>
        <w:t>”) and the applicable rules and regulations of the SEC thereunder. None of the DXL Subsidiaries is currently required to file any forms, reports or other documents with the SEC. As of the date hereof, DXL does not have any unresolved comments from the SEC with respect to the DXL SEC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-920115</wp:posOffset>
            </wp:positionV>
            <wp:extent cx="54991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49910" cy="7620"/>
                    </a:xfrm>
                    <a:prstGeom prst="rect">
                      <a:avLst/>
                    </a:prstGeom>
                    <a:noFill/>
                  </pic:spPr>
                </pic:pic>
              </a:graphicData>
            </a:graphic>
          </wp:anchor>
        </w:drawing>
      </w:r>
    </w:p>
    <w:p>
      <w:pPr>
        <w:spacing w:after="0" w:line="341" w:lineRule="exact"/>
        <w:rPr>
          <w:sz w:val="20"/>
          <w:szCs w:val="20"/>
          <w:color w:val="auto"/>
        </w:rPr>
      </w:pPr>
    </w:p>
    <w:p>
      <w:pPr>
        <w:ind w:left="1220"/>
        <w:spacing w:after="0"/>
        <w:tabs>
          <w:tab w:leader="none" w:pos="2580" w:val="left"/>
        </w:tabs>
        <w:rPr>
          <w:sz w:val="20"/>
          <w:szCs w:val="20"/>
          <w:color w:val="auto"/>
        </w:rPr>
      </w:pPr>
      <w:r>
        <w:rPr>
          <w:rFonts w:ascii="Times New Roman" w:cs="Times New Roman" w:eastAsia="Times New Roman" w:hAnsi="Times New Roman"/>
          <w:sz w:val="17"/>
          <w:szCs w:val="17"/>
          <w:b w:val="1"/>
          <w:bCs w:val="1"/>
          <w:u w:val="single" w:color="auto"/>
          <w:color w:val="auto"/>
        </w:rPr>
        <w:t>SECTION 3.06</w:t>
      </w:r>
      <w:r>
        <w:rPr>
          <w:sz w:val="20"/>
          <w:szCs w:val="20"/>
          <w:color w:val="auto"/>
        </w:rPr>
        <w:tab/>
      </w:r>
      <w:r>
        <w:rPr>
          <w:rFonts w:ascii="Times New Roman" w:cs="Times New Roman" w:eastAsia="Times New Roman" w:hAnsi="Times New Roman"/>
          <w:sz w:val="17"/>
          <w:szCs w:val="17"/>
          <w:b w:val="1"/>
          <w:bCs w:val="1"/>
          <w:u w:val="single" w:color="auto"/>
          <w:color w:val="auto"/>
        </w:rPr>
        <w:t>Financial Statements</w:t>
      </w:r>
      <w:r>
        <w:rPr>
          <w:rFonts w:ascii="Times New Roman" w:cs="Times New Roman" w:eastAsia="Times New Roman" w:hAnsi="Times New Roman"/>
          <w:sz w:val="17"/>
          <w:szCs w:val="17"/>
          <w:color w:val="auto"/>
        </w:rPr>
        <w:t>.</w:t>
      </w:r>
    </w:p>
    <w:p>
      <w:pPr>
        <w:spacing w:after="0" w:line="197" w:lineRule="exact"/>
        <w:rPr>
          <w:sz w:val="20"/>
          <w:szCs w:val="20"/>
          <w:color w:val="auto"/>
        </w:rPr>
      </w:pPr>
    </w:p>
    <w:p>
      <w:pPr>
        <w:jc w:val="both"/>
        <w:ind w:firstLine="1496"/>
        <w:spacing w:after="0" w:line="256" w:lineRule="auto"/>
        <w:tabs>
          <w:tab w:leader="none" w:pos="1848"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consolidated financial statements of DXL filed in, or furnished with, the DXL SEC Reports have been prepared in accordance with generally accepted accounting principles in the United States (“</w:t>
      </w:r>
      <w:r>
        <w:rPr>
          <w:rFonts w:ascii="Times New Roman" w:cs="Times New Roman" w:eastAsia="Times New Roman" w:hAnsi="Times New Roman"/>
          <w:sz w:val="17"/>
          <w:szCs w:val="17"/>
          <w:u w:val="single" w:color="auto"/>
          <w:color w:val="auto"/>
        </w:rPr>
        <w:t>GAAP</w:t>
      </w:r>
      <w:r>
        <w:rPr>
          <w:rFonts w:ascii="Times New Roman" w:cs="Times New Roman" w:eastAsia="Times New Roman" w:hAnsi="Times New Roman"/>
          <w:sz w:val="17"/>
          <w:szCs w:val="17"/>
          <w:color w:val="auto"/>
        </w:rPr>
        <w:t>”) consistently applied by DXL for the periods and at and as of the dates presented (except as may be indicated in the notes thereto or, in the case of unaudited statements, as permitted by the rules and regulations of the SEC), and fairly present in all material respects the consolidated financial position of DXL as of the dates thereof and the consolidated results of operations, changes in stockholders’ equity and cash flows for the periods then ended (subject to normal year-end adjustments in the case of any</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20" w:name="page21"/>
    <w:bookmarkEnd w:id="20"/>
    <w:p>
      <w:pPr>
        <w:jc w:val="both"/>
        <w:ind w:right="20"/>
        <w:spacing w:after="0" w:line="265" w:lineRule="auto"/>
        <w:rPr>
          <w:sz w:val="20"/>
          <w:szCs w:val="20"/>
          <w:color w:val="auto"/>
        </w:rPr>
      </w:pPr>
      <w:r>
        <w:rPr>
          <w:rFonts w:ascii="Times New Roman" w:cs="Times New Roman" w:eastAsia="Times New Roman" w:hAnsi="Times New Roman"/>
          <w:sz w:val="17"/>
          <w:szCs w:val="17"/>
          <w:color w:val="auto"/>
        </w:rPr>
        <w:t>unaudited interim financial statements, none of which are material, individually or in the aggregate). Each of the consolidated financial statements of DXL (including all related notes or schedules) included in the DXL SEC Reports complied at the time it was filed as to form in all material respects with applicable accounting requirements and the published rules and regulations of the SEC.</w:t>
      </w:r>
    </w:p>
    <w:p>
      <w:pPr>
        <w:spacing w:after="0" w:line="145" w:lineRule="exact"/>
        <w:rPr>
          <w:sz w:val="20"/>
          <w:szCs w:val="20"/>
          <w:color w:val="auto"/>
        </w:rPr>
      </w:pPr>
    </w:p>
    <w:p>
      <w:pPr>
        <w:jc w:val="both"/>
        <w:ind w:right="20" w:firstLine="1496"/>
        <w:spacing w:after="0" w:line="254" w:lineRule="auto"/>
        <w:tabs>
          <w:tab w:leader="none" w:pos="1848"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January 29, 2023, (i) neither DXL nor any of its Subsidiaries nor, to the Knowledge of DXL, any director, officer, employee, auditor, accountant, consultant or Representative of DXL or any of its Subsidiaries has received or otherwise had or obtained Knowledge of any complaint, allegation, assertion or claim, whether written or oral, that DXL or any of its Subsidiaries has engaged in accounting or auditing practices in violation of applicable Law or applicable requirements of GAAP, and (ii) no current or former attorney representing DXL or any of its Subsidiaries has reported evidence of a material violation of securities Laws, breach of fiduciary duty or similar violation by DXL or any of its officers, directors, employees or agents to the board of directors of DXL or any committee thereof or to any director or executive officer of DXL.</w:t>
      </w:r>
    </w:p>
    <w:p>
      <w:pPr>
        <w:spacing w:after="0" w:line="154" w:lineRule="exact"/>
        <w:rPr>
          <w:rFonts w:ascii="Times New Roman" w:cs="Times New Roman" w:eastAsia="Times New Roman" w:hAnsi="Times New Roman"/>
          <w:sz w:val="17"/>
          <w:szCs w:val="17"/>
          <w:color w:val="auto"/>
        </w:rPr>
      </w:pPr>
    </w:p>
    <w:p>
      <w:pPr>
        <w:jc w:val="both"/>
        <w:ind w:firstLine="1496"/>
        <w:spacing w:after="0" w:line="259" w:lineRule="auto"/>
        <w:tabs>
          <w:tab w:leader="none" w:pos="1848"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January 29, 2023, neither DXL nor any of its Subsidiaries (nor, to the Knowledge of DXL, any employee thereof) nor DXL’s independent auditors has identified or been made aware of any (i) significant deficiency or material weakness in the system of internal accounting controls utilized by DXL and its Subsidiaries; (ii) fraud, whether or not material, that involves DXL’s management or other employees who have a role in the preparation of financial statements or the internal accounting controls utilized by DXL and its Subsidiaries; or (iii) claim or allegation regarding any of the foregoing.</w:t>
      </w:r>
    </w:p>
    <w:p>
      <w:pPr>
        <w:spacing w:after="0" w:line="149" w:lineRule="exact"/>
        <w:rPr>
          <w:rFonts w:ascii="Times New Roman" w:cs="Times New Roman" w:eastAsia="Times New Roman" w:hAnsi="Times New Roman"/>
          <w:sz w:val="17"/>
          <w:szCs w:val="17"/>
          <w:color w:val="auto"/>
        </w:rPr>
      </w:pPr>
    </w:p>
    <w:p>
      <w:pPr>
        <w:jc w:val="both"/>
        <w:ind w:firstLine="1496"/>
        <w:spacing w:after="0" w:line="259" w:lineRule="auto"/>
        <w:tabs>
          <w:tab w:leader="none" w:pos="1848"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(i) for those liabilities that are reflected or reserved against on the consolidated balance sheet of DXL as of February 1, 2025, or the notes thereto, (ii) for liabilities and obligations incurred in the ordinary course of business consistent with past practice since the date of such balance sheet and (iii) for liabilities and obligations incurred in connection with this Agreement, DXL and its Subsidiaries do not have any liabilities that, individually or in the aggregate, are material to DXL and its Subsidiaries, taken as a whole.</w:t>
      </w:r>
    </w:p>
    <w:p>
      <w:pPr>
        <w:spacing w:after="0" w:line="149" w:lineRule="exact"/>
        <w:rPr>
          <w:rFonts w:ascii="Times New Roman" w:cs="Times New Roman" w:eastAsia="Times New Roman" w:hAnsi="Times New Roman"/>
          <w:sz w:val="17"/>
          <w:szCs w:val="17"/>
          <w:color w:val="auto"/>
        </w:rPr>
      </w:pPr>
    </w:p>
    <w:p>
      <w:pPr>
        <w:jc w:val="both"/>
        <w:ind w:firstLine="1496"/>
        <w:spacing w:after="0" w:line="256" w:lineRule="auto"/>
        <w:tabs>
          <w:tab w:leader="none" w:pos="1848"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DXL nor any of its Subsidiaries is a party to, or has any commitment to become a party to, any joint venture, partnership agreement or any similar Contract (including any Contract relating to any transaction, arrangement or relationship between or among DXL or any of its Subsidiaries, on the one hand, and any unconsolidated Affiliate, including any structured finance, special purpose or limited purpose entity or Person, on the other hand), or any off-balance sheet arrangement, which, the case of any of the foregoing, would be required to be disclosed pursuant to Item 303(b) of Regulation S-K promulgated by the SEC.</w:t>
      </w:r>
    </w:p>
    <w:p>
      <w:pPr>
        <w:spacing w:after="0" w:line="151" w:lineRule="exact"/>
        <w:rPr>
          <w:rFonts w:ascii="Times New Roman" w:cs="Times New Roman" w:eastAsia="Times New Roman" w:hAnsi="Times New Roman"/>
          <w:sz w:val="17"/>
          <w:szCs w:val="17"/>
          <w:color w:val="auto"/>
        </w:rPr>
      </w:pPr>
    </w:p>
    <w:p>
      <w:pPr>
        <w:jc w:val="both"/>
        <w:ind w:right="20" w:firstLine="1496"/>
        <w:spacing w:after="0" w:line="254" w:lineRule="auto"/>
        <w:tabs>
          <w:tab w:leader="none" w:pos="1848"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the date hereof, (i) to the Knowledge of DXL, no employee of DXL or any of its Subsidiaries has provided information to any law enforcement agency regarding the commission or possible commission of any crime or the violation or possible violation of any applicable Law of the type described in Section 806 of the Sarbanes-Oxley Act by DXL or any of its Subsidiaries and (ii) neither DXL nor any of its Subsidiaries nor, to the Knowledge of DXL, any director, officer, employee, contractor, subcontractor or agent of DXL or any such Subsidiary has discharged, demoted, suspended, threatened, harassed or in any other manner discriminated against an employee of DXL or any of its Subsidiaries in the terms and conditions of employment because of any lawful act of such employee described in Section 806 of the Sarbanes-Oxley Act.</w:t>
      </w:r>
    </w:p>
    <w:p>
      <w:pPr>
        <w:spacing w:after="0" w:line="152" w:lineRule="exact"/>
        <w:rPr>
          <w:sz w:val="20"/>
          <w:szCs w:val="20"/>
          <w:color w:val="auto"/>
        </w:rPr>
      </w:pPr>
    </w:p>
    <w:p>
      <w:pPr>
        <w:jc w:val="both"/>
        <w:ind w:firstLine="1220"/>
        <w:spacing w:after="0" w:line="267" w:lineRule="auto"/>
        <w:rPr>
          <w:sz w:val="20"/>
          <w:szCs w:val="20"/>
          <w:color w:val="auto"/>
        </w:rPr>
      </w:pPr>
      <w:r>
        <w:rPr>
          <w:rFonts w:ascii="Times New Roman" w:cs="Times New Roman" w:eastAsia="Times New Roman" w:hAnsi="Times New Roman"/>
          <w:sz w:val="17"/>
          <w:szCs w:val="17"/>
          <w:b w:val="1"/>
          <w:bCs w:val="1"/>
          <w:u w:val="single" w:color="auto"/>
          <w:color w:val="auto"/>
        </w:rPr>
        <w:t>SECTION 3.07 Advisors’ Fees</w:t>
      </w:r>
      <w:r>
        <w:rPr>
          <w:rFonts w:ascii="Times New Roman" w:cs="Times New Roman" w:eastAsia="Times New Roman" w:hAnsi="Times New Roman"/>
          <w:sz w:val="17"/>
          <w:szCs w:val="17"/>
          <w:color w:val="auto"/>
        </w:rPr>
        <w:t>. None of DXL, any DXL Subsidiary or any of their respective officers or directors has employed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broker, finder, investment banker or financial advisor (each, an “</w:t>
      </w:r>
      <w:r>
        <w:rPr>
          <w:rFonts w:ascii="Times New Roman" w:cs="Times New Roman" w:eastAsia="Times New Roman" w:hAnsi="Times New Roman"/>
          <w:sz w:val="17"/>
          <w:szCs w:val="17"/>
          <w:u w:val="single" w:color="auto"/>
          <w:color w:val="auto"/>
        </w:rPr>
        <w:t>Advisor</w:t>
      </w:r>
      <w:r>
        <w:rPr>
          <w:rFonts w:ascii="Times New Roman" w:cs="Times New Roman" w:eastAsia="Times New Roman" w:hAnsi="Times New Roman"/>
          <w:sz w:val="17"/>
          <w:szCs w:val="17"/>
          <w:color w:val="auto"/>
        </w:rPr>
        <w:t>”), or incurred any liability for any broker’s fees, commissions, finder’s fees or other Advisor fees, in connection with the Merger or other Transactions, other than Guggenheim Securities, LLC</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21" w:name="page22"/>
    <w:bookmarkEnd w:id="21"/>
    <w:p>
      <w:pPr>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DXL’s Financial Advisor</w:t>
      </w:r>
      <w:r>
        <w:rPr>
          <w:rFonts w:ascii="Times New Roman" w:cs="Times New Roman" w:eastAsia="Times New Roman" w:hAnsi="Times New Roman"/>
          <w:sz w:val="17"/>
          <w:szCs w:val="17"/>
          <w:color w:val="auto"/>
        </w:rPr>
        <w:t>”). DXL retained DXL’s Financial Advisor pursuant to an engagement letter and has delivered to FBB a true and complete copy of such engagement letter.</w:t>
      </w:r>
    </w:p>
    <w:p>
      <w:pPr>
        <w:spacing w:after="0" w:line="127" w:lineRule="exact"/>
        <w:rPr>
          <w:sz w:val="20"/>
          <w:szCs w:val="20"/>
          <w:color w:val="auto"/>
        </w:rPr>
      </w:pPr>
    </w:p>
    <w:p>
      <w:pPr>
        <w:ind w:left="1220"/>
        <w:spacing w:after="0"/>
        <w:tabs>
          <w:tab w:leader="none" w:pos="2580" w:val="left"/>
        </w:tabs>
        <w:rPr>
          <w:sz w:val="20"/>
          <w:szCs w:val="20"/>
          <w:color w:val="auto"/>
        </w:rPr>
      </w:pPr>
      <w:r>
        <w:rPr>
          <w:rFonts w:ascii="Times New Roman" w:cs="Times New Roman" w:eastAsia="Times New Roman" w:hAnsi="Times New Roman"/>
          <w:sz w:val="17"/>
          <w:szCs w:val="17"/>
          <w:b w:val="1"/>
          <w:bCs w:val="1"/>
          <w:u w:val="single" w:color="auto"/>
          <w:color w:val="auto"/>
        </w:rPr>
        <w:t>SECTION 3.08</w:t>
      </w:r>
      <w:r>
        <w:rPr>
          <w:sz w:val="20"/>
          <w:szCs w:val="20"/>
          <w:color w:val="auto"/>
        </w:rPr>
        <w:tab/>
      </w:r>
      <w:r>
        <w:rPr>
          <w:rFonts w:ascii="Times New Roman" w:cs="Times New Roman" w:eastAsia="Times New Roman" w:hAnsi="Times New Roman"/>
          <w:sz w:val="17"/>
          <w:szCs w:val="17"/>
          <w:b w:val="1"/>
          <w:bCs w:val="1"/>
          <w:u w:val="single" w:color="auto"/>
          <w:color w:val="auto"/>
        </w:rPr>
        <w:t>Absence of Certain Changes or Events</w:t>
      </w:r>
      <w:r>
        <w:rPr>
          <w:rFonts w:ascii="Times New Roman" w:cs="Times New Roman" w:eastAsia="Times New Roman" w:hAnsi="Times New Roman"/>
          <w:sz w:val="17"/>
          <w:szCs w:val="17"/>
          <w:color w:val="auto"/>
        </w:rPr>
        <w:t>.</w:t>
      </w:r>
    </w:p>
    <w:p>
      <w:pPr>
        <w:spacing w:after="0" w:line="197" w:lineRule="exact"/>
        <w:rPr>
          <w:sz w:val="20"/>
          <w:szCs w:val="20"/>
          <w:color w:val="auto"/>
        </w:rPr>
      </w:pPr>
    </w:p>
    <w:p>
      <w:pPr>
        <w:ind w:right="20" w:firstLine="1496"/>
        <w:spacing w:after="0" w:line="284" w:lineRule="auto"/>
        <w:tabs>
          <w:tab w:leader="none" w:pos="1848"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February 1, 2025, through the date of this Agreement, no event or events or development or developments have occurred that have had or would reasonably be expected to have, individually or in the aggregate, a Material Adverse Effect on DXL.</w:t>
      </w:r>
    </w:p>
    <w:p>
      <w:pPr>
        <w:spacing w:after="0" w:line="128" w:lineRule="exact"/>
        <w:rPr>
          <w:rFonts w:ascii="Times New Roman" w:cs="Times New Roman" w:eastAsia="Times New Roman" w:hAnsi="Times New Roman"/>
          <w:sz w:val="17"/>
          <w:szCs w:val="17"/>
          <w:color w:val="auto"/>
        </w:rPr>
      </w:pPr>
    </w:p>
    <w:p>
      <w:pPr>
        <w:jc w:val="both"/>
        <w:ind w:right="20" w:firstLine="1496"/>
        <w:spacing w:after="0" w:line="265" w:lineRule="auto"/>
        <w:tabs>
          <w:tab w:leader="none" w:pos="1848"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in connection with the execution and delivery of this Agreement and the Transactions, from February 1, 2025 through the date of this Agreement, DXL and the DXL Subsidiaries have carried on their respective businesses in all material respects in the ordinary course, consistent with past practice.</w:t>
      </w:r>
    </w:p>
    <w:p>
      <w:pPr>
        <w:spacing w:after="0" w:line="143" w:lineRule="exact"/>
        <w:rPr>
          <w:sz w:val="20"/>
          <w:szCs w:val="20"/>
          <w:color w:val="auto"/>
        </w:rPr>
      </w:pPr>
    </w:p>
    <w:p>
      <w:pPr>
        <w:ind w:left="1220"/>
        <w:spacing w:after="0"/>
        <w:tabs>
          <w:tab w:leader="none" w:pos="2580" w:val="left"/>
        </w:tabs>
        <w:rPr>
          <w:sz w:val="20"/>
          <w:szCs w:val="20"/>
          <w:color w:val="auto"/>
        </w:rPr>
      </w:pPr>
      <w:r>
        <w:rPr>
          <w:rFonts w:ascii="Times New Roman" w:cs="Times New Roman" w:eastAsia="Times New Roman" w:hAnsi="Times New Roman"/>
          <w:sz w:val="17"/>
          <w:szCs w:val="17"/>
          <w:b w:val="1"/>
          <w:bCs w:val="1"/>
          <w:u w:val="single" w:color="auto"/>
          <w:color w:val="auto"/>
        </w:rPr>
        <w:t>SECTION 3.09</w:t>
      </w:r>
      <w:r>
        <w:rPr>
          <w:sz w:val="20"/>
          <w:szCs w:val="20"/>
          <w:color w:val="auto"/>
        </w:rPr>
        <w:tab/>
      </w:r>
      <w:r>
        <w:rPr>
          <w:rFonts w:ascii="Times New Roman" w:cs="Times New Roman" w:eastAsia="Times New Roman" w:hAnsi="Times New Roman"/>
          <w:sz w:val="17"/>
          <w:szCs w:val="17"/>
          <w:b w:val="1"/>
          <w:bCs w:val="1"/>
          <w:u w:val="single" w:color="auto"/>
          <w:color w:val="auto"/>
        </w:rPr>
        <w:t>Legal Proceedings</w:t>
      </w:r>
      <w:r>
        <w:rPr>
          <w:rFonts w:ascii="Times New Roman" w:cs="Times New Roman" w:eastAsia="Times New Roman" w:hAnsi="Times New Roman"/>
          <w:sz w:val="17"/>
          <w:szCs w:val="17"/>
          <w:color w:val="auto"/>
        </w:rPr>
        <w:t>.</w:t>
      </w:r>
    </w:p>
    <w:p>
      <w:pPr>
        <w:spacing w:after="0" w:line="197" w:lineRule="exact"/>
        <w:rPr>
          <w:sz w:val="20"/>
          <w:szCs w:val="20"/>
          <w:color w:val="auto"/>
        </w:rPr>
      </w:pPr>
    </w:p>
    <w:p>
      <w:pPr>
        <w:jc w:val="both"/>
        <w:ind w:firstLine="1496"/>
        <w:spacing w:after="0" w:line="256" w:lineRule="auto"/>
        <w:tabs>
          <w:tab w:leader="none" w:pos="1848"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the date hereof, none of DXL nor any of the DXL Subsidiaries is a party to any, and there are no pending or, to DXL’s Knowledge, threatened, legal, administrative, arbitral or other proceedings, claims, actions or governmental or regulatory investigations or reviews of any nature (collectively, “</w:t>
      </w:r>
      <w:r>
        <w:rPr>
          <w:rFonts w:ascii="Times New Roman" w:cs="Times New Roman" w:eastAsia="Times New Roman" w:hAnsi="Times New Roman"/>
          <w:sz w:val="17"/>
          <w:szCs w:val="17"/>
          <w:u w:val="single" w:color="auto"/>
          <w:color w:val="auto"/>
        </w:rPr>
        <w:t>Proceedings</w:t>
      </w:r>
      <w:r>
        <w:rPr>
          <w:rFonts w:ascii="Times New Roman" w:cs="Times New Roman" w:eastAsia="Times New Roman" w:hAnsi="Times New Roman"/>
          <w:sz w:val="17"/>
          <w:szCs w:val="17"/>
          <w:color w:val="auto"/>
        </w:rPr>
        <w:t>”) against DXL or any of the DXL Subsidiaries, or, to DXL’s Knowledge, any of the directors, officers or employees of DXL of any of its Subsidiaries in their respective capacities as such; and, since January 30, 2022, neither DXL nor any of its Subsidiaries has settled or compromised any proceeding or claim, whether filed or threatened, which settlement or compromise is or was material to DXL or any of its Subsidiaries.</w:t>
      </w:r>
    </w:p>
    <w:p>
      <w:pPr>
        <w:spacing w:after="0" w:line="151" w:lineRule="exact"/>
        <w:rPr>
          <w:rFonts w:ascii="Times New Roman" w:cs="Times New Roman" w:eastAsia="Times New Roman" w:hAnsi="Times New Roman"/>
          <w:sz w:val="17"/>
          <w:szCs w:val="17"/>
          <w:color w:val="auto"/>
        </w:rPr>
      </w:pPr>
    </w:p>
    <w:p>
      <w:pPr>
        <w:ind w:right="20" w:firstLine="1496"/>
        <w:spacing w:after="0" w:line="284" w:lineRule="auto"/>
        <w:tabs>
          <w:tab w:leader="none" w:pos="1848"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no Injunction, judgment or regulatory restriction imposed upon DXL, any of the DXL Subsidiaries or the assets of DXL or any of the DXL Subsidiaries.</w:t>
      </w:r>
    </w:p>
    <w:p>
      <w:pPr>
        <w:spacing w:after="0" w:line="127" w:lineRule="exact"/>
        <w:rPr>
          <w:sz w:val="20"/>
          <w:szCs w:val="20"/>
          <w:color w:val="auto"/>
        </w:rPr>
      </w:pPr>
    </w:p>
    <w:p>
      <w:pPr>
        <w:ind w:left="1220"/>
        <w:spacing w:after="0"/>
        <w:tabs>
          <w:tab w:leader="none" w:pos="2580" w:val="left"/>
        </w:tabs>
        <w:rPr>
          <w:sz w:val="20"/>
          <w:szCs w:val="20"/>
          <w:color w:val="auto"/>
        </w:rPr>
      </w:pPr>
      <w:r>
        <w:rPr>
          <w:rFonts w:ascii="Times New Roman" w:cs="Times New Roman" w:eastAsia="Times New Roman" w:hAnsi="Times New Roman"/>
          <w:sz w:val="17"/>
          <w:szCs w:val="17"/>
          <w:b w:val="1"/>
          <w:bCs w:val="1"/>
          <w:u w:val="single" w:color="auto"/>
          <w:color w:val="auto"/>
        </w:rPr>
        <w:t>SECTION 3.10</w:t>
      </w:r>
      <w:r>
        <w:rPr>
          <w:sz w:val="20"/>
          <w:szCs w:val="20"/>
          <w:color w:val="auto"/>
        </w:rPr>
        <w:tab/>
      </w:r>
      <w:r>
        <w:rPr>
          <w:rFonts w:ascii="Times New Roman" w:cs="Times New Roman" w:eastAsia="Times New Roman" w:hAnsi="Times New Roman"/>
          <w:sz w:val="17"/>
          <w:szCs w:val="17"/>
          <w:b w:val="1"/>
          <w:bCs w:val="1"/>
          <w:u w:val="single" w:color="auto"/>
          <w:color w:val="auto"/>
        </w:rPr>
        <w:t>Taxes and Tax Returns</w:t>
      </w:r>
      <w:r>
        <w:rPr>
          <w:rFonts w:ascii="Times New Roman" w:cs="Times New Roman" w:eastAsia="Times New Roman" w:hAnsi="Times New Roman"/>
          <w:sz w:val="17"/>
          <w:szCs w:val="17"/>
          <w:color w:val="auto"/>
        </w:rPr>
        <w:t>.</w:t>
      </w:r>
    </w:p>
    <w:p>
      <w:pPr>
        <w:spacing w:after="0" w:line="197" w:lineRule="exact"/>
        <w:rPr>
          <w:sz w:val="20"/>
          <w:szCs w:val="20"/>
          <w:color w:val="auto"/>
        </w:rPr>
      </w:pPr>
    </w:p>
    <w:p>
      <w:pPr>
        <w:ind w:left="1500"/>
        <w:spacing w:after="0"/>
        <w:tabs>
          <w:tab w:leader="none" w:pos="1820" w:val="left"/>
        </w:tabs>
        <w:rPr>
          <w:sz w:val="20"/>
          <w:szCs w:val="20"/>
          <w:color w:val="auto"/>
        </w:rPr>
      </w:pPr>
      <w:r>
        <w:rPr>
          <w:rFonts w:ascii="Times New Roman" w:cs="Times New Roman" w:eastAsia="Times New Roman" w:hAnsi="Times New Roman"/>
          <w:sz w:val="17"/>
          <w:szCs w:val="17"/>
          <w:color w:val="auto"/>
        </w:rPr>
        <w:t>(a)</w:t>
        <w:tab/>
        <w:t>Except as has not had, and would not reasonably be expected to have, individually or in the aggregate, a Material Adverse Effect 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DXL:</w:t>
      </w:r>
    </w:p>
    <w:p>
      <w:pPr>
        <w:spacing w:after="0" w:line="175" w:lineRule="exact"/>
        <w:rPr>
          <w:sz w:val="20"/>
          <w:szCs w:val="20"/>
          <w:color w:val="auto"/>
        </w:rPr>
      </w:pPr>
    </w:p>
    <w:p>
      <w:pPr>
        <w:ind w:right="20" w:firstLine="2246"/>
        <w:spacing w:after="0" w:line="284" w:lineRule="auto"/>
        <w:tabs>
          <w:tab w:leader="none" w:pos="2598"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Tax Returns required by Law to be filed by DXL and the DXL Subsidiaries have been duly and timely filed (after giving effect to any valid extensions of time in which to make such filings) and all such Tax Returns are true, correct and complete.</w:t>
      </w:r>
    </w:p>
    <w:p>
      <w:pPr>
        <w:spacing w:after="0" w:line="128" w:lineRule="exact"/>
        <w:rPr>
          <w:rFonts w:ascii="Times New Roman" w:cs="Times New Roman" w:eastAsia="Times New Roman" w:hAnsi="Times New Roman"/>
          <w:sz w:val="17"/>
          <w:szCs w:val="17"/>
          <w:color w:val="auto"/>
        </w:rPr>
      </w:pPr>
    </w:p>
    <w:p>
      <w:pPr>
        <w:ind w:right="20" w:firstLine="2246"/>
        <w:spacing w:after="0" w:line="284" w:lineRule="auto"/>
        <w:tabs>
          <w:tab w:leader="none" w:pos="2598"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amounts of Taxes shown due on any Tax Returns of DXL and the DXL Subsidiaries and all other amounts of Taxes owed by DXL and the DXL Subsidiaries have been timely paid.</w:t>
      </w:r>
    </w:p>
    <w:p>
      <w:pPr>
        <w:spacing w:after="0" w:line="128" w:lineRule="exact"/>
        <w:rPr>
          <w:rFonts w:ascii="Times New Roman" w:cs="Times New Roman" w:eastAsia="Times New Roman" w:hAnsi="Times New Roman"/>
          <w:sz w:val="17"/>
          <w:szCs w:val="17"/>
          <w:color w:val="auto"/>
        </w:rPr>
      </w:pPr>
    </w:p>
    <w:p>
      <w:pPr>
        <w:jc w:val="both"/>
        <w:ind w:right="20" w:firstLine="2246"/>
        <w:spacing w:after="0" w:line="265" w:lineRule="auto"/>
        <w:tabs>
          <w:tab w:leader="none" w:pos="2598"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DXL and the DXL Subsidiaries have (i) withheld all amounts of Taxes required to have been withheld by it in connection with amounts paid to any employee, independent contractor, creditor, stockholder or any other third party, and (ii) remitted such amounts required to have been remitted to the appropriate Tax Authority.</w:t>
      </w:r>
    </w:p>
    <w:p>
      <w:pPr>
        <w:spacing w:after="0" w:line="144" w:lineRule="exact"/>
        <w:rPr>
          <w:rFonts w:ascii="Times New Roman" w:cs="Times New Roman" w:eastAsia="Times New Roman" w:hAnsi="Times New Roman"/>
          <w:sz w:val="17"/>
          <w:szCs w:val="17"/>
          <w:color w:val="auto"/>
        </w:rPr>
      </w:pPr>
    </w:p>
    <w:p>
      <w:pPr>
        <w:jc w:val="both"/>
        <w:ind w:firstLine="2246"/>
        <w:spacing w:after="0" w:line="259" w:lineRule="auto"/>
        <w:tabs>
          <w:tab w:leader="none" w:pos="2598"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DXL nor the DXL Subsidiaries is currently engaged in any audit, administrative or judicial proceeding with a Tax Authority with respect to Taxes. Neither DXL nor the DXL Subsidiaries has received any written notice from a Tax Authority of a proposed deficiency of any amount of Taxes other than any such deficiencies that have since been resolved. No written claim has been made by any Tax Authority in a jurisdiction where DXL or the DXL Subsidiaries does not file a Tax Return</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22" w:name="page23"/>
    <w:bookmarkEnd w:id="22"/>
    <w:p>
      <w:pPr>
        <w:jc w:val="both"/>
        <w:spacing w:after="0" w:line="265" w:lineRule="auto"/>
        <w:rPr>
          <w:sz w:val="20"/>
          <w:szCs w:val="20"/>
          <w:color w:val="auto"/>
        </w:rPr>
      </w:pPr>
      <w:r>
        <w:rPr>
          <w:rFonts w:ascii="Times New Roman" w:cs="Times New Roman" w:eastAsia="Times New Roman" w:hAnsi="Times New Roman"/>
          <w:sz w:val="17"/>
          <w:szCs w:val="17"/>
          <w:color w:val="auto"/>
        </w:rPr>
        <w:t>that such entity is or may be subject to Taxes by, or required to file Tax Returns in, that jurisdiction which claim has not been resolved. There are no outstanding agreements extending or waiving the statutory period of limitations applicable to any claim for, or the period for the collection or assessment or reassessment of, Taxes of DXL or the DXL Subsidiaries, and no written request for any such waiver or extension is currently pending.</w:t>
      </w:r>
    </w:p>
    <w:p>
      <w:pPr>
        <w:spacing w:after="0" w:line="145" w:lineRule="exact"/>
        <w:rPr>
          <w:sz w:val="20"/>
          <w:szCs w:val="20"/>
          <w:color w:val="auto"/>
        </w:rPr>
      </w:pPr>
    </w:p>
    <w:p>
      <w:pPr>
        <w:ind w:right="20" w:firstLine="2246"/>
        <w:spacing w:after="0" w:line="284" w:lineRule="auto"/>
        <w:tabs>
          <w:tab w:leader="none" w:pos="2598"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DXL nor the DXL Subsidiaries has constituted either a “distributing corporation” or a “controlled corporation” in a distribution of stock qualifying for tax-free treatment under Section 355 of the Code in the prior two (2) years.</w:t>
      </w:r>
    </w:p>
    <w:p>
      <w:pPr>
        <w:spacing w:after="0" w:line="128" w:lineRule="exact"/>
        <w:rPr>
          <w:rFonts w:ascii="Times New Roman" w:cs="Times New Roman" w:eastAsia="Times New Roman" w:hAnsi="Times New Roman"/>
          <w:sz w:val="17"/>
          <w:szCs w:val="17"/>
          <w:color w:val="auto"/>
        </w:rPr>
      </w:pPr>
    </w:p>
    <w:p>
      <w:pPr>
        <w:ind w:left="2600" w:hanging="354"/>
        <w:spacing w:after="0"/>
        <w:tabs>
          <w:tab w:leader="none" w:pos="26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DXL nor the DXL Subsidiaries has been a party to any “listed transaction” within the meaning of Treasury</w:t>
      </w:r>
    </w:p>
    <w:p>
      <w:pPr>
        <w:spacing w:after="0" w:line="25"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Regulation Section 1.6011-4(b)(2).</w:t>
      </w:r>
    </w:p>
    <w:p>
      <w:pPr>
        <w:spacing w:after="0" w:line="174" w:lineRule="exact"/>
        <w:rPr>
          <w:rFonts w:ascii="Times New Roman" w:cs="Times New Roman" w:eastAsia="Times New Roman" w:hAnsi="Times New Roman"/>
          <w:sz w:val="17"/>
          <w:szCs w:val="17"/>
          <w:color w:val="auto"/>
        </w:rPr>
      </w:pPr>
    </w:p>
    <w:p>
      <w:pPr>
        <w:jc w:val="both"/>
        <w:ind w:firstLine="2246"/>
        <w:spacing w:after="0" w:line="251" w:lineRule="auto"/>
        <w:tabs>
          <w:tab w:leader="none" w:pos="2598"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DXL nor the DXL Subsidiaries will be required to include any item of income in, or exclude any item of deduction from, taxable income for any taxable period (or portion thereof) ending after the Closing Date as a result of any: (A) change in method of accounting for a taxable period (or portion thereof) ending on or prior to the Closing Date and made prior to the Closing; (B) ruling by, or written agreement with, a Tax Authority (including any closing agreement pursuant to Section 7121 of the Code or any similar provision of Tax Law) issue or executed prior to the Closing; (C) installment sale or open transaction disposition made prior to the Closing; (D) prepaid amount received prior to the Closing outside of the ordinary course of business; (E) intercompany transaction or excess loss accounts described in the Treasury Regulations promulgated under Section 1502 of the Code (or any corresponding or similar provision of state, local or foreign income Tax Law) that existed prior to the Closing; (F) any transactions effected or investments made prior to the Closing that results in taxable income pursuant to Section 951(a) or 951A of the Code (or any similar provision of Law); or (G) any election under Section 965 of the Code.</w:t>
      </w:r>
    </w:p>
    <w:p>
      <w:pPr>
        <w:spacing w:after="0" w:line="363" w:lineRule="exact"/>
        <w:rPr>
          <w:rFonts w:ascii="Times New Roman" w:cs="Times New Roman" w:eastAsia="Times New Roman" w:hAnsi="Times New Roman"/>
          <w:sz w:val="17"/>
          <w:szCs w:val="17"/>
          <w:color w:val="auto"/>
        </w:rPr>
      </w:pPr>
    </w:p>
    <w:p>
      <w:pPr>
        <w:jc w:val="both"/>
        <w:ind w:right="20" w:firstLine="2246"/>
        <w:spacing w:after="0" w:line="265" w:lineRule="auto"/>
        <w:tabs>
          <w:tab w:leader="none" w:pos="294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DXL nor the DXL Subsidiaries has any liability for the Taxes of any Person (other than the DXL or the DXL Subsidiaries) (i) under Treasury Regulation Section 1.1502-6 (or any similar provision of state, local or foreign Law), (ii) as a transferee or successor or (iii) by Contract (except, in each case, for any such agreements that are commercial contracts not primarily relating to Taxes).</w:t>
      </w:r>
    </w:p>
    <w:p>
      <w:pPr>
        <w:spacing w:after="0" w:line="144" w:lineRule="exact"/>
        <w:rPr>
          <w:rFonts w:ascii="Times New Roman" w:cs="Times New Roman" w:eastAsia="Times New Roman" w:hAnsi="Times New Roman"/>
          <w:sz w:val="17"/>
          <w:szCs w:val="17"/>
          <w:color w:val="auto"/>
        </w:rPr>
      </w:pPr>
    </w:p>
    <w:p>
      <w:pPr>
        <w:jc w:val="both"/>
        <w:ind w:right="20" w:firstLine="2246"/>
        <w:spacing w:after="0" w:line="265" w:lineRule="auto"/>
        <w:tabs>
          <w:tab w:leader="none" w:pos="2598"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DXL nor the DXL Subsidiaries is party to, or bound by, or has any obligation to, any Tax Authority or other Person under any Tax allocation, Tax sharing or Tax indemnification agreements (except, in each case, for any such agreements that are commercial contracts not primarily relating to Taxes).</w:t>
      </w:r>
    </w:p>
    <w:p>
      <w:pPr>
        <w:spacing w:after="0" w:line="144" w:lineRule="exact"/>
        <w:rPr>
          <w:rFonts w:ascii="Times New Roman" w:cs="Times New Roman" w:eastAsia="Times New Roman" w:hAnsi="Times New Roman"/>
          <w:sz w:val="17"/>
          <w:szCs w:val="17"/>
          <w:color w:val="auto"/>
        </w:rPr>
      </w:pPr>
    </w:p>
    <w:p>
      <w:pPr>
        <w:jc w:val="both"/>
        <w:ind w:firstLine="2246"/>
        <w:spacing w:after="0" w:line="265" w:lineRule="auto"/>
        <w:tabs>
          <w:tab w:leader="none" w:pos="2598"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DXL and the DXL Subsidiaries have complied in all material respects with respect to all applicable Laws relating to the reporting and payment of amounts relating to escheat or abandoned or unclaimed property obligations or similar Laws and have no liability pursuant to any such Laws.</w:t>
      </w:r>
    </w:p>
    <w:p>
      <w:pPr>
        <w:spacing w:after="0" w:line="144" w:lineRule="exact"/>
        <w:rPr>
          <w:rFonts w:ascii="Times New Roman" w:cs="Times New Roman" w:eastAsia="Times New Roman" w:hAnsi="Times New Roman"/>
          <w:sz w:val="17"/>
          <w:szCs w:val="17"/>
          <w:color w:val="auto"/>
        </w:rPr>
      </w:pPr>
    </w:p>
    <w:p>
      <w:pPr>
        <w:ind w:left="2600" w:hanging="354"/>
        <w:spacing w:after="0"/>
        <w:tabs>
          <w:tab w:leader="none" w:pos="26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DXL is classified as a corporation for U.S. federal income tax purposes.</w:t>
      </w:r>
    </w:p>
    <w:p>
      <w:pPr>
        <w:spacing w:after="0" w:line="194" w:lineRule="exact"/>
        <w:rPr>
          <w:rFonts w:ascii="Times New Roman" w:cs="Times New Roman" w:eastAsia="Times New Roman" w:hAnsi="Times New Roman"/>
          <w:sz w:val="17"/>
          <w:szCs w:val="17"/>
          <w:color w:val="auto"/>
        </w:rPr>
      </w:pPr>
    </w:p>
    <w:p>
      <w:pPr>
        <w:ind w:right="20" w:firstLine="2246"/>
        <w:spacing w:after="0" w:line="284" w:lineRule="auto"/>
        <w:tabs>
          <w:tab w:leader="none" w:pos="2598"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DXL nor the DXL Subsidiaries has taken or agreed to take any action or believes or has any reason to believe that any conditions exist that could prevent or impede the Merger from qualifying for the Intended Tax Treatment.</w:t>
      </w:r>
    </w:p>
    <w:p>
      <w:pPr>
        <w:spacing w:after="0" w:line="127" w:lineRule="exact"/>
        <w:rPr>
          <w:sz w:val="20"/>
          <w:szCs w:val="20"/>
          <w:color w:val="auto"/>
        </w:rPr>
      </w:pPr>
    </w:p>
    <w:p>
      <w:pPr>
        <w:ind w:left="1220"/>
        <w:spacing w:after="0"/>
        <w:tabs>
          <w:tab w:leader="none" w:pos="2580" w:val="left"/>
        </w:tabs>
        <w:rPr>
          <w:sz w:val="20"/>
          <w:szCs w:val="20"/>
          <w:color w:val="auto"/>
        </w:rPr>
      </w:pPr>
      <w:r>
        <w:rPr>
          <w:rFonts w:ascii="Times New Roman" w:cs="Times New Roman" w:eastAsia="Times New Roman" w:hAnsi="Times New Roman"/>
          <w:sz w:val="17"/>
          <w:szCs w:val="17"/>
          <w:b w:val="1"/>
          <w:bCs w:val="1"/>
          <w:u w:val="single" w:color="auto"/>
          <w:color w:val="auto"/>
        </w:rPr>
        <w:t>SECTION 3.11</w:t>
      </w:r>
      <w:r>
        <w:rPr>
          <w:sz w:val="20"/>
          <w:szCs w:val="20"/>
          <w:color w:val="auto"/>
        </w:rPr>
        <w:tab/>
      </w:r>
      <w:r>
        <w:rPr>
          <w:rFonts w:ascii="Times New Roman" w:cs="Times New Roman" w:eastAsia="Times New Roman" w:hAnsi="Times New Roman"/>
          <w:sz w:val="17"/>
          <w:szCs w:val="17"/>
          <w:b w:val="1"/>
          <w:bCs w:val="1"/>
          <w:u w:val="single" w:color="auto"/>
          <w:color w:val="auto"/>
        </w:rPr>
        <w:t>Employee Benefit Plans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23" w:name="page24"/>
    <w:bookmarkEnd w:id="23"/>
    <w:p>
      <w:pPr>
        <w:jc w:val="both"/>
        <w:ind w:left="5" w:firstLine="1496"/>
        <w:spacing w:after="0" w:line="250" w:lineRule="auto"/>
        <w:tabs>
          <w:tab w:leader="none" w:pos="1853"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this Agreement, “</w:t>
      </w:r>
      <w:r>
        <w:rPr>
          <w:rFonts w:ascii="Times New Roman" w:cs="Times New Roman" w:eastAsia="Times New Roman" w:hAnsi="Times New Roman"/>
          <w:sz w:val="17"/>
          <w:szCs w:val="17"/>
          <w:u w:val="single" w:color="auto"/>
          <w:color w:val="auto"/>
        </w:rPr>
        <w:t>DXL Benefit Plan</w:t>
      </w:r>
      <w:r>
        <w:rPr>
          <w:rFonts w:ascii="Times New Roman" w:cs="Times New Roman" w:eastAsia="Times New Roman" w:hAnsi="Times New Roman"/>
          <w:sz w:val="17"/>
          <w:szCs w:val="17"/>
          <w:color w:val="auto"/>
        </w:rPr>
        <w:t>” shall mean each benefit or compensation plan, arrangement, agreement, policy or program, including any “employee welfare plan” within the meaning of Section 3(1) of the Employee Retirement Income Security Act of 1974 (“</w:t>
      </w:r>
      <w:r>
        <w:rPr>
          <w:rFonts w:ascii="Times New Roman" w:cs="Times New Roman" w:eastAsia="Times New Roman" w:hAnsi="Times New Roman"/>
          <w:sz w:val="17"/>
          <w:szCs w:val="17"/>
          <w:u w:val="single" w:color="auto"/>
          <w:color w:val="auto"/>
        </w:rPr>
        <w:t>ERISA</w:t>
      </w:r>
      <w:r>
        <w:rPr>
          <w:rFonts w:ascii="Times New Roman" w:cs="Times New Roman" w:eastAsia="Times New Roman" w:hAnsi="Times New Roman"/>
          <w:sz w:val="17"/>
          <w:szCs w:val="17"/>
          <w:color w:val="auto"/>
        </w:rPr>
        <w:t>”), whether or not subject to ERISA, any “employee pension benefit plan” within the meaning of Section 3(2) of ERISA, whether or not subject to ERISA, and any bonus, incentive, deferred compensation, vacation, stock purchase, stock option, severance, employment, retention, salary continuation, change of control, retirement, pension, profit sharing or fringe benefit plan, or program, of any kind (whether written or oral, tax-qualified or non-tax qualified, funded or unfunded, foreign or domestic, active, frozen or terminated), that is sponsored, maintained or contributed to by DXL (or required to be maintained or contributed to by DXL) for the benefit of current or former directors, officers or employees of, or consultants to, DXL or with respect to which DXL, directly or indirectly, has any</w:t>
      </w:r>
    </w:p>
    <w:p>
      <w:pPr>
        <w:spacing w:after="0" w:line="1" w:lineRule="exact"/>
        <w:rPr>
          <w:rFonts w:ascii="Times New Roman" w:cs="Times New Roman" w:eastAsia="Times New Roman" w:hAnsi="Times New Roman"/>
          <w:sz w:val="17"/>
          <w:szCs w:val="17"/>
          <w:color w:val="auto"/>
        </w:rPr>
      </w:pPr>
    </w:p>
    <w:p>
      <w:pPr>
        <w:jc w:val="both"/>
        <w:ind w:left="5" w:right="20"/>
        <w:spacing w:after="0" w:line="24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liability, excluding, in each case, any “multiemployer plan” within the meaning of Section 4001(a)(3) of ERISA (a “</w:t>
      </w:r>
      <w:r>
        <w:rPr>
          <w:rFonts w:ascii="Times New Roman" w:cs="Times New Roman" w:eastAsia="Times New Roman" w:hAnsi="Times New Roman"/>
          <w:sz w:val="17"/>
          <w:szCs w:val="17"/>
          <w:u w:val="single" w:color="auto"/>
          <w:color w:val="auto"/>
        </w:rPr>
        <w:t>Multiemployer Plan</w:t>
      </w:r>
      <w:r>
        <w:rPr>
          <w:rFonts w:ascii="Times New Roman" w:cs="Times New Roman" w:eastAsia="Times New Roman" w:hAnsi="Times New Roman"/>
          <w:sz w:val="17"/>
          <w:szCs w:val="17"/>
          <w:color w:val="auto"/>
        </w:rPr>
        <w:t>”). Section‎ 3.11(a) of the DXL Disclosure Schedule contains a true and complete list of each material DXL Benefit Plan; provided, for the avoidance of doubt, that the following need not</w:t>
      </w:r>
    </w:p>
    <w:p>
      <w:pPr>
        <w:spacing w:after="0" w:line="1" w:lineRule="exact"/>
        <w:rPr>
          <w:rFonts w:ascii="Times New Roman" w:cs="Times New Roman" w:eastAsia="Times New Roman" w:hAnsi="Times New Roman"/>
          <w:sz w:val="17"/>
          <w:szCs w:val="17"/>
          <w:color w:val="auto"/>
        </w:rPr>
      </w:pPr>
    </w:p>
    <w:p>
      <w:pPr>
        <w:jc w:val="both"/>
        <w:ind w:left="5" w:right="20"/>
        <w:spacing w:after="0" w:line="24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set forth on Section‎ 3.11(a) of the DXL Disclosure Schedule: (i) any employment agreement, equity plan or award, or other DXL Benefit Plan in each case which is disclosed and filed with the SEC and (ii) any plan or arrangement sponsored or maintained by a Governmental Entity or required to be provided to a service provider pursuant to applicable Law. With respect to each DXL Benefit Plan, DXL has provided or made available to FBB true and complete copies of:</w:t>
      </w:r>
    </w:p>
    <w:p>
      <w:pPr>
        <w:spacing w:after="0" w:line="2" w:lineRule="exact"/>
        <w:rPr>
          <w:rFonts w:ascii="Times New Roman" w:cs="Times New Roman" w:eastAsia="Times New Roman" w:hAnsi="Times New Roman"/>
          <w:sz w:val="17"/>
          <w:szCs w:val="17"/>
          <w:color w:val="auto"/>
        </w:rPr>
      </w:pPr>
    </w:p>
    <w:p>
      <w:pPr>
        <w:jc w:val="both"/>
        <w:ind w:left="5" w:hanging="5"/>
        <w:spacing w:after="0" w:line="249" w:lineRule="auto"/>
        <w:tabs>
          <w:tab w:leader="none" w:pos="25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DXL Benefit Plan, if written, or a description of such DXL Benefit Plan, if not written and (y) to the extent applicable to such DXL Benefit Plan: (i) all trust agreements, insurance contracts or other funding arrangements; (ii) the most recent Form 5500 (including all schedules thereto) required to have been filed with the Department of Labor and all schedules thereto; (iii) the most recent IRS determination, advisory or opinion letter; (iv) the most recent summary plan descriptions; (v) all material non-routine communications to or from any Governmental Entity related to any DXL Benefit Plan (including a written description of any oral communication) within the last calendar year, or for any matter that remains unresolved as of the date hereof; and (vi) all amendments and modifications to any such document.</w:t>
      </w:r>
    </w:p>
    <w:p>
      <w:pPr>
        <w:spacing w:after="0" w:line="158" w:lineRule="exact"/>
        <w:rPr>
          <w:rFonts w:ascii="Times New Roman" w:cs="Times New Roman" w:eastAsia="Times New Roman" w:hAnsi="Times New Roman"/>
          <w:sz w:val="17"/>
          <w:szCs w:val="17"/>
          <w:color w:val="auto"/>
        </w:rPr>
      </w:pPr>
    </w:p>
    <w:p>
      <w:pPr>
        <w:jc w:val="both"/>
        <w:ind w:left="5" w:firstLine="1496"/>
        <w:spacing w:after="0" w:line="249" w:lineRule="auto"/>
        <w:tabs>
          <w:tab w:leader="none" w:pos="1853"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has not had and would not reasonably be expected to have, individually or in the aggregate, a Material Adverse Effect on DXL, (i) each DXL Benefit Plan is in compliance with all applicable Laws, including ERISA, the Code, and the terms of such DXL Benefit Plan; (ii) each DXL Benefit Plan that is intended to be “qualified” within the meaning of Section 401(a) of the Code has received a favorable determination, advisory or opinion letter from the Internal Revenue Service, or with respect to a pre-approved plan, can rely on an advisory or opinion letter from the Internal Revenue Service to the pre-approved plan sponsor, to the effect that such DXL Benefit Plan is so qualified with respect to its form and that the plan and the trust related thereto qualify in form to be exempt from federal income Taxes under Sections 401(a) and 501(a), respectively, of the Code, no such determination, advisory or opinion letter has been revoked, no revocation has been threatened and DXL is aware of no event occurring after the date of such determination that could reasonably be expected to cause the revocation of such letter or result in the loss of such qualification; (iii) no condition exists that is reasonably likely to subject DXL or any DXL ERISA Affiliate to any direct or indirect liability under Title IV of ERISA or to a civil penalty under Section 502(j) of ERISA or liability under Section 4069 of ERISA or Section 4975, 4976, or 4980B of the Code or other liability with respect to the DXL Benefit Plans; (iv) there are no pending or, to DXL’s Knowledge, threatened claims (other than routine claims for benefits) by, on behalf of or against any of the DXL Benefit Plans or any trusts related thereto; (v) no DXL Benefit Plan is, or within the last three (3) years has been, the subject of an examination or audit by a Governmental Entity and to DXL’s Knowledge, no fact or event exists or could reasonably be expected to give rise to any such investigation, audit or other administrative proceeding with respect to a DXL Benefit Plan; and (vi) all contributions, premiums and other similar payments to, and payments from, the DXL Benefit Plans which are required to have been made by DXL or any of its Subsidiaries with respect to any period ending on or before the Closing Date, in accordance with the DXL Benefit Plans, have been timely made or accrued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6182995</wp:posOffset>
            </wp:positionH>
            <wp:positionV relativeFrom="paragraph">
              <wp:posOffset>-3337560</wp:posOffset>
            </wp:positionV>
            <wp:extent cx="672465"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2465" cy="7620"/>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-3082290</wp:posOffset>
            </wp:positionV>
            <wp:extent cx="680085"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008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54" w:right="319" w:bottom="1440" w:gutter="0" w:footer="0" w:header="0"/>
        </w:sectPr>
      </w:pPr>
    </w:p>
    <w:bookmarkStart w:id="24" w:name="page25"/>
    <w:bookmarkEnd w:id="24"/>
    <w:p>
      <w:pPr>
        <w:jc w:val="both"/>
        <w:ind w:left="5" w:firstLine="1496"/>
        <w:spacing w:after="0" w:line="259" w:lineRule="auto"/>
        <w:tabs>
          <w:tab w:leader="none" w:pos="1853"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DXL nor any DXL ERISA Affiliate has, within the past six (6) years, maintained, sponsored, contributed to, been required to contribute to or has or could reasonably be expected to have any liability with respect to a, (i) “multiemployer plan” as defined in Section 4001(a)(3) of ERISA,</w:t>
      </w:r>
    </w:p>
    <w:p>
      <w:pPr>
        <w:jc w:val="both"/>
        <w:ind w:left="5" w:right="20" w:hanging="5"/>
        <w:spacing w:after="0" w:line="253" w:lineRule="auto"/>
        <w:tabs>
          <w:tab w:leader="none" w:pos="27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“single employer pension plan” as defined in Section 4001(a)(15) of ERISA, (iii) “multiple employer welfare arrangement” as defined in Section 3(40) of ERISA, or (iv) “multiple employer plan” subject to Section 413(c) of the Code. Neither DXL nor any DXL ERISA Affiliate has any current or contingent liability or obligation with respect to any plan that is or was within the past six (6) years subject to Title IV of ERISA or Sections 412 or 430 of the Code.</w:t>
      </w:r>
    </w:p>
    <w:p>
      <w:pPr>
        <w:spacing w:after="0" w:line="154" w:lineRule="exact"/>
        <w:rPr>
          <w:rFonts w:ascii="Times New Roman" w:cs="Times New Roman" w:eastAsia="Times New Roman" w:hAnsi="Times New Roman"/>
          <w:sz w:val="17"/>
          <w:szCs w:val="17"/>
          <w:color w:val="auto"/>
        </w:rPr>
      </w:pPr>
    </w:p>
    <w:p>
      <w:pPr>
        <w:jc w:val="both"/>
        <w:ind w:left="5" w:firstLine="1496"/>
        <w:spacing w:after="0" w:line="256" w:lineRule="auto"/>
        <w:tabs>
          <w:tab w:leader="none" w:pos="1853"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set forth on Section‎ 3.11(d) of the DXL Disclosure Schedule, no DXL Benefit Plan provides, nor does DXL nor any Subsidiary have any obligation to provide, post-termination medical, health, life insurance or other welfare-type benefits for retired, former or current employees or beneficiaries or dependents thereof, including any post-employment or retiree health or welfare benefits, except for continued medical benefit coverage mandated by Part 6 of Subtitle B of Title I of ERISA, required under Section 4980B or as required under state or other applicable continuation coverage law, in each case for which the covered individual pays the full cost of coverage.</w:t>
      </w:r>
    </w:p>
    <w:p>
      <w:pPr>
        <w:spacing w:after="0" w:line="151" w:lineRule="exact"/>
        <w:rPr>
          <w:rFonts w:ascii="Times New Roman" w:cs="Times New Roman" w:eastAsia="Times New Roman" w:hAnsi="Times New Roman"/>
          <w:sz w:val="17"/>
          <w:szCs w:val="17"/>
          <w:color w:val="auto"/>
        </w:rPr>
      </w:pPr>
    </w:p>
    <w:p>
      <w:pPr>
        <w:jc w:val="both"/>
        <w:ind w:left="5" w:firstLine="1496"/>
        <w:spacing w:after="0" w:line="252" w:lineRule="auto"/>
        <w:tabs>
          <w:tab w:leader="none" w:pos="1853"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provided by this Agreement or as set forth on Section‎ 3.11(e) of the DXL Disclosure Schedule, neither the execution and delivery of this Agreement nor the consummation of the Merger or the other Transactions contemplated by this Agreement (either alone or in conjunction with any other event) will (i) result in any payment becoming due to any current or former director, officer or any employee, consultant or individual service provider of DXL or any DXL Subsidiary, including any severance pay, change of control benefit or any other payment from DXL or any FBB Subsidiary, (ii) increase any benefits otherwise payable under any DXL Benefit Plan or materially increase compensation, (iii) result in or cause the vesting, exercisability, acceleration of the time of payment, funding or vesting of any such benefits, or forfeiture of or increase the amount or value of, any compensation or benefits due to any employee, officer, director or consultant, (iv) result in the triggering or imposition of any restrictions or limitations on the rights of DXL to amend, merge or terminate any DXL Benefit Plan or (v) trigger any other obligation under, or result in the breach or violation of, any DXL Benefit Plan.</w:t>
      </w:r>
    </w:p>
    <w:p>
      <w:pPr>
        <w:spacing w:after="0" w:line="155" w:lineRule="exact"/>
        <w:rPr>
          <w:rFonts w:ascii="Times New Roman" w:cs="Times New Roman" w:eastAsia="Times New Roman" w:hAnsi="Times New Roman"/>
          <w:sz w:val="17"/>
          <w:szCs w:val="17"/>
          <w:color w:val="auto"/>
        </w:rPr>
      </w:pPr>
    </w:p>
    <w:p>
      <w:pPr>
        <w:jc w:val="both"/>
        <w:ind w:left="5" w:firstLine="1496"/>
        <w:spacing w:after="0" w:line="259" w:lineRule="auto"/>
        <w:tabs>
          <w:tab w:leader="none" w:pos="1853"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has not had, and would not reasonably be expected to have, individually or in the aggregate, a Material Adverse Effect on DXL, each DXL Benefit Plan that is a “nonqualified deferred compensation plan” (within the meaning of Section 409A of the Code) has been established, operated and maintained in compliance with Section 409A of the Code and any proposed and final guidance promulgated under Section 409A of the Code. No additional Tax under Section 409A(a)(1)(B) of the Code has been incurred by a participant in any such DXL Benefit Plan.</w:t>
      </w:r>
    </w:p>
    <w:p>
      <w:pPr>
        <w:spacing w:after="0" w:line="149" w:lineRule="exact"/>
        <w:rPr>
          <w:rFonts w:ascii="Times New Roman" w:cs="Times New Roman" w:eastAsia="Times New Roman" w:hAnsi="Times New Roman"/>
          <w:sz w:val="17"/>
          <w:szCs w:val="17"/>
          <w:color w:val="auto"/>
        </w:rPr>
      </w:pPr>
    </w:p>
    <w:p>
      <w:pPr>
        <w:ind w:left="5" w:right="40" w:firstLine="1496"/>
        <w:spacing w:after="0" w:line="284" w:lineRule="auto"/>
        <w:tabs>
          <w:tab w:leader="none" w:pos="1853"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DXL nor any DXL Subsidiary is a party to, nor does any of them have any obligation under any DXL Benefit Plan to compensate or otherwise indemnify any Person for any gross-up, make-whole or excise Taxes payable pursuant to Section 409A or Section 4999 of the Code.</w:t>
      </w:r>
    </w:p>
    <w:p>
      <w:pPr>
        <w:spacing w:after="0" w:line="128" w:lineRule="exact"/>
        <w:rPr>
          <w:rFonts w:ascii="Times New Roman" w:cs="Times New Roman" w:eastAsia="Times New Roman" w:hAnsi="Times New Roman"/>
          <w:sz w:val="17"/>
          <w:szCs w:val="17"/>
          <w:color w:val="auto"/>
        </w:rPr>
      </w:pPr>
    </w:p>
    <w:p>
      <w:pPr>
        <w:jc w:val="both"/>
        <w:ind w:left="5" w:right="20" w:firstLine="1496"/>
        <w:spacing w:after="0" w:line="255" w:lineRule="auto"/>
        <w:tabs>
          <w:tab w:leader="none" w:pos="1853"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payment or benefit, individually or together with any other payment or benefit, that could be received (whether in cash, property or the vesting of property), as a result of the Transactions, either alone or in combination with another event, by any current or former employee or natural person independent contractor of DXL would not be deductible by reason of Section 280G of the Code or would be subject to an excise tax under Section 4999 or the Code. Neither DXL nor any DXL Subsidiary has any legally binding plan or commitment to create any additional DXL Benefit Plan or to modify or change any existing DXL Benefit Plan that would be reasonably expected to result in material liabilities to DXL or any DXL Subsidiary, except as may be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-3446780</wp:posOffset>
            </wp:positionV>
            <wp:extent cx="69342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3420" cy="7620"/>
                    </a:xfrm>
                    <a:prstGeom prst="rect">
                      <a:avLst/>
                    </a:prstGeom>
                    <a:noFill/>
                  </pic:spPr>
                </pic:pic>
              </a:graphicData>
            </a:graphic>
          </wp:anchor>
        </w:drawing>
        <w:drawing>
          <wp:anchor simplePos="0" relativeHeight="251657728" behindDoc="1" locked="0" layoutInCell="0" allowOverlap="1">
            <wp:simplePos x="0" y="0"/>
            <wp:positionH relativeFrom="column">
              <wp:posOffset>3757295</wp:posOffset>
            </wp:positionH>
            <wp:positionV relativeFrom="paragraph">
              <wp:posOffset>-2688590</wp:posOffset>
            </wp:positionV>
            <wp:extent cx="643255"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432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54" w:right="319" w:bottom="1440" w:gutter="0" w:footer="0" w:header="0"/>
        </w:sectPr>
      </w:pPr>
    </w:p>
    <w:bookmarkStart w:id="25" w:name="page26"/>
    <w:bookmarkEnd w:id="25"/>
    <w:p>
      <w:pPr>
        <w:jc w:val="both"/>
        <w:ind w:firstLine="1496"/>
        <w:spacing w:after="0" w:line="253" w:lineRule="auto"/>
        <w:tabs>
          <w:tab w:leader="none" w:pos="1848"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Multiemployer Plan maintained, sponsored or contributed to, or required to be contributed to, by DXL, any DXL Subsidiary or any DXL ERISA Affiliate (a “</w:t>
      </w:r>
      <w:r>
        <w:rPr>
          <w:rFonts w:ascii="Times New Roman" w:cs="Times New Roman" w:eastAsia="Times New Roman" w:hAnsi="Times New Roman"/>
          <w:sz w:val="17"/>
          <w:szCs w:val="17"/>
          <w:u w:val="single" w:color="auto"/>
          <w:color w:val="auto"/>
        </w:rPr>
        <w:t>DXL Multiemployer Plan</w:t>
      </w:r>
      <w:r>
        <w:rPr>
          <w:rFonts w:ascii="Times New Roman" w:cs="Times New Roman" w:eastAsia="Times New Roman" w:hAnsi="Times New Roman"/>
          <w:sz w:val="17"/>
          <w:szCs w:val="17"/>
          <w:color w:val="auto"/>
        </w:rPr>
        <w:t xml:space="preserve">”), as of the date of this Agreement, is listed in </w:t>
      </w:r>
      <w:r>
        <w:rPr>
          <w:rFonts w:ascii="Times New Roman" w:cs="Times New Roman" w:eastAsia="Times New Roman" w:hAnsi="Times New Roman"/>
          <w:sz w:val="17"/>
          <w:szCs w:val="17"/>
          <w:u w:val="single" w:color="auto"/>
          <w:color w:val="auto"/>
        </w:rPr>
        <w:t>Section 3.11(i)</w:t>
      </w:r>
      <w:r>
        <w:rPr>
          <w:rFonts w:ascii="Times New Roman" w:cs="Times New Roman" w:eastAsia="Times New Roman" w:hAnsi="Times New Roman"/>
          <w:sz w:val="17"/>
          <w:szCs w:val="17"/>
          <w:color w:val="auto"/>
        </w:rPr>
        <w:t xml:space="preserve"> of the DXL Disclosure Schedule. With respect to any DXL Multiemployer Plan, neither DXL nor any DXL ERISA Affiliate has incurred any withdrawal liability under Title IV of ERISA which remains unsatisfied, except as, individually or in the aggregate, has not had and would not reasonably be expected to have a Material Adverse Effect on DXL. With respect to each DXL Multiemployer Plan, neither DXL nor any DXL Subsidiary or DXL ERISA Affiliate has been informed of: (i) any prohibited transaction (as defined in Section 4975 of the Code or Section 406 of ERISA); (ii) any fact that would adversely affect the tax qualified status of such DXL Multiemployer Plan; or (iii) any completed or partial termination (whether by mass withdrawal or otherwise).</w:t>
      </w:r>
    </w:p>
    <w:p>
      <w:pPr>
        <w:spacing w:after="0" w:line="154" w:lineRule="exact"/>
        <w:rPr>
          <w:rFonts w:ascii="Times New Roman" w:cs="Times New Roman" w:eastAsia="Times New Roman" w:hAnsi="Times New Roman"/>
          <w:sz w:val="17"/>
          <w:szCs w:val="17"/>
          <w:color w:val="auto"/>
        </w:rPr>
      </w:pPr>
    </w:p>
    <w:p>
      <w:pPr>
        <w:jc w:val="both"/>
        <w:ind w:right="20" w:firstLine="1496"/>
        <w:spacing w:after="0" w:line="259" w:lineRule="auto"/>
        <w:tabs>
          <w:tab w:leader="none" w:pos="1848"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contributions required to be made by DXL or any DXL Subsidiary under each DXL Multiemployer Plan have been timely made and all obligations in respect of each DXL Multiemployer Plan have been properly accrued and reflected in the most recent consolidated balance sheet filed or incorporated by reference in the DXL SEC Reports, except as, individually or in the aggregate, has not had and would not reasonably be expected to have a Material Adverse Effect on FBB.</w:t>
      </w:r>
    </w:p>
    <w:p>
      <w:pPr>
        <w:spacing w:after="0" w:line="148" w:lineRule="exact"/>
        <w:rPr>
          <w:sz w:val="20"/>
          <w:szCs w:val="20"/>
          <w:color w:val="auto"/>
        </w:rPr>
      </w:pPr>
    </w:p>
    <w:p>
      <w:pPr>
        <w:ind w:left="1220"/>
        <w:spacing w:after="0"/>
        <w:tabs>
          <w:tab w:leader="none" w:pos="2580" w:val="left"/>
        </w:tabs>
        <w:rPr>
          <w:sz w:val="20"/>
          <w:szCs w:val="20"/>
          <w:color w:val="auto"/>
        </w:rPr>
      </w:pPr>
      <w:r>
        <w:rPr>
          <w:rFonts w:ascii="Times New Roman" w:cs="Times New Roman" w:eastAsia="Times New Roman" w:hAnsi="Times New Roman"/>
          <w:sz w:val="17"/>
          <w:szCs w:val="17"/>
          <w:b w:val="1"/>
          <w:bCs w:val="1"/>
          <w:u w:val="single" w:color="auto"/>
          <w:color w:val="auto"/>
        </w:rPr>
        <w:t>SECTION 3.12</w:t>
      </w:r>
      <w:r>
        <w:rPr>
          <w:sz w:val="20"/>
          <w:szCs w:val="20"/>
          <w:color w:val="auto"/>
        </w:rPr>
        <w:tab/>
      </w:r>
      <w:r>
        <w:rPr>
          <w:rFonts w:ascii="Times New Roman" w:cs="Times New Roman" w:eastAsia="Times New Roman" w:hAnsi="Times New Roman"/>
          <w:sz w:val="17"/>
          <w:szCs w:val="17"/>
          <w:b w:val="1"/>
          <w:bCs w:val="1"/>
          <w:u w:val="single" w:color="auto"/>
          <w:color w:val="auto"/>
        </w:rPr>
        <w:t>Labor and Employment</w:t>
      </w:r>
      <w:r>
        <w:rPr>
          <w:rFonts w:ascii="Times New Roman" w:cs="Times New Roman" w:eastAsia="Times New Roman" w:hAnsi="Times New Roman"/>
          <w:sz w:val="17"/>
          <w:szCs w:val="17"/>
          <w:color w:val="auto"/>
        </w:rPr>
        <w:t>.</w:t>
      </w:r>
    </w:p>
    <w:p>
      <w:pPr>
        <w:spacing w:after="0" w:line="197" w:lineRule="exact"/>
        <w:rPr>
          <w:sz w:val="20"/>
          <w:szCs w:val="20"/>
          <w:color w:val="auto"/>
        </w:rPr>
      </w:pPr>
    </w:p>
    <w:p>
      <w:pPr>
        <w:jc w:val="both"/>
        <w:ind w:firstLine="1496"/>
        <w:spacing w:after="0" w:line="249" w:lineRule="auto"/>
        <w:tabs>
          <w:tab w:leader="none" w:pos="1848"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3.12(a) of the DXL Disclosure Schedule sets forth, as of the close of business on November 26, 2025, a complete and correct list of all current employees of DXL and the DXL Subsidiaries (“</w:t>
      </w:r>
      <w:r>
        <w:rPr>
          <w:rFonts w:ascii="Times New Roman" w:cs="Times New Roman" w:eastAsia="Times New Roman" w:hAnsi="Times New Roman"/>
          <w:sz w:val="17"/>
          <w:szCs w:val="17"/>
          <w:u w:val="single" w:color="auto"/>
          <w:color w:val="auto"/>
        </w:rPr>
        <w:t>DXL Employees</w:t>
      </w:r>
      <w:r>
        <w:rPr>
          <w:rFonts w:ascii="Times New Roman" w:cs="Times New Roman" w:eastAsia="Times New Roman" w:hAnsi="Times New Roman"/>
          <w:sz w:val="17"/>
          <w:szCs w:val="17"/>
          <w:color w:val="auto"/>
        </w:rPr>
        <w:t>”), including their respective titles, whether such employee is classified as exempt or non-exempt pursuant to the Fair Labor Standards Act (“</w:t>
      </w:r>
      <w:r>
        <w:rPr>
          <w:rFonts w:ascii="Times New Roman" w:cs="Times New Roman" w:eastAsia="Times New Roman" w:hAnsi="Times New Roman"/>
          <w:sz w:val="17"/>
          <w:szCs w:val="17"/>
          <w:u w:val="single" w:color="auto"/>
          <w:color w:val="auto"/>
        </w:rPr>
        <w:t>FLSA</w:t>
      </w:r>
      <w:r>
        <w:rPr>
          <w:rFonts w:ascii="Times New Roman" w:cs="Times New Roman" w:eastAsia="Times New Roman" w:hAnsi="Times New Roman"/>
          <w:sz w:val="17"/>
          <w:szCs w:val="17"/>
          <w:color w:val="auto"/>
        </w:rPr>
        <w:t>”), current compensation (including base salary (if classified as exempt) or hourly wage rate (if classified as non-exempt), current target bonus entitlement and other incentive or contingent compensation), status as full-time or part-time, age, work location, and amount of accrued but unused vacation, and whether such employee is absent from active employment and, if so, the date such employee became inactive, the reason for such inactive status, and, if applicable, the anticipated date of return to active employment. DXL has taken reasonable steps to ensure that all individuals who are or were performing consulting or other services for DXL are or were correctly classified under all applicable Laws by DXL as either “independent contractors” (or comparable status in the case of a non-U.S. entity) or “employees” as the case may be, and, at the Closing Date, with respect to those individuals still performing consulting services for DXL as of the Closing Date, such individuals will qualify for such classification and would not be entitled to the rights of an employee of DXL. DXL has taken reasonable steps to ensure that all individuals who are or were classified as “employees” of DXL are or were correctly classified under all applicable Laws by DXL, as exempt or non-exempt from overtime payments, as the case may be. Except as otherwise required by Law or as expressly contemplated by this Agreement, there is no former director, officer, employee, independent contractor or consultant of DXL who is receiving or is scheduled to receive (or whose spouse or other dependent is receiving or is scheduled to receive) any benefits (from DXL) relating to such former service provider’s relationship with DXL.</w:t>
      </w:r>
    </w:p>
    <w:p>
      <w:pPr>
        <w:spacing w:after="0" w:line="164" w:lineRule="exact"/>
        <w:rPr>
          <w:rFonts w:ascii="Times New Roman" w:cs="Times New Roman" w:eastAsia="Times New Roman" w:hAnsi="Times New Roman"/>
          <w:sz w:val="17"/>
          <w:szCs w:val="17"/>
          <w:color w:val="auto"/>
        </w:rPr>
      </w:pPr>
    </w:p>
    <w:p>
      <w:pPr>
        <w:jc w:val="both"/>
        <w:ind w:right="20" w:firstLine="1496"/>
        <w:spacing w:after="0" w:line="254" w:lineRule="auto"/>
        <w:tabs>
          <w:tab w:leader="none" w:pos="1848"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DXL nor any DXL Subsidiary is party to a collective bargaining agreement, no collective bargaining agreement is presently being negotiated, and no collective bargaining agreement is applicable to any employees of DXL or any DXL Subsidiary. To the Knowledge of DXL, since January 1, 2023, until the date of this Agreement, there are and have been no material labor union organizing activities or representation campaigns of any trade union, council of trade unions, employee bargaining agency or affiliated bargaining agent pending or, threatened with respect to any of the employees of DXL or any DXL Subsidiary. There is no and during the three (3) year period prior to the date hereof there has been no (i) unfair labor practice, labor dispute or labor arbitration proceeding pending or, to DXL’s Knowledge, threatened against or affecting DXL or any DXL Subsidiary or (ii) lockout, strike, slowdown,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1169670</wp:posOffset>
            </wp:positionH>
            <wp:positionV relativeFrom="paragraph">
              <wp:posOffset>-2576830</wp:posOffset>
            </wp:positionV>
            <wp:extent cx="672465"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2465" cy="762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color w:val="auto"/>
        </w:rPr>
        <w:t>work stoppage or, to DXL’s Knowledge, threat thereof by or with respect to any employees of DXL or any DXL Subsidiary.</w:t>
      </w:r>
    </w:p>
    <w:p>
      <w:pPr>
        <w:spacing w:after="0" w:line="195" w:lineRule="exact"/>
        <w:rPr>
          <w:sz w:val="20"/>
          <w:szCs w:val="20"/>
          <w:color w:val="auto"/>
        </w:rPr>
      </w:pPr>
    </w:p>
    <w:p>
      <w:pPr>
        <w:jc w:val="both"/>
        <w:ind w:firstLine="1496"/>
        <w:spacing w:after="0" w:line="256" w:lineRule="auto"/>
        <w:tabs>
          <w:tab w:leader="none" w:pos="1848"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three (3) years prior to the date hereof, neither DXL or any DXL Subsidiary has effectuated (i) a “plant closing” (as defined in the Worker Adjustment and Retraining Notification Act (“</w:t>
      </w:r>
      <w:r>
        <w:rPr>
          <w:rFonts w:ascii="Times New Roman" w:cs="Times New Roman" w:eastAsia="Times New Roman" w:hAnsi="Times New Roman"/>
          <w:sz w:val="17"/>
          <w:szCs w:val="17"/>
          <w:u w:val="single" w:color="auto"/>
          <w:color w:val="auto"/>
        </w:rPr>
        <w:t>WARN</w:t>
      </w:r>
      <w:r>
        <w:rPr>
          <w:rFonts w:ascii="Times New Roman" w:cs="Times New Roman" w:eastAsia="Times New Roman" w:hAnsi="Times New Roman"/>
          <w:sz w:val="17"/>
          <w:szCs w:val="17"/>
          <w:color w:val="auto"/>
        </w:rPr>
        <w:t>”) or any similar applicable law) affecting any site of employment or one or more facilities or operating units within any site of employment or facility of DXL or any DXL Subsidiary, or (ii) a “mass layoff” or collective dismissal (as defined in WARN, or any similar applicable law) affecting any site of employment or facility of DXL or any DXL Subsidiary. Neither DXL or any DXL Subsidiary has incurred any liability or obligation under WARN or any similar state, local or foreign Law that remains unsatisfied.</w:t>
      </w:r>
    </w:p>
    <w:p>
      <w:pPr>
        <w:spacing w:after="0" w:line="151" w:lineRule="exact"/>
        <w:rPr>
          <w:rFonts w:ascii="Times New Roman" w:cs="Times New Roman" w:eastAsia="Times New Roman" w:hAnsi="Times New Roman"/>
          <w:sz w:val="17"/>
          <w:szCs w:val="17"/>
          <w:color w:val="auto"/>
        </w:rPr>
      </w:pPr>
    </w:p>
    <w:p>
      <w:pPr>
        <w:jc w:val="both"/>
        <w:ind w:firstLine="1496"/>
        <w:spacing w:after="0" w:line="253" w:lineRule="auto"/>
        <w:tabs>
          <w:tab w:leader="none" w:pos="1848"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has not had and would not reasonably be expected to have, individually or in the aggregate, a Material Adverse Effect on DXL, DXL is, and at all relevant times has been, in compliance with all applicable Laws and orders with respect to labor relations, employment and employment practices, including occupational safety and health standards, terms and conditions of employment or services, payment of wages or other compensation, minimum wages, overtime, classification of employees, employment equality, age discrimination, immigration, visa, work status, human rights, pay equity and workers’ compensation, and is not engaged in any unfair labor practice (“</w:t>
      </w:r>
      <w:r>
        <w:rPr>
          <w:rFonts w:ascii="Times New Roman" w:cs="Times New Roman" w:eastAsia="Times New Roman" w:hAnsi="Times New Roman"/>
          <w:sz w:val="17"/>
          <w:szCs w:val="17"/>
          <w:u w:val="single" w:color="auto"/>
          <w:color w:val="auto"/>
        </w:rPr>
        <w:t>Employment Matters</w:t>
      </w:r>
      <w:r>
        <w:rPr>
          <w:rFonts w:ascii="Times New Roman" w:cs="Times New Roman" w:eastAsia="Times New Roman" w:hAnsi="Times New Roman"/>
          <w:sz w:val="17"/>
          <w:szCs w:val="17"/>
          <w:color w:val="auto"/>
        </w:rPr>
        <w:t>”). The employment or services of each former employee, consultant or contractor of DXL was terminated in material compliance with all applicable Laws, and DXL does not have, and would not reasonably be expected to have, any liability with respect to any such former employees, consultants or contractors for any such termination of employment or services.</w:t>
      </w:r>
    </w:p>
    <w:p>
      <w:pPr>
        <w:spacing w:after="0" w:line="154" w:lineRule="exact"/>
        <w:rPr>
          <w:rFonts w:ascii="Times New Roman" w:cs="Times New Roman" w:eastAsia="Times New Roman" w:hAnsi="Times New Roman"/>
          <w:sz w:val="17"/>
          <w:szCs w:val="17"/>
          <w:color w:val="auto"/>
        </w:rPr>
      </w:pPr>
    </w:p>
    <w:p>
      <w:pPr>
        <w:jc w:val="both"/>
        <w:ind w:right="20" w:firstLine="1496"/>
        <w:spacing w:after="0" w:line="259" w:lineRule="auto"/>
        <w:tabs>
          <w:tab w:leader="none" w:pos="1848"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reasonably be expected to be material to DXL and its Subsidiaries, taken as a whole, there are no, and in the past five years there have been no pending or, to DXL’s Knowledge, threatened lawsuits, arbitrations, administrative charges, controversies, grievances or claims by any employee, independent contractor, former employee, or former independent contractor of DXL or any DXL Subsidiary before the National Labor Relations Board, the Equal Employment Opportunity Commission or any other Governmental Entity or arbitration board or panel relating to any Employment Matters.</w:t>
      </w:r>
    </w:p>
    <w:p>
      <w:pPr>
        <w:spacing w:after="0" w:line="149" w:lineRule="exact"/>
        <w:rPr>
          <w:rFonts w:ascii="Times New Roman" w:cs="Times New Roman" w:eastAsia="Times New Roman" w:hAnsi="Times New Roman"/>
          <w:sz w:val="17"/>
          <w:szCs w:val="17"/>
          <w:color w:val="auto"/>
        </w:rPr>
      </w:pPr>
    </w:p>
    <w:p>
      <w:pPr>
        <w:ind w:right="20" w:firstLine="1496"/>
        <w:spacing w:after="0" w:line="284" w:lineRule="auto"/>
        <w:tabs>
          <w:tab w:leader="none" w:pos="1848"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DXL’s Knowledge, no employee at or above the level of Vice President has informed DXL or any DXL Subsidiary, either orally or in writing, of any plans to terminate their employment or relationship with DXL or any DXL Subsidiary generally or as a result of the Transactions or otherwise.</w:t>
      </w:r>
    </w:p>
    <w:p>
      <w:pPr>
        <w:spacing w:after="0" w:line="128" w:lineRule="exact"/>
        <w:rPr>
          <w:rFonts w:ascii="Times New Roman" w:cs="Times New Roman" w:eastAsia="Times New Roman" w:hAnsi="Times New Roman"/>
          <w:sz w:val="17"/>
          <w:szCs w:val="17"/>
          <w:color w:val="auto"/>
        </w:rPr>
      </w:pPr>
    </w:p>
    <w:p>
      <w:pPr>
        <w:jc w:val="both"/>
        <w:ind w:firstLine="1496"/>
        <w:spacing w:after="0" w:line="253" w:lineRule="auto"/>
        <w:tabs>
          <w:tab w:leader="none" w:pos="1848"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employee of DXL and each DXL Subsidiary is (i) a United States citizen, (ii) a United States national, (iii) a lawful permanent resident of the United States, or (iv) an alien authorized to work in the United States specifically for DXL or any DXL Subsidiary or for any United States employer. DXL and each DXL Subsidiary have completed a Form I-9 (Employment Eligibility Verification) for each employee, and each Form I-9 has since been updated, in each case, as required by applicable Law and is correct and complete. For each employee of DXL and each DXL Subsidiary employed in the United States, an authorized official of the company has reviewed the original documentation relating to the identity and employment authorization of such employee in compliance with applicable Laws and such documentation appeared, to such official, to be genuine on its face and to relate to the employee presenting such documentation.</w:t>
      </w:r>
    </w:p>
    <w:p>
      <w:pPr>
        <w:spacing w:after="0" w:line="358" w:lineRule="exact"/>
        <w:rPr>
          <w:sz w:val="20"/>
          <w:szCs w:val="20"/>
          <w:color w:val="auto"/>
        </w:rPr>
      </w:pPr>
    </w:p>
    <w:p>
      <w:pPr>
        <w:jc w:val="both"/>
        <w:ind w:right="20" w:firstLine="1220"/>
        <w:spacing w:after="0" w:line="267" w:lineRule="auto"/>
        <w:rPr>
          <w:sz w:val="20"/>
          <w:szCs w:val="20"/>
          <w:color w:val="auto"/>
        </w:rPr>
      </w:pPr>
      <w:r>
        <w:rPr>
          <w:rFonts w:ascii="Times New Roman" w:cs="Times New Roman" w:eastAsia="Times New Roman" w:hAnsi="Times New Roman"/>
          <w:sz w:val="17"/>
          <w:szCs w:val="17"/>
          <w:b w:val="1"/>
          <w:bCs w:val="1"/>
          <w:u w:val="single" w:color="auto"/>
          <w:color w:val="auto"/>
        </w:rPr>
        <w:t>SECTION 3.13 Internal Control</w:t>
      </w:r>
      <w:r>
        <w:rPr>
          <w:rFonts w:ascii="Times New Roman" w:cs="Times New Roman" w:eastAsia="Times New Roman" w:hAnsi="Times New Roman"/>
          <w:sz w:val="17"/>
          <w:szCs w:val="17"/>
          <w:color w:val="auto"/>
        </w:rPr>
        <w:t>. Except as would not reasonably be expected to be material to DXL and its Subsidiaries, taken as a whole,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DXL has designed and maintains a system of internal control over financial reporting (as defined in Rules 13a-15(f) and 15d-15(f) of the Exchange Act) sufficient to provide reasonable assurances regarding the reliability of financial reporting and the preparation of</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27" w:name="page28"/>
    <w:bookmarkEnd w:id="27"/>
    <w:p>
      <w:pPr>
        <w:jc w:val="both"/>
        <w:spacing w:after="0" w:line="249" w:lineRule="auto"/>
        <w:rPr>
          <w:sz w:val="20"/>
          <w:szCs w:val="20"/>
          <w:color w:val="auto"/>
        </w:rPr>
      </w:pPr>
      <w:r>
        <w:rPr>
          <w:rFonts w:ascii="Times New Roman" w:cs="Times New Roman" w:eastAsia="Times New Roman" w:hAnsi="Times New Roman"/>
          <w:sz w:val="17"/>
          <w:szCs w:val="17"/>
          <w:color w:val="auto"/>
        </w:rPr>
        <w:t xml:space="preserve">financial statements for external purposes in accordance with GAAP, and includes those policies and procedures that (i) pertain to the maintenance of records that in reasonable detail accurately and fairly reflect the transactions and dispositions of DXL’s assets; (ii) provide reasonable assurance that transactions are recorded as necessary to permit preparation of financial statements in accordance with GAAP, and that DXL’s receipts and expenditures are being made only in accordance with authorizations of DXL’s management and directors; and (iii) provide reasonable assurance regarding prevention or timely detection of unauthorized acquisition, use or disposition of DXL’s assets that could have a material effect on DXL’s financial statements. Except as would not reasonably be expected to be material to DXL and its Subsidiaries, taken as a whole, DXL (a) has designed and maintains disclosure controls and procedures (as defined in Rules 13a-15(e) and 15d-15(e) of the Exchange Act) to ensure that all information required to be disclosed by DXL in the reports that it will file or submit under the Exchange Act is recorded, processed, summarized and reported within the time periods specified in the SEC’s rules and forms and is accumulated and communicated to DXL’s management as appropriate to allow timely decisions regarding required disclosure and (b) has disclosed, based on its most recent evaluation of its disclosure controls and procedures and internal control over financial reporting prior to the date of this Agreement, to DXL’s auditors and the board of directors of DXL (i) any significant deficiencies and material weaknesses in the design or operation of internal control over financial reporting that are reasonably likely to adversely affect in any material respect DXL’s ability to record, process, summarize and report financial information and (ii) any fraud, whether or not material, that involves management or other employees who have a significant role in DXL’s internal control over financial reporting. Since February 1, 2025, none of DXL, DXL’s auditors, the DXL Board or the audit committee of the DXL Board has received any oral or written notification of any matter set forth in the preceding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w:t>
      </w:r>
    </w:p>
    <w:p>
      <w:pPr>
        <w:spacing w:after="0" w:line="364" w:lineRule="exact"/>
        <w:rPr>
          <w:sz w:val="20"/>
          <w:szCs w:val="20"/>
          <w:color w:val="auto"/>
        </w:rPr>
      </w:pPr>
    </w:p>
    <w:p>
      <w:pPr>
        <w:ind w:left="1220"/>
        <w:spacing w:after="0"/>
        <w:tabs>
          <w:tab w:leader="none" w:pos="2580" w:val="left"/>
        </w:tabs>
        <w:rPr>
          <w:sz w:val="20"/>
          <w:szCs w:val="20"/>
          <w:color w:val="auto"/>
        </w:rPr>
      </w:pPr>
      <w:r>
        <w:rPr>
          <w:rFonts w:ascii="Times New Roman" w:cs="Times New Roman" w:eastAsia="Times New Roman" w:hAnsi="Times New Roman"/>
          <w:sz w:val="17"/>
          <w:szCs w:val="17"/>
          <w:b w:val="1"/>
          <w:bCs w:val="1"/>
          <w:u w:val="single" w:color="auto"/>
          <w:color w:val="auto"/>
        </w:rPr>
        <w:t>SECTION 3.14</w:t>
      </w:r>
      <w:r>
        <w:rPr>
          <w:sz w:val="20"/>
          <w:szCs w:val="20"/>
          <w:color w:val="auto"/>
        </w:rPr>
        <w:tab/>
      </w:r>
      <w:r>
        <w:rPr>
          <w:rFonts w:ascii="Times New Roman" w:cs="Times New Roman" w:eastAsia="Times New Roman" w:hAnsi="Times New Roman"/>
          <w:sz w:val="17"/>
          <w:szCs w:val="17"/>
          <w:b w:val="1"/>
          <w:bCs w:val="1"/>
          <w:u w:val="single" w:color="auto"/>
          <w:color w:val="auto"/>
        </w:rPr>
        <w:t>Compliance with Laws; Licenses</w:t>
      </w:r>
      <w:r>
        <w:rPr>
          <w:rFonts w:ascii="Times New Roman" w:cs="Times New Roman" w:eastAsia="Times New Roman" w:hAnsi="Times New Roman"/>
          <w:sz w:val="17"/>
          <w:szCs w:val="17"/>
          <w:color w:val="auto"/>
        </w:rPr>
        <w:t>.</w:t>
      </w:r>
    </w:p>
    <w:p>
      <w:pPr>
        <w:spacing w:after="0" w:line="197" w:lineRule="exact"/>
        <w:rPr>
          <w:sz w:val="20"/>
          <w:szCs w:val="20"/>
          <w:color w:val="auto"/>
        </w:rPr>
      </w:pPr>
    </w:p>
    <w:p>
      <w:pPr>
        <w:jc w:val="both"/>
        <w:ind w:firstLine="1496"/>
        <w:spacing w:after="0" w:line="250" w:lineRule="auto"/>
        <w:tabs>
          <w:tab w:leader="none" w:pos="1848"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January 29, 2023, except as would not reasonably be expected to be material to DXL and its Subsidiaries, taken as a whole, (i) the businesses of each of DXL and the DXL Subsidiaries have been conducted in compliance with all applicable federal, state, local or foreign laws, statutes, ordinances, rules, regulations, judgments, orders, Injunctions, arbitration awards, agency requirements, licenses and permits of all Governmental Entities (each, a “</w:t>
      </w:r>
      <w:r>
        <w:rPr>
          <w:rFonts w:ascii="Times New Roman" w:cs="Times New Roman" w:eastAsia="Times New Roman" w:hAnsi="Times New Roman"/>
          <w:sz w:val="17"/>
          <w:szCs w:val="17"/>
          <w:u w:val="single" w:color="auto"/>
          <w:color w:val="auto"/>
        </w:rPr>
        <w:t>Law</w:t>
      </w:r>
      <w:r>
        <w:rPr>
          <w:rFonts w:ascii="Times New Roman" w:cs="Times New Roman" w:eastAsia="Times New Roman" w:hAnsi="Times New Roman"/>
          <w:sz w:val="17"/>
          <w:szCs w:val="17"/>
          <w:color w:val="auto"/>
        </w:rPr>
        <w:t>” and collectively, “</w:t>
      </w:r>
      <w:r>
        <w:rPr>
          <w:rFonts w:ascii="Times New Roman" w:cs="Times New Roman" w:eastAsia="Times New Roman" w:hAnsi="Times New Roman"/>
          <w:sz w:val="17"/>
          <w:szCs w:val="17"/>
          <w:u w:val="single" w:color="auto"/>
          <w:color w:val="auto"/>
        </w:rPr>
        <w:t>Laws</w:t>
      </w:r>
      <w:r>
        <w:rPr>
          <w:rFonts w:ascii="Times New Roman" w:cs="Times New Roman" w:eastAsia="Times New Roman" w:hAnsi="Times New Roman"/>
          <w:sz w:val="17"/>
          <w:szCs w:val="17"/>
          <w:color w:val="auto"/>
        </w:rPr>
        <w:t>”) and with all applicable Privacy Laws, posted or internal agreements or policies with respect to customer, user, private or personal data, or data or system privacy or security and (ii) there has been no misuse, unauthorized intrusion, cyberattack or breach of the IT Assets owned or controlled by DXL that has not since been resolved without any ongoing material liability for DXL. No investigation or review by any Governmental Entity with respect to DXL or any of the DXL Subsidiaries is pending or, to DXL’s Knowledge, threatened, nor has any Governmental Entity indicated an intention to conduct the same. As of the date hereof, to the Knowledge of DXL and the DXL Subsidiaries, no condition or state of facts exists that is reasonably likely to give rise to a violation of, or a liability or default under any applicable Law. Each of DXL and the DXL Subsidiaries has all material governmental permits, authorizations, registrations, waivers, licenses, franchises, variances, exemptions and orders issued or granted by a Governmental Entity and all other authorizations, consents, certificates of public convenience and/or necessity and approvals issued or granted by a Governmental Entity (collectively, “</w:t>
      </w:r>
      <w:r>
        <w:rPr>
          <w:rFonts w:ascii="Times New Roman" w:cs="Times New Roman" w:eastAsia="Times New Roman" w:hAnsi="Times New Roman"/>
          <w:sz w:val="17"/>
          <w:szCs w:val="17"/>
          <w:u w:val="single" w:color="auto"/>
          <w:color w:val="auto"/>
        </w:rPr>
        <w:t>Licenses</w:t>
      </w:r>
      <w:r>
        <w:rPr>
          <w:rFonts w:ascii="Times New Roman" w:cs="Times New Roman" w:eastAsia="Times New Roman" w:hAnsi="Times New Roman"/>
          <w:sz w:val="17"/>
          <w:szCs w:val="17"/>
          <w:color w:val="auto"/>
        </w:rPr>
        <w:t>” and the terms “</w:t>
      </w:r>
      <w:r>
        <w:rPr>
          <w:rFonts w:ascii="Times New Roman" w:cs="Times New Roman" w:eastAsia="Times New Roman" w:hAnsi="Times New Roman"/>
          <w:sz w:val="17"/>
          <w:szCs w:val="17"/>
          <w:u w:val="single" w:color="auto"/>
          <w:color w:val="auto"/>
        </w:rPr>
        <w:t>DXL Licenses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FBB Licenses</w:t>
      </w:r>
      <w:r>
        <w:rPr>
          <w:rFonts w:ascii="Times New Roman" w:cs="Times New Roman" w:eastAsia="Times New Roman" w:hAnsi="Times New Roman"/>
          <w:sz w:val="17"/>
          <w:szCs w:val="17"/>
          <w:color w:val="auto"/>
        </w:rPr>
        <w:t>” will mean Licenses of DXL or any of the DXL Subsidiaries or FBB, respectively) necessary to conduct its business as presently conducted.</w:t>
      </w:r>
    </w:p>
    <w:p>
      <w:pPr>
        <w:spacing w:after="0" w:line="359" w:lineRule="exact"/>
        <w:rPr>
          <w:rFonts w:ascii="Times New Roman" w:cs="Times New Roman" w:eastAsia="Times New Roman" w:hAnsi="Times New Roman"/>
          <w:sz w:val="17"/>
          <w:szCs w:val="17"/>
          <w:color w:val="auto"/>
        </w:rPr>
      </w:pPr>
    </w:p>
    <w:p>
      <w:pPr>
        <w:jc w:val="both"/>
        <w:ind w:firstLine="1496"/>
        <w:spacing w:after="0" w:line="259" w:lineRule="auto"/>
        <w:tabs>
          <w:tab w:leader="none" w:pos="1848"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January 29, 2023, DXL and each of the DXL Subsidiaries are in material compliance with (i) their respective obligations under each of the material DXL Licenses and (ii) the rules and regulations of the Governmental Entity issuing such material DXL Licenses. There is no pending or, to DXL’s Knowledge, threatened by or before any Governmental Entity any material proceeding, notice of violation, order of forfeiture or complaint or investigation against DXL or any of the DXL Subsidiaries relating to any of the material DXL Licenses. To the Knowledge of DXL and the DXL Subsidiaries, no</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28" w:name="page29"/>
    <w:bookmarkEnd w:id="28"/>
    <w:p>
      <w:pPr>
        <w:jc w:val="both"/>
        <w:spacing w:after="0" w:line="256" w:lineRule="auto"/>
        <w:rPr>
          <w:sz w:val="20"/>
          <w:szCs w:val="20"/>
          <w:color w:val="auto"/>
        </w:rPr>
      </w:pPr>
      <w:r>
        <w:rPr>
          <w:rFonts w:ascii="Times New Roman" w:cs="Times New Roman" w:eastAsia="Times New Roman" w:hAnsi="Times New Roman"/>
          <w:sz w:val="17"/>
          <w:szCs w:val="17"/>
          <w:color w:val="auto"/>
        </w:rPr>
        <w:t>event has occurred which, with notice or the lapse of time or both, would constitute a default or violation, in any material respect, of any term, condition or provision of any DXL License, and to the Knowledge of DXL and the DXL Subsidiaries, there are no facts or circumstances which could form the basis for any such default or violation. The actions of the applicable Governmental Entities granting all material DXL Licenses have not been reversed, stayed, enjoined, annulled or suspended, and there is not pending or, to DXL’s Knowledge, threatened, any material application, petition, objection or other pleading with any Governmental Entity that challenges or questions the validity of or any rights of the holder under any material DXL License.</w:t>
      </w:r>
    </w:p>
    <w:p>
      <w:pPr>
        <w:spacing w:after="0" w:line="150" w:lineRule="exact"/>
        <w:rPr>
          <w:sz w:val="20"/>
          <w:szCs w:val="20"/>
          <w:color w:val="auto"/>
        </w:rPr>
      </w:pPr>
    </w:p>
    <w:p>
      <w:pPr>
        <w:ind w:left="1220"/>
        <w:spacing w:after="0"/>
        <w:tabs>
          <w:tab w:leader="none" w:pos="2580" w:val="left"/>
        </w:tabs>
        <w:rPr>
          <w:sz w:val="20"/>
          <w:szCs w:val="20"/>
          <w:color w:val="auto"/>
        </w:rPr>
      </w:pPr>
      <w:r>
        <w:rPr>
          <w:rFonts w:ascii="Times New Roman" w:cs="Times New Roman" w:eastAsia="Times New Roman" w:hAnsi="Times New Roman"/>
          <w:sz w:val="17"/>
          <w:szCs w:val="17"/>
          <w:b w:val="1"/>
          <w:bCs w:val="1"/>
          <w:u w:val="single" w:color="auto"/>
          <w:color w:val="auto"/>
        </w:rPr>
        <w:t>SECTION 3.15</w:t>
      </w:r>
      <w:r>
        <w:rPr>
          <w:sz w:val="20"/>
          <w:szCs w:val="20"/>
          <w:color w:val="auto"/>
        </w:rPr>
        <w:tab/>
      </w:r>
      <w:r>
        <w:rPr>
          <w:rFonts w:ascii="Times New Roman" w:cs="Times New Roman" w:eastAsia="Times New Roman" w:hAnsi="Times New Roman"/>
          <w:sz w:val="17"/>
          <w:szCs w:val="17"/>
          <w:b w:val="1"/>
          <w:bCs w:val="1"/>
          <w:u w:val="single" w:color="auto"/>
          <w:color w:val="auto"/>
        </w:rPr>
        <w:t>Material Contracts</w:t>
      </w:r>
      <w:r>
        <w:rPr>
          <w:rFonts w:ascii="Times New Roman" w:cs="Times New Roman" w:eastAsia="Times New Roman" w:hAnsi="Times New Roman"/>
          <w:sz w:val="17"/>
          <w:szCs w:val="17"/>
          <w:color w:val="auto"/>
        </w:rPr>
        <w:t>.</w:t>
      </w:r>
    </w:p>
    <w:p>
      <w:pPr>
        <w:spacing w:after="0" w:line="197" w:lineRule="exact"/>
        <w:rPr>
          <w:sz w:val="20"/>
          <w:szCs w:val="20"/>
          <w:color w:val="auto"/>
        </w:rPr>
      </w:pPr>
    </w:p>
    <w:p>
      <w:pPr>
        <w:ind w:right="20" w:firstLine="1496"/>
        <w:spacing w:after="0" w:line="284" w:lineRule="auto"/>
        <w:tabs>
          <w:tab w:leader="none" w:pos="1848"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3.15(a) of the DXL Disclosure Schedule sets forth a complete list of each currently effective Contract to which DXL or any of its Subsidiaries is a party or by which it is bound as of the date of this Agreement (other than any DXL Benefit Plan) (each, a “</w:t>
      </w:r>
      <w:r>
        <w:rPr>
          <w:rFonts w:ascii="Times New Roman" w:cs="Times New Roman" w:eastAsia="Times New Roman" w:hAnsi="Times New Roman"/>
          <w:sz w:val="17"/>
          <w:szCs w:val="17"/>
          <w:u w:val="single" w:color="auto"/>
          <w:color w:val="auto"/>
        </w:rPr>
        <w:t>DXL Material Contract</w:t>
      </w:r>
      <w:r>
        <w:rPr>
          <w:rFonts w:ascii="Times New Roman" w:cs="Times New Roman" w:eastAsia="Times New Roman" w:hAnsi="Times New Roman"/>
          <w:sz w:val="17"/>
          <w:szCs w:val="17"/>
          <w:color w:val="auto"/>
        </w:rPr>
        <w:t>”):</w:t>
      </w:r>
    </w:p>
    <w:p>
      <w:pPr>
        <w:spacing w:after="0" w:line="128" w:lineRule="exact"/>
        <w:rPr>
          <w:rFonts w:ascii="Times New Roman" w:cs="Times New Roman" w:eastAsia="Times New Roman" w:hAnsi="Times New Roman"/>
          <w:sz w:val="17"/>
          <w:szCs w:val="17"/>
          <w:color w:val="auto"/>
        </w:rPr>
      </w:pPr>
    </w:p>
    <w:p>
      <w:pPr>
        <w:ind w:left="2600" w:hanging="354"/>
        <w:spacing w:after="0"/>
        <w:tabs>
          <w:tab w:leader="none" w:pos="260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is a material contract as defined in Item 601(b)(10) of Regulation S-K promulgated by the SEC;</w:t>
      </w:r>
    </w:p>
    <w:p>
      <w:pPr>
        <w:spacing w:after="0" w:line="194" w:lineRule="exact"/>
        <w:rPr>
          <w:rFonts w:ascii="Times New Roman" w:cs="Times New Roman" w:eastAsia="Times New Roman" w:hAnsi="Times New Roman"/>
          <w:sz w:val="17"/>
          <w:szCs w:val="17"/>
          <w:color w:val="auto"/>
        </w:rPr>
      </w:pPr>
    </w:p>
    <w:p>
      <w:pPr>
        <w:ind w:left="2600" w:hanging="354"/>
        <w:spacing w:after="0"/>
        <w:tabs>
          <w:tab w:leader="none" w:pos="260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relating to leases of real property;</w:t>
      </w:r>
    </w:p>
    <w:p>
      <w:pPr>
        <w:spacing w:after="0" w:line="194" w:lineRule="exact"/>
        <w:rPr>
          <w:rFonts w:ascii="Times New Roman" w:cs="Times New Roman" w:eastAsia="Times New Roman" w:hAnsi="Times New Roman"/>
          <w:sz w:val="17"/>
          <w:szCs w:val="17"/>
          <w:color w:val="auto"/>
        </w:rPr>
      </w:pPr>
    </w:p>
    <w:p>
      <w:pPr>
        <w:ind w:left="2600" w:hanging="354"/>
        <w:spacing w:after="0"/>
        <w:tabs>
          <w:tab w:leader="none" w:pos="260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is a Contract with a DXL Top Supplier;</w:t>
      </w:r>
    </w:p>
    <w:p>
      <w:pPr>
        <w:spacing w:after="0" w:line="194" w:lineRule="exact"/>
        <w:rPr>
          <w:rFonts w:ascii="Times New Roman" w:cs="Times New Roman" w:eastAsia="Times New Roman" w:hAnsi="Times New Roman"/>
          <w:sz w:val="17"/>
          <w:szCs w:val="17"/>
          <w:color w:val="auto"/>
        </w:rPr>
      </w:pPr>
    </w:p>
    <w:p>
      <w:pPr>
        <w:jc w:val="both"/>
        <w:ind w:right="20" w:firstLine="2246"/>
        <w:spacing w:after="0" w:line="265" w:lineRule="auto"/>
        <w:tabs>
          <w:tab w:leader="none" w:pos="2598"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any pledge, security agreement, deed of trust or other Contracts that impose a Lien on any of DXL’s or any of its Subsidiaries’ assets; (b) loan or credit agreement, indenture, debenture, note or other Contracts that create, incur or guarantee any Indebtedness, or (c) Contracts under which DXL or any of its Subsidiaries assumes, or otherwise becomes liable for, the Indebtedness of any other Person;</w:t>
      </w:r>
    </w:p>
    <w:p>
      <w:pPr>
        <w:spacing w:after="0" w:line="144" w:lineRule="exact"/>
        <w:rPr>
          <w:rFonts w:ascii="Times New Roman" w:cs="Times New Roman" w:eastAsia="Times New Roman" w:hAnsi="Times New Roman"/>
          <w:sz w:val="17"/>
          <w:szCs w:val="17"/>
          <w:color w:val="auto"/>
        </w:rPr>
      </w:pPr>
    </w:p>
    <w:p>
      <w:pPr>
        <w:ind w:right="20" w:firstLine="2246"/>
        <w:spacing w:after="0" w:line="284" w:lineRule="auto"/>
        <w:tabs>
          <w:tab w:leader="none" w:pos="2598"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is any partnership agreement, joint venture agreement or other similar Contract (excluding, for the avoidance of doubt, marketplace agreements with vendors);</w:t>
      </w:r>
    </w:p>
    <w:p>
      <w:pPr>
        <w:spacing w:after="0" w:line="128" w:lineRule="exact"/>
        <w:rPr>
          <w:rFonts w:ascii="Times New Roman" w:cs="Times New Roman" w:eastAsia="Times New Roman" w:hAnsi="Times New Roman"/>
          <w:sz w:val="17"/>
          <w:szCs w:val="17"/>
          <w:color w:val="auto"/>
        </w:rPr>
      </w:pPr>
    </w:p>
    <w:p>
      <w:pPr>
        <w:ind w:right="20" w:firstLine="2246"/>
        <w:spacing w:after="0" w:line="284" w:lineRule="auto"/>
        <w:tabs>
          <w:tab w:leader="none" w:pos="2598"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relating to Indebtedness or the deferred purchase price of property (whether incurred, assumed, guaranteed or secured by any asset), except for Contracts relating to Indebtedness in an amount not exceeding $500,000 in the aggregate;</w:t>
      </w:r>
    </w:p>
    <w:p>
      <w:pPr>
        <w:spacing w:after="0" w:line="128" w:lineRule="exact"/>
        <w:rPr>
          <w:rFonts w:ascii="Times New Roman" w:cs="Times New Roman" w:eastAsia="Times New Roman" w:hAnsi="Times New Roman"/>
          <w:sz w:val="17"/>
          <w:szCs w:val="17"/>
          <w:color w:val="auto"/>
        </w:rPr>
      </w:pPr>
    </w:p>
    <w:p>
      <w:pPr>
        <w:jc w:val="both"/>
        <w:ind w:firstLine="2246"/>
        <w:spacing w:after="0" w:line="253" w:lineRule="auto"/>
        <w:tabs>
          <w:tab w:leader="none" w:pos="2598"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which by its terms limits in any material respect (i) the localities, market or business in which all or any significant portion of the business and operations of DXL or DXL’s Subsidiaries or, following the consummation of the Transactions, the business and operations of Surviving Company, DXL or any Affiliate of DXL, is or would be conducted, (ii) the Persons DXL or any of its existing or future Subsidiaries, may hire (other than Contracts with contract research organizations or other contractors or vendors that provide services to DXL in the ordinary course of DXL’s business and that contain provisions that prevent DXL from soliciting or hiring any personnel of such contract research organizations or such other contractors or vendors), (iii) the Persons to whom DXL or any of its existing or future Subsidiaries may sell products or deliver services, or (iv) the scope of the business and operations of DXL and its Subsidiaries, taken as a whole;</w:t>
      </w:r>
    </w:p>
    <w:p>
      <w:pPr>
        <w:spacing w:after="0" w:line="154" w:lineRule="exact"/>
        <w:rPr>
          <w:rFonts w:ascii="Times New Roman" w:cs="Times New Roman" w:eastAsia="Times New Roman" w:hAnsi="Times New Roman"/>
          <w:sz w:val="17"/>
          <w:szCs w:val="17"/>
          <w:color w:val="auto"/>
        </w:rPr>
      </w:pPr>
    </w:p>
    <w:p>
      <w:pPr>
        <w:jc w:val="both"/>
        <w:ind w:firstLine="2246"/>
        <w:spacing w:after="0" w:line="259" w:lineRule="auto"/>
        <w:tabs>
          <w:tab w:leader="none" w:pos="2945"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Contract that (i) provides for the grant to DXL of any license or other right to or under any material Intellectual Property Rights, other than (A) non-exclusive license agreements for commercially available off-the-shelf software or technology services, (B) employee proprietary invention assignment agreements and (C) commercial agreements where the license of Intellectual Property Rights is incidental to the main agreement or (ii) contains a license or other right to use material DXL 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1169670</wp:posOffset>
            </wp:positionH>
            <wp:positionV relativeFrom="paragraph">
              <wp:posOffset>-3803650</wp:posOffset>
            </wp:positionV>
            <wp:extent cx="672465"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2465" cy="762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color w:val="auto"/>
        </w:rPr>
        <w:t>Rights other than non-exclusive licenses to a contractor or service provider of DXL or the DXL Subsidiaries entered in the ordinary course of business;</w:t>
      </w:r>
    </w:p>
    <w:p>
      <w:pPr>
        <w:spacing w:after="0" w:line="195" w:lineRule="exact"/>
        <w:rPr>
          <w:sz w:val="20"/>
          <w:szCs w:val="20"/>
          <w:color w:val="auto"/>
        </w:rPr>
      </w:pPr>
    </w:p>
    <w:p>
      <w:pPr>
        <w:ind w:right="40" w:firstLine="2246"/>
        <w:spacing w:after="0" w:line="284" w:lineRule="auto"/>
        <w:tabs>
          <w:tab w:leader="none" w:pos="2598"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Contract that waives any material rights, grants any material releases, resolves or settles any material actual or threatened Proceedings or provides for any material injunctive or non-monetary relief (including co-existence agreements);</w:t>
      </w:r>
    </w:p>
    <w:p>
      <w:pPr>
        <w:spacing w:after="0" w:line="128" w:lineRule="exact"/>
        <w:rPr>
          <w:rFonts w:ascii="Times New Roman" w:cs="Times New Roman" w:eastAsia="Times New Roman" w:hAnsi="Times New Roman"/>
          <w:sz w:val="17"/>
          <w:szCs w:val="17"/>
          <w:color w:val="auto"/>
        </w:rPr>
      </w:pPr>
    </w:p>
    <w:p>
      <w:pPr>
        <w:ind w:left="2600" w:hanging="354"/>
        <w:spacing w:after="0"/>
        <w:tabs>
          <w:tab w:leader="none" w:pos="2600"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containing any royalty, dividend or similar arrangement based on the revenues or profits of DXL or any of its Subsidiaries;</w:t>
      </w:r>
    </w:p>
    <w:p>
      <w:pPr>
        <w:spacing w:after="0" w:line="194" w:lineRule="exact"/>
        <w:rPr>
          <w:rFonts w:ascii="Times New Roman" w:cs="Times New Roman" w:eastAsia="Times New Roman" w:hAnsi="Times New Roman"/>
          <w:sz w:val="17"/>
          <w:szCs w:val="17"/>
          <w:color w:val="auto"/>
        </w:rPr>
      </w:pPr>
    </w:p>
    <w:p>
      <w:pPr>
        <w:ind w:left="2600" w:hanging="354"/>
        <w:spacing w:after="0"/>
        <w:tabs>
          <w:tab w:leader="none" w:pos="2600"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any Governmental Entity or a subcontractor to any Governmental Entity in connection with such DXL Material</w:t>
      </w:r>
    </w:p>
    <w:p>
      <w:pPr>
        <w:spacing w:after="0" w:line="25"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Contract;</w:t>
      </w:r>
    </w:p>
    <w:p>
      <w:pPr>
        <w:spacing w:after="0" w:line="174" w:lineRule="exact"/>
        <w:rPr>
          <w:rFonts w:ascii="Times New Roman" w:cs="Times New Roman" w:eastAsia="Times New Roman" w:hAnsi="Times New Roman"/>
          <w:sz w:val="17"/>
          <w:szCs w:val="17"/>
          <w:color w:val="auto"/>
        </w:rPr>
      </w:pPr>
    </w:p>
    <w:p>
      <w:pPr>
        <w:jc w:val="both"/>
        <w:ind w:firstLine="2246"/>
        <w:spacing w:after="0" w:line="259" w:lineRule="auto"/>
        <w:tabs>
          <w:tab w:leader="none" w:pos="2598"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Contract with (a) an executive officer or director of DXL or any of its Subsidiaries or any of such executive officer’s or director’s immediate family members, (b) an owner of more than five percent (5%) of the voting power of the outstanding capital stock of DXL or (c) to the Knowledge of DXL, any “related party” (within the meaning of Item 404 of Regulation S-K promulgated by the SEC) of any such officer, director or owner (other than DXL or its Subsidiaries);</w:t>
      </w:r>
    </w:p>
    <w:p>
      <w:pPr>
        <w:spacing w:after="0" w:line="149" w:lineRule="exact"/>
        <w:rPr>
          <w:rFonts w:ascii="Times New Roman" w:cs="Times New Roman" w:eastAsia="Times New Roman" w:hAnsi="Times New Roman"/>
          <w:sz w:val="17"/>
          <w:szCs w:val="17"/>
          <w:color w:val="auto"/>
        </w:rPr>
      </w:pPr>
    </w:p>
    <w:p>
      <w:pPr>
        <w:ind w:left="2940" w:hanging="694"/>
        <w:spacing w:after="0"/>
        <w:tabs>
          <w:tab w:leader="none" w:pos="2940"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agreement that gives rise to any material payment or benefit as a result of the performance of this Agreement or</w:t>
      </w:r>
    </w:p>
    <w:p>
      <w:pPr>
        <w:spacing w:after="0" w:line="25"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of the other Transactions;</w:t>
      </w:r>
    </w:p>
    <w:p>
      <w:pPr>
        <w:spacing w:after="0" w:line="174" w:lineRule="exact"/>
        <w:rPr>
          <w:rFonts w:ascii="Times New Roman" w:cs="Times New Roman" w:eastAsia="Times New Roman" w:hAnsi="Times New Roman"/>
          <w:sz w:val="17"/>
          <w:szCs w:val="17"/>
          <w:color w:val="auto"/>
        </w:rPr>
      </w:pPr>
    </w:p>
    <w:p>
      <w:pPr>
        <w:jc w:val="both"/>
        <w:ind w:right="20" w:firstLine="2246"/>
        <w:spacing w:after="0" w:line="265" w:lineRule="auto"/>
        <w:tabs>
          <w:tab w:leader="none" w:pos="2945"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relating to the acquisition or disposition of any material interest in, or any material amount of, securities, property or assets of DXL or any of its Subsidiaries or any other Person, or for the grant to any Person of any preferential rights to purchase any such securities, property or assets;</w:t>
      </w:r>
    </w:p>
    <w:p>
      <w:pPr>
        <w:spacing w:after="0" w:line="144" w:lineRule="exact"/>
        <w:rPr>
          <w:rFonts w:ascii="Times New Roman" w:cs="Times New Roman" w:eastAsia="Times New Roman" w:hAnsi="Times New Roman"/>
          <w:sz w:val="17"/>
          <w:szCs w:val="17"/>
          <w:color w:val="auto"/>
        </w:rPr>
      </w:pPr>
    </w:p>
    <w:p>
      <w:pPr>
        <w:ind w:left="2600" w:hanging="354"/>
        <w:spacing w:after="0"/>
        <w:tabs>
          <w:tab w:leader="none" w:pos="2600"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powers of attorney or agency agreements; and</w:t>
      </w:r>
    </w:p>
    <w:p>
      <w:pPr>
        <w:spacing w:after="0" w:line="194" w:lineRule="exact"/>
        <w:rPr>
          <w:rFonts w:ascii="Times New Roman" w:cs="Times New Roman" w:eastAsia="Times New Roman" w:hAnsi="Times New Roman"/>
          <w:sz w:val="17"/>
          <w:szCs w:val="17"/>
          <w:color w:val="auto"/>
        </w:rPr>
      </w:pPr>
    </w:p>
    <w:p>
      <w:pPr>
        <w:jc w:val="both"/>
        <w:ind w:right="20" w:firstLine="2246"/>
        <w:spacing w:after="0" w:line="265" w:lineRule="auto"/>
        <w:tabs>
          <w:tab w:leader="none" w:pos="2945"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than as set forth elsewhere on Section‎ 3.15(a) of the DXL Disclosure Schedule, and excluding customary confidentiality and non-disclosure agreements, all other Contracts that are material to the business or operations of DXL and its Subsidiaries and commitments or agreements to enter into any of the foregoing.</w:t>
      </w:r>
    </w:p>
    <w:p>
      <w:pPr>
        <w:spacing w:after="0" w:line="144" w:lineRule="exact"/>
        <w:rPr>
          <w:rFonts w:ascii="Times New Roman" w:cs="Times New Roman" w:eastAsia="Times New Roman" w:hAnsi="Times New Roman"/>
          <w:sz w:val="17"/>
          <w:szCs w:val="17"/>
          <w:color w:val="auto"/>
        </w:rPr>
      </w:pPr>
    </w:p>
    <w:p>
      <w:pPr>
        <w:jc w:val="both"/>
        <w:ind w:firstLine="1496"/>
        <w:spacing w:after="0" w:line="250" w:lineRule="auto"/>
        <w:tabs>
          <w:tab w:leader="none" w:pos="1848"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DXL has delivered or made available to FBB accurate and complete copies of all DXL Material Contracts, including all amendments thereto. There are no DXL Material Contracts that are not in written form. Neither DXL nor any Subsidiary of DXL has, nor to DXL’s Knowledge, has any other party to a DXL Material Contract breached, violated or defaulted under, or received notice that it has breached, violated or defaulted under, any of the terms or conditions of any DXL Material Contract, except where the breach, violation, default or notice thereof of any the foregoing, thereunder has not had and would not reasonably be expected to have, individually or in the aggregate, a Material Adverse Effect on DXL. As to DXL and DXL’s Subsidiaries, as of the date of this Agreement, each DXL Material Contract is valid, binding, enforceable and in full force and effect, subject to the Enforceability Exceptions, except where the failure to be valid and binding obligations and in full force and effect and enforceable has not had and would not reasonably be expected to have, individually or in the aggregate, a Material Adverse Effect on DXL. The consummation of the Transactions will not (either alone or upon the occurrence of additional acts or events) result in any material payment or payments becoming due from DXL, any Subsidiary of DXL, or the Surviving Company to any Person under any DXL Material Contract or give any Person the right to terminate or alter the provisions of any DXL Material Contract. Except as has not had and would not reasonably be expected to have, individually or in the aggregate, a Material Adverse Effect on DXL, no Person (A) is renegotiating any material amount paid or payable to DXL or any of its Subsidiaries under any DXL Material Contract or any other material term or provision of any DXL Material Contract or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-1936115</wp:posOffset>
            </wp:positionV>
            <wp:extent cx="69469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4690" cy="762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30" w:name="page31"/>
    <w:bookmarkEnd w:id="30"/>
    <w:p>
      <w:pPr>
        <w:ind w:right="20"/>
        <w:spacing w:after="0" w:line="284" w:lineRule="auto"/>
        <w:rPr>
          <w:sz w:val="20"/>
          <w:szCs w:val="20"/>
          <w:color w:val="auto"/>
        </w:rPr>
      </w:pPr>
      <w:r>
        <w:rPr>
          <w:rFonts w:ascii="Times New Roman" w:cs="Times New Roman" w:eastAsia="Times New Roman" w:hAnsi="Times New Roman"/>
          <w:sz w:val="17"/>
          <w:szCs w:val="17"/>
          <w:color w:val="auto"/>
        </w:rPr>
        <w:t>has provided notice to DXL or any of its Subsidiaries that it intends to terminate any DXL Material Contract or with respect to any breach or default in any material respect of any DXL Material Contract.</w:t>
      </w:r>
    </w:p>
    <w:p>
      <w:pPr>
        <w:spacing w:after="0" w:line="127" w:lineRule="exact"/>
        <w:rPr>
          <w:sz w:val="20"/>
          <w:szCs w:val="20"/>
          <w:color w:val="auto"/>
        </w:rPr>
      </w:pPr>
    </w:p>
    <w:p>
      <w:pPr>
        <w:ind w:left="1220"/>
        <w:spacing w:after="0"/>
        <w:tabs>
          <w:tab w:leader="none" w:pos="2580" w:val="left"/>
        </w:tabs>
        <w:rPr>
          <w:sz w:val="20"/>
          <w:szCs w:val="20"/>
          <w:color w:val="auto"/>
        </w:rPr>
      </w:pPr>
      <w:r>
        <w:rPr>
          <w:rFonts w:ascii="Times New Roman" w:cs="Times New Roman" w:eastAsia="Times New Roman" w:hAnsi="Times New Roman"/>
          <w:sz w:val="17"/>
          <w:szCs w:val="17"/>
          <w:b w:val="1"/>
          <w:bCs w:val="1"/>
          <w:u w:val="single" w:color="auto"/>
          <w:color w:val="auto"/>
        </w:rPr>
        <w:t>SECTION 3.16</w:t>
      </w:r>
      <w:r>
        <w:rPr>
          <w:sz w:val="20"/>
          <w:szCs w:val="20"/>
          <w:color w:val="auto"/>
        </w:rPr>
        <w:tab/>
      </w:r>
      <w:r>
        <w:rPr>
          <w:rFonts w:ascii="Times New Roman" w:cs="Times New Roman" w:eastAsia="Times New Roman" w:hAnsi="Times New Roman"/>
          <w:sz w:val="17"/>
          <w:szCs w:val="17"/>
          <w:b w:val="1"/>
          <w:bCs w:val="1"/>
          <w:u w:val="single" w:color="auto"/>
          <w:color w:val="auto"/>
        </w:rPr>
        <w:t>Environmental Liability</w:t>
      </w:r>
      <w:r>
        <w:rPr>
          <w:rFonts w:ascii="Times New Roman" w:cs="Times New Roman" w:eastAsia="Times New Roman" w:hAnsi="Times New Roman"/>
          <w:sz w:val="17"/>
          <w:szCs w:val="17"/>
          <w:color w:val="auto"/>
        </w:rPr>
        <w:t>.</w:t>
      </w:r>
    </w:p>
    <w:p>
      <w:pPr>
        <w:spacing w:after="0" w:line="197" w:lineRule="exact"/>
        <w:rPr>
          <w:sz w:val="20"/>
          <w:szCs w:val="20"/>
          <w:color w:val="auto"/>
        </w:rPr>
      </w:pPr>
    </w:p>
    <w:p>
      <w:pPr>
        <w:ind w:right="40" w:firstLine="1496"/>
        <w:spacing w:after="0" w:line="284" w:lineRule="auto"/>
        <w:tabs>
          <w:tab w:leader="none" w:pos="1848"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DXL and the DXL Subsidiaries possesses and is in compliance with all Environmental Permits necessary in all material respects to conduct its businesses and operations as currently conducted.</w:t>
      </w:r>
    </w:p>
    <w:p>
      <w:pPr>
        <w:spacing w:after="0" w:line="128" w:lineRule="exact"/>
        <w:rPr>
          <w:rFonts w:ascii="Times New Roman" w:cs="Times New Roman" w:eastAsia="Times New Roman" w:hAnsi="Times New Roman"/>
          <w:sz w:val="17"/>
          <w:szCs w:val="17"/>
          <w:color w:val="auto"/>
        </w:rPr>
      </w:pPr>
    </w:p>
    <w:p>
      <w:pPr>
        <w:jc w:val="both"/>
        <w:ind w:right="20" w:firstLine="1496"/>
        <w:spacing w:after="0" w:line="265" w:lineRule="auto"/>
        <w:tabs>
          <w:tab w:leader="none" w:pos="1848"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Knowledge of DXL, each of DXL and the DXL Subsidiaries is in compliance and has complied in all material respects with all applicable Environmental Laws, and neither DXL nor any DXL Subsidiary has received any communication from any Governmental Entity or other Person that alleges that DXL or any DXL Subsidiary has violated or is liable under any Environmental Law in any material respect.</w:t>
      </w:r>
    </w:p>
    <w:p>
      <w:pPr>
        <w:spacing w:after="0" w:line="144" w:lineRule="exact"/>
        <w:rPr>
          <w:rFonts w:ascii="Times New Roman" w:cs="Times New Roman" w:eastAsia="Times New Roman" w:hAnsi="Times New Roman"/>
          <w:sz w:val="17"/>
          <w:szCs w:val="17"/>
          <w:color w:val="auto"/>
        </w:rPr>
      </w:pPr>
    </w:p>
    <w:p>
      <w:pPr>
        <w:jc w:val="both"/>
        <w:ind w:right="20" w:firstLine="1496"/>
        <w:spacing w:after="0" w:line="259" w:lineRule="auto"/>
        <w:tabs>
          <w:tab w:leader="none" w:pos="1848"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 material Environmental Claims pending or, to DXL’s knowledge, threatened against DXL or any of the DXL Subsidiaries and neither DXL nor any of the DXL Subsidiaries has contractually retained or assumed any liabilities or obligations that would reasonably be expected to result in any Environmental Claim against DXL or any of the DXL Subsidiaries nor there is any circumstance involving DXL or any of its Subsidiaries that would reasonably be expected to result in Environmental Claim.</w:t>
      </w:r>
    </w:p>
    <w:p>
      <w:pPr>
        <w:spacing w:after="0" w:line="149" w:lineRule="exact"/>
        <w:rPr>
          <w:rFonts w:ascii="Times New Roman" w:cs="Times New Roman" w:eastAsia="Times New Roman" w:hAnsi="Times New Roman"/>
          <w:sz w:val="17"/>
          <w:szCs w:val="17"/>
          <w:color w:val="auto"/>
        </w:rPr>
      </w:pPr>
    </w:p>
    <w:p>
      <w:pPr>
        <w:ind w:right="40" w:firstLine="1496"/>
        <w:spacing w:after="0" w:line="284" w:lineRule="auto"/>
        <w:tabs>
          <w:tab w:leader="none" w:pos="1848"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Knowledge of DXL, there have been no Releases of, or exposure to, any Hazardous Materials that would reasonably be expected result in any material Environmental Claim or liability.</w:t>
      </w:r>
    </w:p>
    <w:p>
      <w:pPr>
        <w:spacing w:after="0" w:line="128" w:lineRule="exact"/>
        <w:rPr>
          <w:rFonts w:ascii="Times New Roman" w:cs="Times New Roman" w:eastAsia="Times New Roman" w:hAnsi="Times New Roman"/>
          <w:sz w:val="17"/>
          <w:szCs w:val="17"/>
          <w:color w:val="auto"/>
        </w:rPr>
      </w:pPr>
    </w:p>
    <w:p>
      <w:pPr>
        <w:ind w:left="1840" w:hanging="344"/>
        <w:spacing w:after="0"/>
        <w:tabs>
          <w:tab w:leader="none" w:pos="18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w:t>
      </w:r>
    </w:p>
    <w:p>
      <w:pPr>
        <w:spacing w:after="0" w:line="194" w:lineRule="exact"/>
        <w:rPr>
          <w:rFonts w:ascii="Times New Roman" w:cs="Times New Roman" w:eastAsia="Times New Roman" w:hAnsi="Times New Roman"/>
          <w:sz w:val="17"/>
          <w:szCs w:val="17"/>
          <w:color w:val="auto"/>
        </w:rPr>
      </w:pPr>
    </w:p>
    <w:p>
      <w:pPr>
        <w:jc w:val="both"/>
        <w:ind w:firstLine="2246"/>
        <w:spacing w:after="0" w:line="254" w:lineRule="auto"/>
        <w:tabs>
          <w:tab w:leader="none" w:pos="2598"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Environmental Claims</w:t>
      </w:r>
      <w:r>
        <w:rPr>
          <w:rFonts w:ascii="Times New Roman" w:cs="Times New Roman" w:eastAsia="Times New Roman" w:hAnsi="Times New Roman"/>
          <w:sz w:val="17"/>
          <w:szCs w:val="17"/>
          <w:color w:val="auto"/>
        </w:rPr>
        <w:t>” means any and all administrative, regulatory or judicial actions, orders, decrees, suits, demands, demand letters, directives, claims, Liens, investigations, proceedings or notices of noncompliance or violation by any Governmental Entity or other Person alleging responsibility or liability (including responsibility or liability for costs of enforcement, investigation, cleanup, governmental response, removal or remediation, for natural resources damages, property damage, personal injuries or penalties or for contribution, indemnification, cost recovery, compensation or injunctive relief) arising out of, based on or related to (x) the presence, Release of, or exposure to, any Hazardous Materials at any location or (y) any failure to comply with any Environmental Law or Environmental Permit.</w:t>
      </w:r>
    </w:p>
    <w:p>
      <w:pPr>
        <w:spacing w:after="0" w:line="154" w:lineRule="exact"/>
        <w:rPr>
          <w:rFonts w:ascii="Times New Roman" w:cs="Times New Roman" w:eastAsia="Times New Roman" w:hAnsi="Times New Roman"/>
          <w:sz w:val="17"/>
          <w:szCs w:val="17"/>
          <w:color w:val="auto"/>
        </w:rPr>
      </w:pPr>
    </w:p>
    <w:p>
      <w:pPr>
        <w:jc w:val="both"/>
        <w:ind w:right="20" w:firstLine="2246"/>
        <w:spacing w:after="0" w:line="265" w:lineRule="auto"/>
        <w:tabs>
          <w:tab w:leader="none" w:pos="2598"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Environmental Laws</w:t>
      </w:r>
      <w:r>
        <w:rPr>
          <w:rFonts w:ascii="Times New Roman" w:cs="Times New Roman" w:eastAsia="Times New Roman" w:hAnsi="Times New Roman"/>
          <w:sz w:val="17"/>
          <w:szCs w:val="17"/>
          <w:color w:val="auto"/>
        </w:rPr>
        <w:t>” means all applicable Laws issued, promulgated or entered into by or with any Governmental Entity relating to pollution or protection of the environment (including ambient air, surface water, groundwater, soils or subsurface strata) or, as it relates to the environment, the Release of or exposure to hazardous or toxic materials or protection of worker health from such exposure.</w:t>
      </w:r>
    </w:p>
    <w:p>
      <w:pPr>
        <w:spacing w:after="0" w:line="144" w:lineRule="exact"/>
        <w:rPr>
          <w:rFonts w:ascii="Times New Roman" w:cs="Times New Roman" w:eastAsia="Times New Roman" w:hAnsi="Times New Roman"/>
          <w:sz w:val="17"/>
          <w:szCs w:val="17"/>
          <w:color w:val="auto"/>
        </w:rPr>
      </w:pPr>
    </w:p>
    <w:p>
      <w:pPr>
        <w:ind w:left="2600" w:hanging="354"/>
        <w:spacing w:after="0"/>
        <w:tabs>
          <w:tab w:leader="none" w:pos="2600"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Environmental Permits</w:t>
      </w:r>
      <w:r>
        <w:rPr>
          <w:rFonts w:ascii="Times New Roman" w:cs="Times New Roman" w:eastAsia="Times New Roman" w:hAnsi="Times New Roman"/>
          <w:sz w:val="17"/>
          <w:szCs w:val="17"/>
          <w:color w:val="auto"/>
        </w:rPr>
        <w:t>” means all Licenses required under applicable Environmental Laws.</w:t>
      </w:r>
    </w:p>
    <w:p>
      <w:pPr>
        <w:spacing w:after="0" w:line="194" w:lineRule="exact"/>
        <w:rPr>
          <w:rFonts w:ascii="Times New Roman" w:cs="Times New Roman" w:eastAsia="Times New Roman" w:hAnsi="Times New Roman"/>
          <w:sz w:val="17"/>
          <w:szCs w:val="17"/>
          <w:color w:val="auto"/>
        </w:rPr>
      </w:pPr>
    </w:p>
    <w:p>
      <w:pPr>
        <w:ind w:right="20" w:firstLine="2246"/>
        <w:spacing w:after="0" w:line="284" w:lineRule="auto"/>
        <w:tabs>
          <w:tab w:leader="none" w:pos="2598"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Hazardous Materials</w:t>
      </w:r>
      <w:r>
        <w:rPr>
          <w:rFonts w:ascii="Times New Roman" w:cs="Times New Roman" w:eastAsia="Times New Roman" w:hAnsi="Times New Roman"/>
          <w:sz w:val="17"/>
          <w:szCs w:val="17"/>
          <w:color w:val="auto"/>
        </w:rPr>
        <w:t>” means all hazardous, toxic, explosive or radioactive substances, wastes or other pollutants, including petroleum or petroleum distillates, asbestos or asbestos-containing material, polychlorinated biphenyls (“</w:t>
      </w:r>
      <w:r>
        <w:rPr>
          <w:rFonts w:ascii="Times New Roman" w:cs="Times New Roman" w:eastAsia="Times New Roman" w:hAnsi="Times New Roman"/>
          <w:sz w:val="17"/>
          <w:szCs w:val="17"/>
          <w:u w:val="single" w:color="auto"/>
          <w:color w:val="auto"/>
        </w:rPr>
        <w:t>PCBs</w:t>
      </w:r>
      <w:r>
        <w:rPr>
          <w:rFonts w:ascii="Times New Roman" w:cs="Times New Roman" w:eastAsia="Times New Roman" w:hAnsi="Times New Roman"/>
          <w:sz w:val="17"/>
          <w:szCs w:val="17"/>
          <w:color w:val="auto"/>
        </w:rPr>
        <w:t>”) or PCB-containing materials or</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31" w:name="page32"/>
    <w:bookmarkEnd w:id="31"/>
    <w:p>
      <w:pPr>
        <w:ind w:right="20"/>
        <w:spacing w:after="0" w:line="284" w:lineRule="auto"/>
        <w:rPr>
          <w:sz w:val="20"/>
          <w:szCs w:val="20"/>
          <w:color w:val="auto"/>
        </w:rPr>
      </w:pPr>
      <w:r>
        <w:rPr>
          <w:rFonts w:ascii="Times New Roman" w:cs="Times New Roman" w:eastAsia="Times New Roman" w:hAnsi="Times New Roman"/>
          <w:sz w:val="17"/>
          <w:szCs w:val="17"/>
          <w:color w:val="auto"/>
        </w:rPr>
        <w:t>equipment, radon gas, infectious or medical wastes and all other substances or wastes that in relevant form or concentration are regulated pursuant to any Environmental Law.</w:t>
      </w:r>
    </w:p>
    <w:p>
      <w:pPr>
        <w:spacing w:after="0" w:line="129" w:lineRule="exact"/>
        <w:rPr>
          <w:sz w:val="20"/>
          <w:szCs w:val="20"/>
          <w:color w:val="auto"/>
        </w:rPr>
      </w:pPr>
    </w:p>
    <w:p>
      <w:pPr>
        <w:jc w:val="both"/>
        <w:ind w:firstLine="2246"/>
        <w:spacing w:after="0" w:line="265" w:lineRule="auto"/>
        <w:tabs>
          <w:tab w:leader="none" w:pos="2598"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Release</w:t>
      </w:r>
      <w:r>
        <w:rPr>
          <w:rFonts w:ascii="Times New Roman" w:cs="Times New Roman" w:eastAsia="Times New Roman" w:hAnsi="Times New Roman"/>
          <w:sz w:val="17"/>
          <w:szCs w:val="17"/>
          <w:color w:val="auto"/>
        </w:rPr>
        <w:t>” means any release, spill, emission, leaking, dumping, injection, pouring, deposit, disposal, discharge, dispersal, leaching or migration into the environment (including ambient air, surface water, groundwater, land surface or subsurface strata) or within any building, structure, facility or fixture.</w:t>
      </w:r>
    </w:p>
    <w:p>
      <w:pPr>
        <w:spacing w:after="0" w:line="143" w:lineRule="exact"/>
        <w:rPr>
          <w:sz w:val="20"/>
          <w:szCs w:val="20"/>
          <w:color w:val="auto"/>
        </w:rPr>
      </w:pPr>
    </w:p>
    <w:p>
      <w:pPr>
        <w:jc w:val="both"/>
        <w:ind w:firstLine="1220"/>
        <w:spacing w:after="0" w:line="258" w:lineRule="auto"/>
        <w:rPr>
          <w:sz w:val="20"/>
          <w:szCs w:val="20"/>
          <w:color w:val="auto"/>
        </w:rPr>
      </w:pPr>
      <w:r>
        <w:rPr>
          <w:rFonts w:ascii="Times New Roman" w:cs="Times New Roman" w:eastAsia="Times New Roman" w:hAnsi="Times New Roman"/>
          <w:sz w:val="17"/>
          <w:szCs w:val="17"/>
          <w:b w:val="1"/>
          <w:bCs w:val="1"/>
          <w:u w:val="single" w:color="auto"/>
          <w:color w:val="auto"/>
        </w:rPr>
        <w:t>SECTION 3.17 Takeover Laws</w:t>
      </w:r>
      <w:r>
        <w:rPr>
          <w:rFonts w:ascii="Times New Roman" w:cs="Times New Roman" w:eastAsia="Times New Roman" w:hAnsi="Times New Roman"/>
          <w:sz w:val="17"/>
          <w:szCs w:val="17"/>
          <w:color w:val="auto"/>
        </w:rPr>
        <w:t>. Assuming the representations and warranties of FBB set forth in Section‎ 4.02 are true and correct, as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date hereof, the DXL Board has taken all actions so that the restrictions applicable to business combinations contained in Section 203 of the DGCL will be inapplicable to the execution, delivery and performance of this Agreement. There are no other “fair price,” “moratorium,” “control share acquisition” or other similar anti-takeover statute or regulations (each, a “</w:t>
      </w:r>
      <w:r>
        <w:rPr>
          <w:rFonts w:ascii="Times New Roman" w:cs="Times New Roman" w:eastAsia="Times New Roman" w:hAnsi="Times New Roman"/>
          <w:sz w:val="17"/>
          <w:szCs w:val="17"/>
          <w:u w:val="single" w:color="auto"/>
          <w:color w:val="auto"/>
        </w:rPr>
        <w:t>Takeover Statute</w:t>
      </w:r>
      <w:r>
        <w:rPr>
          <w:rFonts w:ascii="Times New Roman" w:cs="Times New Roman" w:eastAsia="Times New Roman" w:hAnsi="Times New Roman"/>
          <w:sz w:val="17"/>
          <w:szCs w:val="17"/>
          <w:color w:val="auto"/>
        </w:rPr>
        <w:t>”) or any takeover-related provision in the DXL Charter applicable to the Merger or the other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5390515</wp:posOffset>
            </wp:positionH>
            <wp:positionV relativeFrom="paragraph">
              <wp:posOffset>-413385</wp:posOffset>
            </wp:positionV>
            <wp:extent cx="55753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57530" cy="7620"/>
                    </a:xfrm>
                    <a:prstGeom prst="rect">
                      <a:avLst/>
                    </a:prstGeom>
                    <a:noFill/>
                  </pic:spPr>
                </pic:pic>
              </a:graphicData>
            </a:graphic>
          </wp:anchor>
        </w:drawing>
      </w:r>
    </w:p>
    <w:p>
      <w:pPr>
        <w:spacing w:after="0" w:line="334" w:lineRule="exact"/>
        <w:rPr>
          <w:sz w:val="20"/>
          <w:szCs w:val="20"/>
          <w:color w:val="auto"/>
        </w:rPr>
      </w:pPr>
    </w:p>
    <w:p>
      <w:pPr>
        <w:jc w:val="both"/>
        <w:ind w:firstLine="1220"/>
        <w:spacing w:after="0" w:line="256" w:lineRule="auto"/>
        <w:rPr>
          <w:sz w:val="20"/>
          <w:szCs w:val="20"/>
          <w:color w:val="auto"/>
        </w:rPr>
      </w:pPr>
      <w:r>
        <w:rPr>
          <w:rFonts w:ascii="Times New Roman" w:cs="Times New Roman" w:eastAsia="Times New Roman" w:hAnsi="Times New Roman"/>
          <w:sz w:val="17"/>
          <w:szCs w:val="17"/>
          <w:b w:val="1"/>
          <w:bCs w:val="1"/>
          <w:u w:val="single" w:color="auto"/>
          <w:color w:val="auto"/>
        </w:rPr>
        <w:t>SECTION 3.18 DXL Information</w:t>
      </w:r>
      <w:r>
        <w:rPr>
          <w:rFonts w:ascii="Times New Roman" w:cs="Times New Roman" w:eastAsia="Times New Roman" w:hAnsi="Times New Roman"/>
          <w:sz w:val="17"/>
          <w:szCs w:val="17"/>
          <w:color w:val="auto"/>
        </w:rPr>
        <w:t>. The information relating to DXL that is provided by DXL or DXL’s Representatives for inclusion in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Proxy Statement, or in any other document filed with any other Regulatory Agency in connection with the Merger and the other Transactions, will not in the case of the Proxy Statement, at the date it is first furnished by DXL to the DXL stockholders or at the time of the DXL Stockholders Meeting or in the case of any other document at the time of the filing of such document, contain any untrue statement of a material fact or omit to state any material fact required to be stated therein or necessary to make the statements therein, in light of the circumstances in which they are made, not misleading.</w:t>
      </w:r>
    </w:p>
    <w:p>
      <w:pPr>
        <w:spacing w:after="0" w:line="152" w:lineRule="exact"/>
        <w:rPr>
          <w:sz w:val="20"/>
          <w:szCs w:val="20"/>
          <w:color w:val="auto"/>
        </w:rPr>
      </w:pPr>
    </w:p>
    <w:p>
      <w:pPr>
        <w:jc w:val="both"/>
        <w:ind w:firstLine="1220"/>
        <w:spacing w:after="0" w:line="256" w:lineRule="auto"/>
        <w:rPr>
          <w:sz w:val="20"/>
          <w:szCs w:val="20"/>
          <w:color w:val="auto"/>
        </w:rPr>
      </w:pPr>
      <w:r>
        <w:rPr>
          <w:rFonts w:ascii="Times New Roman" w:cs="Times New Roman" w:eastAsia="Times New Roman" w:hAnsi="Times New Roman"/>
          <w:sz w:val="17"/>
          <w:szCs w:val="17"/>
          <w:b w:val="1"/>
          <w:bCs w:val="1"/>
          <w:u w:val="single" w:color="auto"/>
          <w:color w:val="auto"/>
        </w:rPr>
        <w:t>SECTION 3.19 Affiliate Transactions</w:t>
      </w:r>
      <w:r>
        <w:rPr>
          <w:rFonts w:ascii="Times New Roman" w:cs="Times New Roman" w:eastAsia="Times New Roman" w:hAnsi="Times New Roman"/>
          <w:sz w:val="17"/>
          <w:szCs w:val="17"/>
          <w:color w:val="auto"/>
        </w:rPr>
        <w:t>. Except as disclosed in DXL’s most recently filed annual report on Form 10-K, as of the date of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there are no material transactions, Contracts or understandings between DXL or any of the DXL Subsidiaries, on the one hand, and either (i) any holder of any Equity Interest in DXL or any of the DXL Subsidiaries, (ii) any officer or director of DXL or any of the DXL Subsidiaries (other than any DXL Benefit Plan) or (iii) any of DXL’s other Affiliates (other than wholly owned DXL Subsidiaries), on the other hand, that would be required to be disclosed by DXL under Item 404 of Regulation S-K promulgated by the SEC.</w:t>
      </w:r>
    </w:p>
    <w:p>
      <w:pPr>
        <w:spacing w:after="0" w:line="152" w:lineRule="exact"/>
        <w:rPr>
          <w:sz w:val="20"/>
          <w:szCs w:val="20"/>
          <w:color w:val="auto"/>
        </w:rPr>
      </w:pPr>
    </w:p>
    <w:p>
      <w:pPr>
        <w:ind w:left="1220"/>
        <w:spacing w:after="0"/>
        <w:tabs>
          <w:tab w:leader="none" w:pos="2580" w:val="left"/>
        </w:tabs>
        <w:rPr>
          <w:sz w:val="20"/>
          <w:szCs w:val="20"/>
          <w:color w:val="auto"/>
        </w:rPr>
      </w:pPr>
      <w:r>
        <w:rPr>
          <w:rFonts w:ascii="Times New Roman" w:cs="Times New Roman" w:eastAsia="Times New Roman" w:hAnsi="Times New Roman"/>
          <w:sz w:val="17"/>
          <w:szCs w:val="17"/>
          <w:b w:val="1"/>
          <w:bCs w:val="1"/>
          <w:u w:val="single" w:color="auto"/>
          <w:color w:val="auto"/>
        </w:rPr>
        <w:t>SECTION 3.20</w:t>
      </w:r>
      <w:r>
        <w:rPr>
          <w:sz w:val="20"/>
          <w:szCs w:val="20"/>
          <w:color w:val="auto"/>
        </w:rPr>
        <w:tab/>
      </w:r>
      <w:r>
        <w:rPr>
          <w:rFonts w:ascii="Times New Roman" w:cs="Times New Roman" w:eastAsia="Times New Roman" w:hAnsi="Times New Roman"/>
          <w:sz w:val="17"/>
          <w:szCs w:val="17"/>
          <w:b w:val="1"/>
          <w:bCs w:val="1"/>
          <w:u w:val="single" w:color="auto"/>
          <w:color w:val="auto"/>
        </w:rPr>
        <w:t>Intellectual Property</w:t>
      </w:r>
      <w:r>
        <w:rPr>
          <w:rFonts w:ascii="Times New Roman" w:cs="Times New Roman" w:eastAsia="Times New Roman" w:hAnsi="Times New Roman"/>
          <w:sz w:val="17"/>
          <w:szCs w:val="17"/>
          <w:color w:val="auto"/>
        </w:rPr>
        <w:t>.</w:t>
      </w:r>
    </w:p>
    <w:p>
      <w:pPr>
        <w:spacing w:after="0" w:line="197" w:lineRule="exact"/>
        <w:rPr>
          <w:sz w:val="20"/>
          <w:szCs w:val="20"/>
          <w:color w:val="auto"/>
        </w:rPr>
      </w:pPr>
    </w:p>
    <w:p>
      <w:pPr>
        <w:jc w:val="both"/>
        <w:ind w:firstLine="1496"/>
        <w:spacing w:after="0" w:line="256" w:lineRule="auto"/>
        <w:tabs>
          <w:tab w:leader="none" w:pos="1848"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of DXL and the DXL Subsidiaries owns, or has a valid license to use, free and clear of all Liens, other than Permitted Liens, all material Intellectual Property Rights used in the operation of their respective businesses as currently conducted (provided that the foregoing will not be read as a representation of non-infringement, which is solely covered by </w:t>
      </w:r>
      <w:r>
        <w:rPr>
          <w:rFonts w:ascii="Times New Roman" w:cs="Times New Roman" w:eastAsia="Times New Roman" w:hAnsi="Times New Roman"/>
          <w:sz w:val="17"/>
          <w:szCs w:val="17"/>
          <w:u w:val="single" w:color="auto"/>
          <w:color w:val="auto"/>
        </w:rPr>
        <w:t>Section 3.20‎(b)</w:t>
      </w:r>
      <w:r>
        <w:rPr>
          <w:rFonts w:ascii="Times New Roman" w:cs="Times New Roman" w:eastAsia="Times New Roman" w:hAnsi="Times New Roman"/>
          <w:sz w:val="17"/>
          <w:szCs w:val="17"/>
          <w:color w:val="auto"/>
        </w:rPr>
        <w:t xml:space="preserve"> below) and such (i) ownership or (ii) right to use such Intellectual Property Rights will not be affected by the execution, delivery and performance of this Agreement or the consummation of the Merger and the other Transactions. All material Registered IP included in the DXL IP Rights is currently subsisting, and, to the Knowledge of DXL, valid and enforceable.</w:t>
      </w:r>
    </w:p>
    <w:p>
      <w:pPr>
        <w:spacing w:after="0" w:line="151" w:lineRule="exact"/>
        <w:rPr>
          <w:rFonts w:ascii="Times New Roman" w:cs="Times New Roman" w:eastAsia="Times New Roman" w:hAnsi="Times New Roman"/>
          <w:sz w:val="17"/>
          <w:szCs w:val="17"/>
          <w:color w:val="auto"/>
        </w:rPr>
      </w:pPr>
    </w:p>
    <w:p>
      <w:pPr>
        <w:jc w:val="both"/>
        <w:ind w:firstLine="1496"/>
        <w:spacing w:after="0" w:line="256" w:lineRule="auto"/>
        <w:tabs>
          <w:tab w:leader="none" w:pos="1848"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The conduct of the business as currently conducted, and as has been conducted since January 29, 2023, by DXL and the DXL Subsidiaries does not infringe, misappropriate or otherwise violate the Intellectual Property Rights of any third Person in any material respect; (ii) there are no material Proceedings pending against DXL or any of the DXL Subsidiaries and, to DXL’s Knowledge, there is no material claim, action or proceeding threatened against DXL or any of the DXL Subsidiaries, in each case alleging that DXL or the DXL Subsidiaries is or has been infringing, misappropriating or otherwise violating any Intellectual Property Rights of any third Person; and (iii) since January 29, 2023, neither DXL</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32" w:name="page33"/>
    <w:bookmarkEnd w:id="32"/>
    <w:p>
      <w:pPr>
        <w:ind w:right="20"/>
        <w:spacing w:after="0" w:line="284" w:lineRule="auto"/>
        <w:rPr>
          <w:sz w:val="20"/>
          <w:szCs w:val="20"/>
          <w:color w:val="auto"/>
        </w:rPr>
      </w:pPr>
      <w:r>
        <w:rPr>
          <w:rFonts w:ascii="Times New Roman" w:cs="Times New Roman" w:eastAsia="Times New Roman" w:hAnsi="Times New Roman"/>
          <w:sz w:val="17"/>
          <w:szCs w:val="17"/>
          <w:color w:val="auto"/>
        </w:rPr>
        <w:t>nor the DXL Subsidiaries have received any material written invitations to license, cease-and-desist letters or indemnity claims relating to any infringement, misappropriation or violation of the Intellectual Property Rights of any third Person.</w:t>
      </w:r>
    </w:p>
    <w:p>
      <w:pPr>
        <w:spacing w:after="0" w:line="129" w:lineRule="exact"/>
        <w:rPr>
          <w:sz w:val="20"/>
          <w:szCs w:val="20"/>
          <w:color w:val="auto"/>
        </w:rPr>
      </w:pPr>
    </w:p>
    <w:p>
      <w:pPr>
        <w:jc w:val="both"/>
        <w:ind w:right="20" w:firstLine="1496"/>
        <w:spacing w:after="0" w:line="259" w:lineRule="auto"/>
        <w:tabs>
          <w:tab w:leader="none" w:pos="1848"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January 29, 2023, neither DXL nor any of the DXL Subsidiaries have filed or threatened in writing any claim against, or sent an invitation to license, cease-and-desist letter or indemnity claim to, any third Person alleging that such Person is infringing, misappropriating or otherwise violating any DXL IP Rights in any material respect, and to DXL’s knowledge, no third Person is infringing, misappropriating or otherwise violating, or since January 29, 2023 has infringed, misappropriated or otherwise violated, any DXL IP Rights in any material respect.</w:t>
      </w:r>
    </w:p>
    <w:p>
      <w:pPr>
        <w:spacing w:after="0" w:line="149" w:lineRule="exact"/>
        <w:rPr>
          <w:rFonts w:ascii="Times New Roman" w:cs="Times New Roman" w:eastAsia="Times New Roman" w:hAnsi="Times New Roman"/>
          <w:sz w:val="17"/>
          <w:szCs w:val="17"/>
          <w:color w:val="auto"/>
        </w:rPr>
      </w:pPr>
    </w:p>
    <w:p>
      <w:pPr>
        <w:jc w:val="both"/>
        <w:ind w:right="20" w:firstLine="1496"/>
        <w:spacing w:after="0" w:line="265" w:lineRule="auto"/>
        <w:tabs>
          <w:tab w:leader="none" w:pos="1848"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DXL and each of the DXL Subsidiaries has taken commercially reasonable precautions, including the use of binding confidentiality and nondisclosure agreements, to protect and maintain the confidentiality of material nonpublic information included in the DXL IP Rights, including material Trade Secrets of DXL and the DXL Subsidiaries.</w:t>
      </w:r>
    </w:p>
    <w:p>
      <w:pPr>
        <w:spacing w:after="0" w:line="144" w:lineRule="exact"/>
        <w:rPr>
          <w:rFonts w:ascii="Times New Roman" w:cs="Times New Roman" w:eastAsia="Times New Roman" w:hAnsi="Times New Roman"/>
          <w:sz w:val="17"/>
          <w:szCs w:val="17"/>
          <w:color w:val="auto"/>
        </w:rPr>
      </w:pPr>
    </w:p>
    <w:p>
      <w:pPr>
        <w:ind w:right="20" w:firstLine="1496"/>
        <w:spacing w:after="0" w:line="284" w:lineRule="auto"/>
        <w:tabs>
          <w:tab w:leader="none" w:pos="1848"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3.20(e) of the DXL Disclosure Schedule sets forth, as of the date of this Agreement, a complete and accurate list of Registered IP included in the DXL IP Rights.</w:t>
      </w:r>
    </w:p>
    <w:p>
      <w:pPr>
        <w:spacing w:after="0" w:line="128" w:lineRule="exact"/>
        <w:rPr>
          <w:rFonts w:ascii="Times New Roman" w:cs="Times New Roman" w:eastAsia="Times New Roman" w:hAnsi="Times New Roman"/>
          <w:sz w:val="17"/>
          <w:szCs w:val="17"/>
          <w:color w:val="auto"/>
        </w:rPr>
      </w:pPr>
    </w:p>
    <w:p>
      <w:pPr>
        <w:jc w:val="both"/>
        <w:ind w:firstLine="1496"/>
        <w:spacing w:after="0" w:line="257" w:lineRule="auto"/>
        <w:tabs>
          <w:tab w:leader="none" w:pos="1848"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current and former employees and consultants of DXL or any of the DXL Subsidiaries who contributed to the discovery, creation or development of any DXL IP Rights did so (i) within the scope of his or her employment such that it constituted a work made for hire under the U.S. Copyright Act (17 USC 101) and all Intellectual Property Rights arising therefrom became the exclusive property of DXL or any of DXL Subsidiaries, as applicable, or (ii) pursuant to a written agreement, which assigned all of his or her Intellectual Property Rights arising therein to DXL or any of the DXL Subsidiaries,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1169670</wp:posOffset>
            </wp:positionH>
            <wp:positionV relativeFrom="paragraph">
              <wp:posOffset>-788035</wp:posOffset>
            </wp:positionV>
            <wp:extent cx="672465"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2465" cy="7620"/>
                    </a:xfrm>
                    <a:prstGeom prst="rect">
                      <a:avLst/>
                    </a:prstGeom>
                    <a:noFill/>
                  </pic:spPr>
                </pic:pic>
              </a:graphicData>
            </a:graphic>
          </wp:anchor>
        </w:drawing>
      </w:r>
    </w:p>
    <w:p>
      <w:pPr>
        <w:spacing w:after="0" w:line="335" w:lineRule="exact"/>
        <w:rPr>
          <w:sz w:val="20"/>
          <w:szCs w:val="20"/>
          <w:color w:val="auto"/>
        </w:rPr>
      </w:pPr>
    </w:p>
    <w:p>
      <w:pPr>
        <w:jc w:val="both"/>
        <w:ind w:firstLine="1220"/>
        <w:spacing w:after="0" w:line="255" w:lineRule="auto"/>
        <w:rPr>
          <w:sz w:val="20"/>
          <w:szCs w:val="20"/>
          <w:color w:val="auto"/>
        </w:rPr>
      </w:pPr>
      <w:r>
        <w:rPr>
          <w:rFonts w:ascii="Times New Roman" w:cs="Times New Roman" w:eastAsia="Times New Roman" w:hAnsi="Times New Roman"/>
          <w:sz w:val="17"/>
          <w:szCs w:val="17"/>
          <w:b w:val="1"/>
          <w:bCs w:val="1"/>
          <w:u w:val="single" w:color="auto"/>
          <w:color w:val="auto"/>
        </w:rPr>
        <w:t>SECTION 3.21 Title to Assets</w:t>
      </w:r>
      <w:r>
        <w:rPr>
          <w:rFonts w:ascii="Times New Roman" w:cs="Times New Roman" w:eastAsia="Times New Roman" w:hAnsi="Times New Roman"/>
          <w:sz w:val="17"/>
          <w:szCs w:val="17"/>
          <w:color w:val="auto"/>
        </w:rPr>
        <w:t>. Each of DXL and its Subsidiaries owns, and has good and valid title to, or, in the case of leased properties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assets, valid leasehold interests in, all tangible properties or tangible assets and equipment used or held for use in its business or operations or purported to be owned by it, including: (a) all assets reflected in the DXL SEC Reports; and (b) all other assets reflected in the books and records of DXL or any of its Subsidiaries as being owned by DXL or such Subsidiary, in each case, other than as would not reasonably be expected to be material to DXL and its Subsidiaries, taken as a whole. All of such assets are owned or, in the case of leased assets, leased by DXL or any of its Subsidiaries, free and clear of any Liens other than Permitted Liens.</w:t>
      </w:r>
    </w:p>
    <w:p>
      <w:pPr>
        <w:spacing w:after="0" w:line="357" w:lineRule="exact"/>
        <w:rPr>
          <w:sz w:val="20"/>
          <w:szCs w:val="20"/>
          <w:color w:val="auto"/>
        </w:rPr>
      </w:pPr>
    </w:p>
    <w:p>
      <w:pPr>
        <w:ind w:left="1220"/>
        <w:spacing w:after="0"/>
        <w:tabs>
          <w:tab w:leader="none" w:pos="2580" w:val="left"/>
        </w:tabs>
        <w:rPr>
          <w:sz w:val="20"/>
          <w:szCs w:val="20"/>
          <w:color w:val="auto"/>
        </w:rPr>
      </w:pPr>
      <w:r>
        <w:rPr>
          <w:rFonts w:ascii="Times New Roman" w:cs="Times New Roman" w:eastAsia="Times New Roman" w:hAnsi="Times New Roman"/>
          <w:sz w:val="17"/>
          <w:szCs w:val="17"/>
          <w:b w:val="1"/>
          <w:bCs w:val="1"/>
          <w:u w:val="single" w:color="auto"/>
          <w:color w:val="auto"/>
        </w:rPr>
        <w:t>SECTION 3.22</w:t>
      </w:r>
      <w:r>
        <w:rPr>
          <w:sz w:val="20"/>
          <w:szCs w:val="20"/>
          <w:color w:val="auto"/>
        </w:rPr>
        <w:tab/>
      </w:r>
      <w:r>
        <w:rPr>
          <w:rFonts w:ascii="Times New Roman" w:cs="Times New Roman" w:eastAsia="Times New Roman" w:hAnsi="Times New Roman"/>
          <w:sz w:val="17"/>
          <w:szCs w:val="17"/>
          <w:b w:val="1"/>
          <w:bCs w:val="1"/>
          <w:u w:val="single" w:color="auto"/>
          <w:color w:val="auto"/>
        </w:rPr>
        <w:t>Real Property; Leasehold</w:t>
      </w:r>
      <w:r>
        <w:rPr>
          <w:rFonts w:ascii="Times New Roman" w:cs="Times New Roman" w:eastAsia="Times New Roman" w:hAnsi="Times New Roman"/>
          <w:sz w:val="17"/>
          <w:szCs w:val="17"/>
          <w:color w:val="auto"/>
        </w:rPr>
        <w:t>.</w:t>
      </w:r>
    </w:p>
    <w:p>
      <w:pPr>
        <w:spacing w:after="0" w:line="197" w:lineRule="exact"/>
        <w:rPr>
          <w:sz w:val="20"/>
          <w:szCs w:val="20"/>
          <w:color w:val="auto"/>
        </w:rPr>
      </w:pPr>
    </w:p>
    <w:p>
      <w:pPr>
        <w:jc w:val="both"/>
        <w:ind w:firstLine="1496"/>
        <w:spacing w:after="0" w:line="251" w:lineRule="auto"/>
        <w:tabs>
          <w:tab w:leader="none" w:pos="18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3.22(a) of the DXL Disclosure Schedule contains, as of the date of this Agreement, a complete and correct list of all real property owned in whole or in part by DXL and its Subsidiaries (such real property, together with all buildings, structures, fixtures and improvements erected or located thereon, the “</w:t>
      </w:r>
      <w:r>
        <w:rPr>
          <w:rFonts w:ascii="Times New Roman" w:cs="Times New Roman" w:eastAsia="Times New Roman" w:hAnsi="Times New Roman"/>
          <w:sz w:val="17"/>
          <w:szCs w:val="17"/>
          <w:u w:val="single" w:color="auto"/>
          <w:color w:val="auto"/>
        </w:rPr>
        <w:t>DXL Owned Real Property</w:t>
      </w:r>
      <w:r>
        <w:rPr>
          <w:rFonts w:ascii="Times New Roman" w:cs="Times New Roman" w:eastAsia="Times New Roman" w:hAnsi="Times New Roman"/>
          <w:sz w:val="17"/>
          <w:szCs w:val="17"/>
          <w:color w:val="auto"/>
        </w:rPr>
        <w:t>”). Except as has not had and would not reasonably be expected to have, individually or in the aggregate, a Material Adverse Effect on DXL, (i) DXL or its Subsidiaries have good and valid fee simple title to all of the DXL Owned Real Property, free and clear of Liens, except Permitted Liens, and (ii) to DXL’s Knowledge, there is no pending or threatened condemnation or similar action affecting any of the DXL Owned Real Property by DXL and its Subsidiaries. Neither DXL nor any of its Subsidiaries has leased or otherwise granted to any Person the right to use or occupy any DXL Owned Real Property or any portion thereof. There are no outstanding options, rights of first offer or rights of first refusal to purchase any DXL Owned Real Property or any portion thereof or interest therein. There is no formerly owned real property that was owned by DXL or any of its Subsidiaries in respect of which DXL or any of its Subsidiaries may have any material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1177290</wp:posOffset>
            </wp:positionH>
            <wp:positionV relativeFrom="paragraph">
              <wp:posOffset>-1049655</wp:posOffset>
            </wp:positionV>
            <wp:extent cx="680085"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0085" cy="762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color w:val="auto"/>
        </w:rPr>
        <w:t>Neither DXL nor any of its Subsidiaries is bound by any Contract requiring it to acquire or dispose of any interest in real property.</w:t>
      </w:r>
    </w:p>
    <w:p>
      <w:pPr>
        <w:spacing w:after="0" w:line="195" w:lineRule="exact"/>
        <w:rPr>
          <w:sz w:val="20"/>
          <w:szCs w:val="20"/>
          <w:color w:val="auto"/>
        </w:rPr>
      </w:pPr>
    </w:p>
    <w:p>
      <w:pPr>
        <w:jc w:val="both"/>
        <w:ind w:firstLine="1496"/>
        <w:spacing w:after="0" w:line="249" w:lineRule="auto"/>
        <w:tabs>
          <w:tab w:leader="none" w:pos="18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3.22(b) of the DXL Disclosure Schedule contains, as of the date of this Agreement, a complete and correct list of the DXL Leased Real Property by DXL and its Subsidiaries. Except as has not had and would not reasonably be expected to have, individually or in the aggregate, a Material Adverse Effect on DXL, (i) DXL or its Subsidiaries have valid leasehold interests to all real property leased or subleased by DXL and its Subsidiaries (the “</w:t>
      </w:r>
      <w:r>
        <w:rPr>
          <w:rFonts w:ascii="Times New Roman" w:cs="Times New Roman" w:eastAsia="Times New Roman" w:hAnsi="Times New Roman"/>
          <w:sz w:val="17"/>
          <w:szCs w:val="17"/>
          <w:u w:val="single" w:color="auto"/>
          <w:color w:val="auto"/>
        </w:rPr>
        <w:t>DXL Leased Real Property</w:t>
      </w:r>
      <w:r>
        <w:rPr>
          <w:rFonts w:ascii="Times New Roman" w:cs="Times New Roman" w:eastAsia="Times New Roman" w:hAnsi="Times New Roman"/>
          <w:sz w:val="17"/>
          <w:szCs w:val="17"/>
          <w:color w:val="auto"/>
        </w:rPr>
        <w:t>”), free and clear of all Liens, except for Permitted Liens; (ii) as of the date hereof, each lease or sublease with respect to the DXL Leased Real Property (each, a “</w:t>
      </w:r>
      <w:r>
        <w:rPr>
          <w:rFonts w:ascii="Times New Roman" w:cs="Times New Roman" w:eastAsia="Times New Roman" w:hAnsi="Times New Roman"/>
          <w:sz w:val="17"/>
          <w:szCs w:val="17"/>
          <w:u w:val="single" w:color="auto"/>
          <w:color w:val="auto"/>
        </w:rPr>
        <w:t>DXL Real Property Lease</w:t>
      </w:r>
      <w:r>
        <w:rPr>
          <w:rFonts w:ascii="Times New Roman" w:cs="Times New Roman" w:eastAsia="Times New Roman" w:hAnsi="Times New Roman"/>
          <w:sz w:val="17"/>
          <w:szCs w:val="17"/>
          <w:color w:val="auto"/>
        </w:rPr>
        <w:t>”) is in full force and effect and enforceable in accordance with its respective terms against DXL or its Subsidiaries that are party thereto and, to DXL’s Knowledge, to the other parties thereto (in each case subject to the Enforceability Exceptions); and (iii) neither DXL nor any of its Subsidiaries is in material breach or material default under any of the DXL Real Property Leases and no event has occurred or circumstance exists that, with the delivery of notice, passage of time or both, would constitute such a breach or default or permit the termination of, modification of or acceleration of rent under any DXL Real Property Lease or otherwise cause such DXL Real Property Lease to cease to be legal, valid, binding, enforceable and in full force and effect on identical terms following the Closing (subject only to the Enforceability Exceptions). Neither DXL nor any of its Subsidiaries has subleased, licensed, sublicensed or otherwise granted any Person any beneficial interest in or the right to use or occupy any DXL Leased Real Property or any portion thereof. DXL has made available to FBB true, correct and complete copies of each DXL Real Property Lease. Neither DXL nor any of its Subsidiaries owes, nor, based on existing DXL Real Property Leases or other Contracts as currently in effect, will owe in the future, any brokerage commissions or finder’s fees with respect to any DXL Leased Real Property. No landlord or tenant (as applicable) under any DXL Real Property Lease is an Affiliate of DXL or any of its Subsidiaries.</w:t>
      </w:r>
    </w:p>
    <w:p>
      <w:pPr>
        <w:spacing w:after="0" w:line="365" w:lineRule="exact"/>
        <w:rPr>
          <w:rFonts w:ascii="Times New Roman" w:cs="Times New Roman" w:eastAsia="Times New Roman" w:hAnsi="Times New Roman"/>
          <w:sz w:val="17"/>
          <w:szCs w:val="17"/>
          <w:color w:val="auto"/>
        </w:rPr>
      </w:pPr>
    </w:p>
    <w:p>
      <w:pPr>
        <w:ind w:left="1840" w:hanging="344"/>
        <w:spacing w:after="0"/>
        <w:tabs>
          <w:tab w:leader="none" w:pos="18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DXL Owned Real Property set forth on Section‎ 3.22(a) of the DXL Disclosure Schedule and the DXL Leased Real Property set</w:t>
      </w:r>
    </w:p>
    <w:p>
      <w:pPr>
        <w:spacing w:after="0" w:line="25" w:lineRule="exact"/>
        <w:rPr>
          <w:rFonts w:ascii="Times New Roman" w:cs="Times New Roman" w:eastAsia="Times New Roman" w:hAnsi="Times New Roman"/>
          <w:sz w:val="17"/>
          <w:szCs w:val="17"/>
          <w:color w:val="auto"/>
        </w:rPr>
      </w:pPr>
    </w:p>
    <w:p>
      <w:pPr>
        <w:jc w:val="both"/>
        <w:ind w:right="2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forth on Section‎ 3.22(b) of the DXL Disclosure Schedule comprise all of the land, buildings, improvements, fixtures or other real property necessary for, and currently used by, the operation of the business of DXL and the DXL Subsidiaries. None of the DXL Owned Real Property or DXL Leased Real Property is used for any purpose other than the operation of the business of DXL and the DXL Subsidiaries. Neither DXL nor any of its Subsidiaries uses any land, buildings, improvements, fixtures or other real property for which ownership or a lease would ordinarily be required, other than that which is included in the definition of DXL Owned Real Property or DXL Leased Real Property.</w:t>
      </w:r>
    </w:p>
    <w:p>
      <w:pPr>
        <w:spacing w:after="0" w:line="156" w:lineRule="exact"/>
        <w:rPr>
          <w:rFonts w:ascii="Times New Roman" w:cs="Times New Roman" w:eastAsia="Times New Roman" w:hAnsi="Times New Roman"/>
          <w:sz w:val="17"/>
          <w:szCs w:val="17"/>
          <w:color w:val="auto"/>
        </w:rPr>
      </w:pPr>
    </w:p>
    <w:p>
      <w:pPr>
        <w:jc w:val="both"/>
        <w:ind w:firstLine="1496"/>
        <w:spacing w:after="0" w:line="252" w:lineRule="auto"/>
        <w:tabs>
          <w:tab w:leader="none" w:pos="1848"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DXL’s Knowledge, each DXL Owned Real Property and DXL Leased Real Property is supplied with utilities and other services reasonably necessary for the operation of the business of DXL and its Subsidiaries as currently conducted at each such DXL Owned Real Property and DXL Leased Real Property, and, to DXL’s Knowledge, no fact or condition exists that would result in the termination or impairment of the furnishing of service to any such DXL Owned Real Property or DXL Leased Real Property of water, sewer, gas, electric, telephone, drainage and other such utility services. To DXL’s Knowledge, the DXL Owned Real Property and DXL Leased Real Property and all improvements thereon, including the mechanical systems, HVAC systems, plumbing, electrical, security, utility and sprinkler systems, are in reasonably good working condition and repair, subject only to ordinary wear and tear and normal, scheduled maintenance and are reasonably sufficient for the operation thereof for its current use, in each case, except as would not reasonably be expected to be material to DXL and its Subsidiaries, taken as a whole.</w:t>
      </w:r>
    </w:p>
    <w:p>
      <w:pPr>
        <w:spacing w:after="0" w:line="155" w:lineRule="exact"/>
        <w:rPr>
          <w:rFonts w:ascii="Times New Roman" w:cs="Times New Roman" w:eastAsia="Times New Roman" w:hAnsi="Times New Roman"/>
          <w:sz w:val="17"/>
          <w:szCs w:val="17"/>
          <w:color w:val="auto"/>
        </w:rPr>
      </w:pPr>
    </w:p>
    <w:p>
      <w:pPr>
        <w:ind w:right="20" w:firstLine="1496"/>
        <w:spacing w:after="0" w:line="284" w:lineRule="auto"/>
        <w:tabs>
          <w:tab w:leader="none" w:pos="1848"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DXL’s Knowledge, there are no material structural or other physical defects or deficiencies in the condition of the DXL Owned Real Property and DXL Leased Real Property, and there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1177290</wp:posOffset>
            </wp:positionH>
            <wp:positionV relativeFrom="paragraph">
              <wp:posOffset>-4237355</wp:posOffset>
            </wp:positionV>
            <wp:extent cx="649605"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49605" cy="7620"/>
                    </a:xfrm>
                    <a:prstGeom prst="rect">
                      <a:avLst/>
                    </a:prstGeom>
                    <a:noFill/>
                  </pic:spPr>
                </pic:pic>
              </a:graphicData>
            </a:graphic>
          </wp:anchor>
        </w:drawing>
        <w:drawing>
          <wp:anchor simplePos="0" relativeHeight="251657728" behindDoc="1" locked="0" layoutInCell="0" allowOverlap="1">
            <wp:simplePos x="0" y="0"/>
            <wp:positionH relativeFrom="column">
              <wp:posOffset>3192145</wp:posOffset>
            </wp:positionH>
            <wp:positionV relativeFrom="paragraph">
              <wp:posOffset>-2202180</wp:posOffset>
            </wp:positionV>
            <wp:extent cx="672465"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2465" cy="7620"/>
                    </a:xfrm>
                    <a:prstGeom prst="rect">
                      <a:avLst/>
                    </a:prstGeom>
                    <a:noFill/>
                  </pic:spPr>
                </pic:pic>
              </a:graphicData>
            </a:graphic>
          </wp:anchor>
        </w:drawing>
        <w:drawing>
          <wp:anchor simplePos="0" relativeHeight="251657728" behindDoc="1" locked="0" layoutInCell="0" allowOverlap="1">
            <wp:simplePos x="0" y="0"/>
            <wp:positionH relativeFrom="column">
              <wp:posOffset>390525</wp:posOffset>
            </wp:positionH>
            <wp:positionV relativeFrom="paragraph">
              <wp:posOffset>-2074545</wp:posOffset>
            </wp:positionV>
            <wp:extent cx="649605"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49605" cy="762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34" w:name="page35"/>
    <w:bookmarkEnd w:id="34"/>
    <w:p>
      <w:pPr>
        <w:spacing w:after="0" w:line="284" w:lineRule="auto"/>
        <w:rPr>
          <w:sz w:val="20"/>
          <w:szCs w:val="20"/>
          <w:color w:val="auto"/>
        </w:rPr>
      </w:pPr>
      <w:r>
        <w:rPr>
          <w:rFonts w:ascii="Times New Roman" w:cs="Times New Roman" w:eastAsia="Times New Roman" w:hAnsi="Times New Roman"/>
          <w:sz w:val="17"/>
          <w:szCs w:val="17"/>
          <w:color w:val="auto"/>
        </w:rPr>
        <w:t>are no facts or conditions that would, individually or in the aggregate, materially interfere in any respect with the use or occupancy of such DXL Owned Real Property and DXL Leased Real Property or any portion thereof in the operation of the business of DXL and its Subsidiaries as currently conducted thereon.</w:t>
      </w:r>
    </w:p>
    <w:p>
      <w:pPr>
        <w:spacing w:after="0" w:line="129" w:lineRule="exact"/>
        <w:rPr>
          <w:sz w:val="20"/>
          <w:szCs w:val="20"/>
          <w:color w:val="auto"/>
        </w:rPr>
      </w:pPr>
    </w:p>
    <w:p>
      <w:pPr>
        <w:jc w:val="both"/>
        <w:ind w:firstLine="1496"/>
        <w:spacing w:after="0" w:line="253" w:lineRule="auto"/>
        <w:tabs>
          <w:tab w:leader="none" w:pos="1848"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DXL nor any of its Subsidiaries has received any written notice from a Governmental Entity of any special Tax, levy or assessment for benefits or betterments that affect the DXL Owned Real Property or DXL Leased Real Property and no such special Taxes, levies or assessments are pending or contemplated. Neither the DXL Owned Real Property, the DXL Leased Real Property nor the use or occupancy thereof violates in any way any applicable permits, licenses, certificates of occupancy, covenants, conditions or restrictions, whether federal, state, local or private, and the DXL Owned Real Property or the DXL Leased Real Property or DXL or its applicable Subsidiary holding the fee, leasehold or other interest therein has received all required permits, certificates of occupancy, licenses, authorizations and approvals in connection with the use and occupancy thereof, whether in connection with the business of DXL, its Subsidiaries or otherwise.</w:t>
      </w:r>
    </w:p>
    <w:p>
      <w:pPr>
        <w:spacing w:after="0" w:line="154" w:lineRule="exact"/>
        <w:rPr>
          <w:rFonts w:ascii="Times New Roman" w:cs="Times New Roman" w:eastAsia="Times New Roman" w:hAnsi="Times New Roman"/>
          <w:sz w:val="17"/>
          <w:szCs w:val="17"/>
          <w:color w:val="auto"/>
        </w:rPr>
      </w:pPr>
    </w:p>
    <w:p>
      <w:pPr>
        <w:jc w:val="both"/>
        <w:ind w:firstLine="1496"/>
        <w:spacing w:after="0" w:line="265" w:lineRule="auto"/>
        <w:tabs>
          <w:tab w:leader="none" w:pos="1848"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DXL Owned Real Property and DXL Leased Real Property enjoys direct or indirect legal ingress and egress from dedicated public highways or streets, and no action has been instituted or is pending or threatened that would impair or curtail such legal ingress and egress and, to DXL’s Knowledge, there is no reasonable basis for any such action.</w:t>
      </w:r>
    </w:p>
    <w:p>
      <w:pPr>
        <w:spacing w:after="0" w:line="144" w:lineRule="exact"/>
        <w:rPr>
          <w:rFonts w:ascii="Times New Roman" w:cs="Times New Roman" w:eastAsia="Times New Roman" w:hAnsi="Times New Roman"/>
          <w:sz w:val="17"/>
          <w:szCs w:val="17"/>
          <w:color w:val="auto"/>
        </w:rPr>
      </w:pPr>
    </w:p>
    <w:p>
      <w:pPr>
        <w:jc w:val="both"/>
        <w:ind w:right="20" w:firstLine="1496"/>
        <w:spacing w:after="0" w:line="265" w:lineRule="auto"/>
        <w:tabs>
          <w:tab w:leader="none" w:pos="1848"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DXL nor any of its Subsidiaries has received any written notice from any insurance company or board of fire underwriters of any defects or inadequacies that could adversely affect the insurability of any DXL Owned Real Property or DXL Leased Real Property or requesting the performance of any material work or alteration with respect to any DXL Owned Real Property or DXL Leased Real Property.</w:t>
      </w:r>
    </w:p>
    <w:p>
      <w:pPr>
        <w:spacing w:after="0" w:line="143" w:lineRule="exact"/>
        <w:rPr>
          <w:sz w:val="20"/>
          <w:szCs w:val="20"/>
          <w:color w:val="auto"/>
        </w:rPr>
      </w:pPr>
    </w:p>
    <w:p>
      <w:pPr>
        <w:jc w:val="both"/>
        <w:ind w:firstLine="1220"/>
        <w:spacing w:after="0" w:line="256" w:lineRule="auto"/>
        <w:rPr>
          <w:sz w:val="20"/>
          <w:szCs w:val="20"/>
          <w:color w:val="auto"/>
        </w:rPr>
      </w:pPr>
      <w:r>
        <w:rPr>
          <w:rFonts w:ascii="Times New Roman" w:cs="Times New Roman" w:eastAsia="Times New Roman" w:hAnsi="Times New Roman"/>
          <w:sz w:val="17"/>
          <w:szCs w:val="17"/>
          <w:b w:val="1"/>
          <w:bCs w:val="1"/>
          <w:u w:val="single" w:color="auto"/>
          <w:color w:val="auto"/>
        </w:rPr>
        <w:t>SECTION 3.23 Anti-Corruption Laws</w:t>
      </w:r>
      <w:r>
        <w:rPr>
          <w:rFonts w:ascii="Times New Roman" w:cs="Times New Roman" w:eastAsia="Times New Roman" w:hAnsi="Times New Roman"/>
          <w:sz w:val="17"/>
          <w:szCs w:val="17"/>
          <w:color w:val="auto"/>
        </w:rPr>
        <w:t>. None of DXL or any of its Subsidiaries or any of their respective directors, officers, employees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agents or any other Person acting on their behalf has directly or indirectly made any bribes, rebates, payoffs, influence payments, kickbacks, illegal payments, illegal political contributions, or other payments, in the form of cash, gifts, or otherwise, or taken any other action, in violation of the Foreign Corrupt Practices Act of 1977, as amended, or any other applicable anti-bribery or anti-corruption Law (collectively, the “</w:t>
      </w:r>
      <w:r>
        <w:rPr>
          <w:rFonts w:ascii="Times New Roman" w:cs="Times New Roman" w:eastAsia="Times New Roman" w:hAnsi="Times New Roman"/>
          <w:sz w:val="17"/>
          <w:szCs w:val="17"/>
          <w:u w:val="single" w:color="auto"/>
          <w:color w:val="auto"/>
        </w:rPr>
        <w:t>Anti-Corruption Laws</w:t>
      </w:r>
      <w:r>
        <w:rPr>
          <w:rFonts w:ascii="Times New Roman" w:cs="Times New Roman" w:eastAsia="Times New Roman" w:hAnsi="Times New Roman"/>
          <w:sz w:val="17"/>
          <w:szCs w:val="17"/>
          <w:color w:val="auto"/>
        </w:rPr>
        <w:t>”). Neither DXL nor any of its Subsidiaries is or has been the subject of any investigation or inquiry by any Governmental Entity with respect to potential violations of Anti-Corruption Laws.</w:t>
      </w:r>
    </w:p>
    <w:p>
      <w:pPr>
        <w:spacing w:after="0" w:line="152" w:lineRule="exact"/>
        <w:rPr>
          <w:sz w:val="20"/>
          <w:szCs w:val="20"/>
          <w:color w:val="auto"/>
        </w:rPr>
      </w:pPr>
    </w:p>
    <w:p>
      <w:pPr>
        <w:jc w:val="both"/>
        <w:ind w:firstLine="1220"/>
        <w:spacing w:after="0" w:line="254" w:lineRule="auto"/>
        <w:rPr>
          <w:sz w:val="20"/>
          <w:szCs w:val="20"/>
          <w:color w:val="auto"/>
        </w:rPr>
      </w:pPr>
      <w:r>
        <w:rPr>
          <w:rFonts w:ascii="Times New Roman" w:cs="Times New Roman" w:eastAsia="Times New Roman" w:hAnsi="Times New Roman"/>
          <w:sz w:val="17"/>
          <w:szCs w:val="17"/>
          <w:b w:val="1"/>
          <w:bCs w:val="1"/>
          <w:u w:val="single" w:color="auto"/>
          <w:color w:val="auto"/>
        </w:rPr>
        <w:t>SECTION 3.24 Fairness Opinion</w:t>
      </w:r>
      <w:r>
        <w:rPr>
          <w:rFonts w:ascii="Times New Roman" w:cs="Times New Roman" w:eastAsia="Times New Roman" w:hAnsi="Times New Roman"/>
          <w:sz w:val="17"/>
          <w:szCs w:val="17"/>
          <w:color w:val="auto"/>
        </w:rPr>
        <w:t>. Prior to the execution of this Agreement, the DXL Board has received the oral opinion (to be confirmed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writing) of DXL’s Financial Advisor to the effect that, as of the date of such opinion and based upon and subject to the assumptions made, procedures followed, matters considered, and qualifications, restrictions and limitations upon the review undertaken by DXL’s Financial Advisor in preparing its opinion, the Merger Consideration to be paid by DXL in the Merger pursuant to this Agreement is fair, from a financial point of view, to the stockholders of DXL (the “</w:t>
      </w:r>
      <w:r>
        <w:rPr>
          <w:rFonts w:ascii="Times New Roman" w:cs="Times New Roman" w:eastAsia="Times New Roman" w:hAnsi="Times New Roman"/>
          <w:sz w:val="17"/>
          <w:szCs w:val="17"/>
          <w:u w:val="single" w:color="auto"/>
          <w:color w:val="auto"/>
        </w:rPr>
        <w:t>DXL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Fairness Opinion</w:t>
      </w:r>
      <w:r>
        <w:rPr>
          <w:rFonts w:ascii="Times New Roman" w:cs="Times New Roman" w:eastAsia="Times New Roman" w:hAnsi="Times New Roman"/>
          <w:sz w:val="17"/>
          <w:szCs w:val="17"/>
          <w:color w:val="auto"/>
        </w:rPr>
        <w:t>”). Such DXL Fairness Opinion has not been amended or rescinded as of the date of this Agreement. Copies of the written opinion of DXL’s Financial Advisor will be delivered to FBB for informational purposes only reasonably promptly following receipt thereof by DXL.</w:t>
      </w:r>
    </w:p>
    <w:p>
      <w:pPr>
        <w:spacing w:after="0" w:line="154" w:lineRule="exact"/>
        <w:rPr>
          <w:sz w:val="20"/>
          <w:szCs w:val="20"/>
          <w:color w:val="auto"/>
        </w:rPr>
      </w:pPr>
    </w:p>
    <w:p>
      <w:pPr>
        <w:jc w:val="both"/>
        <w:ind w:firstLine="1220"/>
        <w:spacing w:after="0" w:line="260" w:lineRule="auto"/>
        <w:rPr>
          <w:sz w:val="20"/>
          <w:szCs w:val="20"/>
          <w:color w:val="auto"/>
        </w:rPr>
      </w:pPr>
      <w:r>
        <w:rPr>
          <w:rFonts w:ascii="Times New Roman" w:cs="Times New Roman" w:eastAsia="Times New Roman" w:hAnsi="Times New Roman"/>
          <w:sz w:val="17"/>
          <w:szCs w:val="17"/>
          <w:b w:val="1"/>
          <w:bCs w:val="1"/>
          <w:u w:val="single" w:color="auto"/>
          <w:color w:val="auto"/>
        </w:rPr>
        <w:t>SECTION 3.25 Insurance</w:t>
      </w:r>
      <w:r>
        <w:rPr>
          <w:rFonts w:ascii="Times New Roman" w:cs="Times New Roman" w:eastAsia="Times New Roman" w:hAnsi="Times New Roman"/>
          <w:sz w:val="17"/>
          <w:szCs w:val="17"/>
          <w:color w:val="auto"/>
        </w:rPr>
        <w:t>. Section‎ 3.25 of the DXL Disclosure Schedule contains a complete and accurate list of all material policies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fire, liability, workers’ compensation, title and other forms of insurance owned, held by or otherwise applicable, as of the date of this Agreement, to the assets, properties or operations of DXL and the DXL Subsidiaries, and DXL has heretofore made available to FBB and its Representatives a complete and accurate copy of all such policies, including all occurrence based policies applicable to the assets, properties or operations of DXL and the DXL Subsidiaries for all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-417830</wp:posOffset>
            </wp:positionV>
            <wp:extent cx="55753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57530" cy="762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35" w:name="page36"/>
    <w:bookmarkEnd w:id="35"/>
    <w:p>
      <w:pPr>
        <w:jc w:val="both"/>
        <w:spacing w:after="0" w:line="250" w:lineRule="auto"/>
        <w:rPr>
          <w:sz w:val="20"/>
          <w:szCs w:val="20"/>
          <w:color w:val="auto"/>
        </w:rPr>
      </w:pPr>
      <w:r>
        <w:rPr>
          <w:rFonts w:ascii="Times New Roman" w:cs="Times New Roman" w:eastAsia="Times New Roman" w:hAnsi="Times New Roman"/>
          <w:sz w:val="17"/>
          <w:szCs w:val="17"/>
          <w:color w:val="auto"/>
        </w:rPr>
        <w:t>prior to the Effective Time. All such policies (or substitute policies with substantially similar terms and underwritten by insurance carriers with substantially similar or higher ratings) are valid and subsisting and in full force and effect in accordance with their terms, all premiums with respect thereto covering all periods up to and including the Effective Time have been paid, and no notice of cancellation or termination (or any other threatened termination) has been received with respect to any such policy. Such policies are sufficient for compliance by DXL and the DXL Subsidiaries with (i) all requirements of applicable Law and (ii) all Contracts to which any of DXL or any of the DXL Subsidiaries is a party, and each of DXL and each of the DXL Subsidiaries has complied in all material respects with the provisions of such policy under which DXL or such DXL Subsidiary, as applicable is an insured party. Neither DXL nor any of the DXL Subsidiaries is in default under any of such insurance policies, and there exists no event, occurrence, condition or act which, with the giving of notice, the lapse of time or the happening of any other event or condition, would become a default thereunder. Neither DXL nor any of the DXL Subsidiaries has been refused any insurance or suffered the cancellation of any insurance with respect to the assets, properties or operations of DXL or such DXL Subsidiary, as applicable, by any insurance carrier to which it has applied for any such insurance or with which it has carried insurance during the last five (5) years. There are no pending or, to the Knowledge of DXL, outstanding or reasonably anticipated material claims under any insurance policy.</w:t>
      </w:r>
    </w:p>
    <w:p>
      <w:pPr>
        <w:spacing w:after="0" w:line="159" w:lineRule="exact"/>
        <w:rPr>
          <w:sz w:val="20"/>
          <w:szCs w:val="20"/>
          <w:color w:val="auto"/>
        </w:rPr>
      </w:pPr>
    </w:p>
    <w:p>
      <w:pPr>
        <w:jc w:val="both"/>
        <w:ind w:firstLine="1220"/>
        <w:spacing w:after="0" w:line="251" w:lineRule="auto"/>
        <w:rPr>
          <w:sz w:val="20"/>
          <w:szCs w:val="20"/>
          <w:color w:val="auto"/>
        </w:rPr>
      </w:pPr>
      <w:r>
        <w:rPr>
          <w:rFonts w:ascii="Times New Roman" w:cs="Times New Roman" w:eastAsia="Times New Roman" w:hAnsi="Times New Roman"/>
          <w:sz w:val="17"/>
          <w:szCs w:val="17"/>
          <w:b w:val="1"/>
          <w:bCs w:val="1"/>
          <w:u w:val="single" w:color="auto"/>
          <w:color w:val="auto"/>
        </w:rPr>
        <w:t>SECTION 3.26 No Other Representations or Warranties; Reliance</w:t>
      </w:r>
      <w:r>
        <w:rPr>
          <w:rFonts w:ascii="Times New Roman" w:cs="Times New Roman" w:eastAsia="Times New Roman" w:hAnsi="Times New Roman"/>
          <w:sz w:val="17"/>
          <w:szCs w:val="17"/>
          <w:color w:val="auto"/>
        </w:rPr>
        <w:t>. Except for the express representations and warranties contained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Agreement, none of DXL, Merger Sub, any of their Subsidiaries or Affiliates nor any other Person makes any express or implied representation or warranty on behalf of DXL, Merger Sub, their Subsidiaries or Affiliates or any other Person, and each of DXL, Merger Sub and their Subsidiaries and Affiliates hereby disclaims any such representation or warranty whether by DXL, Merger Sub or their Subsidiaries or Affiliates. Each of DXL and Merger Sub has not relied and is not relying on any statement, representation or warranty, oral or written, express or implied, made by FBB or any of its Affiliates or Representatives, except as expressly set forth in ‎Article IV and those certificates delivered by FBB pursuant to this Agreement. DXL has conducted its own independent investigation, review and analysis of, and reached its own independent conclusions regarding, the business, operations, assets, condition (financial or otherwise) and prospects of FBB and its Subsidiaries. DXL acknowledges that it and its Representatives have been provided adequate access to the personnel, properties, premises, records and other documents and information of and relating to FBB and its Subsidiaries for such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989330</wp:posOffset>
            </wp:positionH>
            <wp:positionV relativeFrom="paragraph">
              <wp:posOffset>-409575</wp:posOffset>
            </wp:positionV>
            <wp:extent cx="456565"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56565" cy="7620"/>
                    </a:xfrm>
                    <a:prstGeom prst="rect">
                      <a:avLst/>
                    </a:prstGeom>
                    <a:noFill/>
                  </pic:spPr>
                </pic:pic>
              </a:graphicData>
            </a:graphic>
          </wp:anchor>
        </w:drawing>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ARTICLE IV</w:t>
      </w:r>
    </w:p>
    <w:p>
      <w:pPr>
        <w:spacing w:after="0" w:line="197" w:lineRule="exact"/>
        <w:rPr>
          <w:sz w:val="20"/>
          <w:szCs w:val="20"/>
          <w:color w:val="auto"/>
        </w:rPr>
      </w:pPr>
    </w:p>
    <w:p>
      <w:pPr>
        <w:jc w:val="both"/>
        <w:ind w:firstLine="751"/>
        <w:spacing w:after="0" w:line="256" w:lineRule="auto"/>
        <w:rPr>
          <w:sz w:val="20"/>
          <w:szCs w:val="20"/>
          <w:color w:val="auto"/>
        </w:rPr>
      </w:pPr>
      <w:r>
        <w:rPr>
          <w:rFonts w:ascii="Times New Roman" w:cs="Times New Roman" w:eastAsia="Times New Roman" w:hAnsi="Times New Roman"/>
          <w:sz w:val="17"/>
          <w:szCs w:val="17"/>
          <w:color w:val="auto"/>
        </w:rPr>
        <w:t>Except as disclosed in the correspondingly numbered section or subsection of the FBB Disclosure Schedule (it being understood that any disclosure set forth in one section or subsection of the FBB Disclosure Schedule shall be deemed disclosure with respect to, and shall be deemed to qualify, (i) the section or subsection of this Agreement to which it corresponds in number and (ii) each other section or subsection of this Agreement to the extent that it is reasonably apparent from the face of such disclosure that such disclosure also qualifies or applies to such other section or subsection), FBB hereby represents and warrants to DXL and Merger Sub as follows:</w:t>
      </w:r>
    </w:p>
    <w:p>
      <w:pPr>
        <w:spacing w:after="0" w:line="150" w:lineRule="exact"/>
        <w:rPr>
          <w:sz w:val="20"/>
          <w:szCs w:val="20"/>
          <w:color w:val="auto"/>
        </w:rPr>
      </w:pPr>
    </w:p>
    <w:p>
      <w:pPr>
        <w:ind w:left="1220"/>
        <w:spacing w:after="0"/>
        <w:tabs>
          <w:tab w:leader="none" w:pos="2580" w:val="left"/>
        </w:tabs>
        <w:rPr>
          <w:sz w:val="20"/>
          <w:szCs w:val="20"/>
          <w:color w:val="auto"/>
        </w:rPr>
      </w:pPr>
      <w:r>
        <w:rPr>
          <w:rFonts w:ascii="Times New Roman" w:cs="Times New Roman" w:eastAsia="Times New Roman" w:hAnsi="Times New Roman"/>
          <w:sz w:val="17"/>
          <w:szCs w:val="17"/>
          <w:b w:val="1"/>
          <w:bCs w:val="1"/>
          <w:u w:val="single" w:color="auto"/>
          <w:color w:val="auto"/>
        </w:rPr>
        <w:t>SECTION 4.01</w:t>
      </w:r>
      <w:r>
        <w:rPr>
          <w:sz w:val="20"/>
          <w:szCs w:val="20"/>
          <w:color w:val="auto"/>
        </w:rPr>
        <w:tab/>
      </w:r>
      <w:r>
        <w:rPr>
          <w:rFonts w:ascii="Times New Roman" w:cs="Times New Roman" w:eastAsia="Times New Roman" w:hAnsi="Times New Roman"/>
          <w:sz w:val="17"/>
          <w:szCs w:val="17"/>
          <w:b w:val="1"/>
          <w:bCs w:val="1"/>
          <w:u w:val="single" w:color="auto"/>
          <w:color w:val="auto"/>
        </w:rPr>
        <w:t>Corporate Organization</w:t>
      </w:r>
      <w:r>
        <w:rPr>
          <w:rFonts w:ascii="Times New Roman" w:cs="Times New Roman" w:eastAsia="Times New Roman" w:hAnsi="Times New Roman"/>
          <w:sz w:val="17"/>
          <w:szCs w:val="17"/>
          <w:color w:val="auto"/>
        </w:rPr>
        <w:t>.</w:t>
      </w:r>
    </w:p>
    <w:p>
      <w:pPr>
        <w:spacing w:after="0" w:line="197" w:lineRule="exact"/>
        <w:rPr>
          <w:sz w:val="20"/>
          <w:szCs w:val="20"/>
          <w:color w:val="auto"/>
        </w:rPr>
      </w:pPr>
    </w:p>
    <w:p>
      <w:pPr>
        <w:jc w:val="both"/>
        <w:ind w:right="20" w:firstLine="1496"/>
        <w:spacing w:after="0" w:line="256" w:lineRule="auto"/>
        <w:tabs>
          <w:tab w:leader="none" w:pos="1848"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FBB is a company duly incorporated, validly existing and in good standing under the laws of the State of Delaware. FBB has the corporate power and authority to own or lease all of its properties and assets and to carry on its business as it is now being conducted, and is duly licensed or qualified to do business in each jurisdiction in which the nature of the business conducted by it or the character or location of the properties and assets owned or leased by it makes such licensing or qualification necessary, except where the failure to be so licensed or qualified would not, individually or in the aggregate, be material.</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36" w:name="page37"/>
    <w:bookmarkEnd w:id="36"/>
    <w:p>
      <w:pPr>
        <w:ind w:right="20" w:firstLine="1496"/>
        <w:spacing w:after="0" w:line="284" w:lineRule="auto"/>
        <w:tabs>
          <w:tab w:leader="none" w:pos="1848"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true and complete copy of each of the FBB Charter and FBB Bylaws has previously been made available to DXL. FBB is not in violation of any of the provisions of the FBB Charter or FBB Bylaws.</w:t>
      </w:r>
    </w:p>
    <w:p>
      <w:pPr>
        <w:spacing w:after="0" w:line="128" w:lineRule="exact"/>
        <w:rPr>
          <w:rFonts w:ascii="Times New Roman" w:cs="Times New Roman" w:eastAsia="Times New Roman" w:hAnsi="Times New Roman"/>
          <w:sz w:val="17"/>
          <w:szCs w:val="17"/>
          <w:color w:val="auto"/>
        </w:rPr>
      </w:pPr>
    </w:p>
    <w:p>
      <w:pPr>
        <w:jc w:val="both"/>
        <w:ind w:right="20" w:firstLine="1496"/>
        <w:spacing w:after="0" w:line="256" w:lineRule="auto"/>
        <w:tabs>
          <w:tab w:leader="none" w:pos="1848"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FBB Subsidiary (A) is duly organized, validly existing and, to the extent such concept is applicable, in good standing under the laws of its jurisdiction of organization, (B) is duly licensed or qualified to do business in each jurisdiction in which the nature of the business conducted by it or the character or location of the properties and assets owned or leased by it makes such licensing or qualification necessary and (C) has all requisite corporate power and authority to own or lease its properties and assets and to carry on its business as now conducted, except for such variances from the matters set forth in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xml:space="preserve"> as would not, individually or in the aggregate, be material.</w:t>
      </w:r>
    </w:p>
    <w:p>
      <w:pPr>
        <w:spacing w:after="0" w:line="150" w:lineRule="exact"/>
        <w:rPr>
          <w:sz w:val="20"/>
          <w:szCs w:val="20"/>
          <w:color w:val="auto"/>
        </w:rPr>
      </w:pPr>
    </w:p>
    <w:p>
      <w:pPr>
        <w:ind w:left="1220"/>
        <w:spacing w:after="0"/>
        <w:tabs>
          <w:tab w:leader="none" w:pos="2580" w:val="left"/>
        </w:tabs>
        <w:rPr>
          <w:sz w:val="20"/>
          <w:szCs w:val="20"/>
          <w:color w:val="auto"/>
        </w:rPr>
      </w:pPr>
      <w:r>
        <w:rPr>
          <w:rFonts w:ascii="Times New Roman" w:cs="Times New Roman" w:eastAsia="Times New Roman" w:hAnsi="Times New Roman"/>
          <w:sz w:val="17"/>
          <w:szCs w:val="17"/>
          <w:b w:val="1"/>
          <w:bCs w:val="1"/>
          <w:u w:val="single" w:color="auto"/>
          <w:color w:val="auto"/>
        </w:rPr>
        <w:t>SECTION 4.02</w:t>
      </w:r>
      <w:r>
        <w:rPr>
          <w:sz w:val="20"/>
          <w:szCs w:val="20"/>
          <w:color w:val="auto"/>
        </w:rPr>
        <w:tab/>
      </w:r>
      <w:r>
        <w:rPr>
          <w:rFonts w:ascii="Times New Roman" w:cs="Times New Roman" w:eastAsia="Times New Roman" w:hAnsi="Times New Roman"/>
          <w:sz w:val="17"/>
          <w:szCs w:val="17"/>
          <w:b w:val="1"/>
          <w:bCs w:val="1"/>
          <w:u w:val="single" w:color="auto"/>
          <w:color w:val="auto"/>
        </w:rPr>
        <w:t>Capitalization</w:t>
      </w:r>
      <w:r>
        <w:rPr>
          <w:rFonts w:ascii="Times New Roman" w:cs="Times New Roman" w:eastAsia="Times New Roman" w:hAnsi="Times New Roman"/>
          <w:sz w:val="17"/>
          <w:szCs w:val="17"/>
          <w:color w:val="auto"/>
        </w:rPr>
        <w:t>.</w:t>
      </w:r>
    </w:p>
    <w:p>
      <w:pPr>
        <w:spacing w:after="0" w:line="197" w:lineRule="exact"/>
        <w:rPr>
          <w:sz w:val="20"/>
          <w:szCs w:val="20"/>
          <w:color w:val="auto"/>
        </w:rPr>
      </w:pPr>
    </w:p>
    <w:p>
      <w:pPr>
        <w:ind w:left="1840" w:hanging="344"/>
        <w:spacing w:after="0"/>
        <w:tabs>
          <w:tab w:leader="none" w:pos="18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Authorized and Issued Shares</w:t>
      </w:r>
      <w:r>
        <w:rPr>
          <w:rFonts w:ascii="Times New Roman" w:cs="Times New Roman" w:eastAsia="Times New Roman" w:hAnsi="Times New Roman"/>
          <w:sz w:val="17"/>
          <w:szCs w:val="17"/>
          <w:color w:val="auto"/>
        </w:rPr>
        <w:t>.</w:t>
      </w:r>
    </w:p>
    <w:p>
      <w:pPr>
        <w:spacing w:after="0" w:line="194" w:lineRule="exact"/>
        <w:rPr>
          <w:rFonts w:ascii="Times New Roman" w:cs="Times New Roman" w:eastAsia="Times New Roman" w:hAnsi="Times New Roman"/>
          <w:sz w:val="17"/>
          <w:szCs w:val="17"/>
          <w:color w:val="auto"/>
        </w:rPr>
      </w:pPr>
    </w:p>
    <w:p>
      <w:pPr>
        <w:jc w:val="both"/>
        <w:ind w:firstLine="2246"/>
        <w:spacing w:after="0" w:line="252" w:lineRule="auto"/>
        <w:tabs>
          <w:tab w:leader="none" w:pos="2598"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authorized share capital of FBB is 1,870,000 shares of capital stock, consisting of 1,700,000 shares of FBB Common Stock and 170,000 shares of FBB Preferred Stock (together, the “</w:t>
      </w:r>
      <w:r>
        <w:rPr>
          <w:rFonts w:ascii="Times New Roman" w:cs="Times New Roman" w:eastAsia="Times New Roman" w:hAnsi="Times New Roman"/>
          <w:sz w:val="17"/>
          <w:szCs w:val="17"/>
          <w:u w:val="single" w:color="auto"/>
          <w:color w:val="auto"/>
        </w:rPr>
        <w:t>FBB Capital Stock</w:t>
      </w:r>
      <w:r>
        <w:rPr>
          <w:rFonts w:ascii="Times New Roman" w:cs="Times New Roman" w:eastAsia="Times New Roman" w:hAnsi="Times New Roman"/>
          <w:sz w:val="17"/>
          <w:szCs w:val="17"/>
          <w:color w:val="auto"/>
        </w:rPr>
        <w:t>”). As of the date hereof, there were (1) 1,155,007 shares of FBB Common Stock issued and outstanding, including 14,200 FBB Restricted Stock Awards, (2) 73,156 shares of FBB Preferred Stock issued and outstanding and (3) 50,367 shares of FBB Common Stock issuable upon exercise of the FBB Warrants. As of the Effective Time, there will be no issued or outstanding shares of FBB</w:t>
      </w:r>
    </w:p>
    <w:p>
      <w:pPr>
        <w:spacing w:after="0" w:line="3" w:lineRule="exact"/>
        <w:rPr>
          <w:rFonts w:ascii="Times New Roman" w:cs="Times New Roman" w:eastAsia="Times New Roman" w:hAnsi="Times New Roman"/>
          <w:sz w:val="17"/>
          <w:szCs w:val="17"/>
          <w:color w:val="auto"/>
        </w:rPr>
      </w:pPr>
    </w:p>
    <w:p>
      <w:pPr>
        <w:jc w:val="both"/>
        <w:spacing w:after="0" w:line="24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Preferred Stock or FBB Warrants. Except as set forth in the second sentence of this Section‎ 4.02(a)(i), (i) there are no outstanding or authorized restricted stock, restricted stock unit, stock appreciation right, phantom stock, “Emergence Awards” or other equity-based compensation awards with respect to FBB Common Stock, (ii) no other Equity Interests of FBB were issued, reserved for issuance or outstanding, and (iii) FBB has no other options, warrants, calls, pre-emptive rights, subscriptions or other rights, Contracts, arrangements or commitments of any kind, including any stockholder rights plan, relating to, or the value of which is determined in reference to, the issued or unissued FBB Capital Stock (or any other Equity Interest of FBB) or the Equity Interests of any FBB Subsidiary, obligating FBB or any FBB Subsidiary to issue, transfer or sell, or cause to be issued, transferred or sold, any Equity Interests of FBB or any FBB Subsidiary. All of the issued and outstanding shares of FBB Capital Stock are duly authorized and validly issued and fully paid, nonassessable and not subject to or issued in violation of any purchase option, call option, right of first refusal, preemptive right, subscription right or any similar right under any provision of the DGCL, the</w:t>
      </w:r>
    </w:p>
    <w:p>
      <w:pPr>
        <w:spacing w:after="0" w:line="5" w:lineRule="exact"/>
        <w:rPr>
          <w:rFonts w:ascii="Times New Roman" w:cs="Times New Roman" w:eastAsia="Times New Roman" w:hAnsi="Times New Roman"/>
          <w:sz w:val="17"/>
          <w:szCs w:val="17"/>
          <w:color w:val="auto"/>
        </w:rPr>
      </w:pPr>
    </w:p>
    <w:p>
      <w:pPr>
        <w:jc w:val="both"/>
        <w:ind w:right="2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FBB Charter or any Contract to which FBB is a party or by which it is otherwise bound. Section‎ 4.02(a) of the FBB Disclosure Schedule contains a true, correct and complete ledger of all holders of the FBB Capital Stock as of the date hereof, including the name and address of each holder, the number and class of shares held by each such holder.</w:t>
      </w:r>
    </w:p>
    <w:p>
      <w:pPr>
        <w:spacing w:after="0" w:line="154" w:lineRule="exact"/>
        <w:rPr>
          <w:rFonts w:ascii="Times New Roman" w:cs="Times New Roman" w:eastAsia="Times New Roman" w:hAnsi="Times New Roman"/>
          <w:sz w:val="17"/>
          <w:szCs w:val="17"/>
          <w:color w:val="auto"/>
        </w:rPr>
      </w:pPr>
    </w:p>
    <w:p>
      <w:pPr>
        <w:jc w:val="both"/>
        <w:ind w:right="20" w:firstLine="1496"/>
        <w:spacing w:after="0" w:line="265" w:lineRule="auto"/>
        <w:tabs>
          <w:tab w:leader="none" w:pos="1848"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bonds, debentures, notes or other Indebtedness, or securities convertible into or exchangeable for, or other rights to acquire, any such bonds, debentures, notes or other Indebtedness, of FBB having the right to vote on any matters on which stockholders may vote (“</w:t>
      </w:r>
      <w:r>
        <w:rPr>
          <w:rFonts w:ascii="Times New Roman" w:cs="Times New Roman" w:eastAsia="Times New Roman" w:hAnsi="Times New Roman"/>
          <w:sz w:val="17"/>
          <w:szCs w:val="17"/>
          <w:u w:val="single" w:color="auto"/>
          <w:color w:val="auto"/>
        </w:rPr>
        <w:t>FBB Voting Debt</w:t>
      </w:r>
      <w:r>
        <w:rPr>
          <w:rFonts w:ascii="Times New Roman" w:cs="Times New Roman" w:eastAsia="Times New Roman" w:hAnsi="Times New Roman"/>
          <w:sz w:val="17"/>
          <w:szCs w:val="17"/>
          <w:color w:val="auto"/>
        </w:rPr>
        <w:t>”) are issued or outstanding.</w:t>
      </w:r>
    </w:p>
    <w:p>
      <w:pPr>
        <w:spacing w:after="0" w:line="144" w:lineRule="exact"/>
        <w:rPr>
          <w:rFonts w:ascii="Times New Roman" w:cs="Times New Roman" w:eastAsia="Times New Roman" w:hAnsi="Times New Roman"/>
          <w:sz w:val="17"/>
          <w:szCs w:val="17"/>
          <w:color w:val="auto"/>
        </w:rPr>
      </w:pPr>
    </w:p>
    <w:p>
      <w:pPr>
        <w:ind w:left="1840" w:hanging="344"/>
        <w:spacing w:after="0"/>
        <w:tabs>
          <w:tab w:leader="none" w:pos="18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for the Equity Interests of the FBB Subsidiaries, which are identified by name, jurisdiction of incorporation or formation, and</w:t>
      </w:r>
    </w:p>
    <w:p>
      <w:pPr>
        <w:spacing w:after="0" w:line="25" w:lineRule="exact"/>
        <w:rPr>
          <w:rFonts w:ascii="Times New Roman" w:cs="Times New Roman" w:eastAsia="Times New Roman" w:hAnsi="Times New Roman"/>
          <w:sz w:val="17"/>
          <w:szCs w:val="17"/>
          <w:color w:val="auto"/>
        </w:rPr>
      </w:pPr>
    </w:p>
    <w:p>
      <w:pPr>
        <w:jc w:val="both"/>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ownership thereof (including the percentage of such ownership) on Section‎ 4.02(c) of the FBB Disclosure Schedule, FBB does not own, beneficially or of record, directly or indirectly any Equity Interests in any Person, nor does FBB or any FBB Subsidiary have any Contract or other obligation requiring that FBB or any FBB Subsidiary acquire any Equity Interest in any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3741420</wp:posOffset>
            </wp:positionH>
            <wp:positionV relativeFrom="paragraph">
              <wp:posOffset>-2441575</wp:posOffset>
            </wp:positionV>
            <wp:extent cx="77597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5970" cy="7620"/>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-1420495</wp:posOffset>
            </wp:positionV>
            <wp:extent cx="672465"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2465" cy="7620"/>
                    </a:xfrm>
                    <a:prstGeom prst="rect">
                      <a:avLst/>
                    </a:prstGeom>
                    <a:noFill/>
                  </pic:spPr>
                </pic:pic>
              </a:graphicData>
            </a:graphic>
          </wp:anchor>
        </w:drawing>
        <w:drawing>
          <wp:anchor simplePos="0" relativeHeight="251657728" behindDoc="1" locked="0" layoutInCell="0" allowOverlap="1">
            <wp:simplePos x="0" y="0"/>
            <wp:positionH relativeFrom="column">
              <wp:posOffset>2983865</wp:posOffset>
            </wp:positionH>
            <wp:positionV relativeFrom="paragraph">
              <wp:posOffset>-286385</wp:posOffset>
            </wp:positionV>
            <wp:extent cx="672465"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2465" cy="762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37" w:name="page38"/>
    <w:bookmarkEnd w:id="37"/>
    <w:p>
      <w:pPr>
        <w:ind w:left="1225"/>
        <w:spacing w:after="0"/>
        <w:tabs>
          <w:tab w:leader="none" w:pos="2585" w:val="left"/>
        </w:tabs>
        <w:rPr>
          <w:sz w:val="20"/>
          <w:szCs w:val="20"/>
          <w:color w:val="auto"/>
        </w:rPr>
      </w:pPr>
      <w:r>
        <w:rPr>
          <w:rFonts w:ascii="Times New Roman" w:cs="Times New Roman" w:eastAsia="Times New Roman" w:hAnsi="Times New Roman"/>
          <w:sz w:val="17"/>
          <w:szCs w:val="17"/>
          <w:b w:val="1"/>
          <w:bCs w:val="1"/>
          <w:u w:val="single" w:color="auto"/>
          <w:color w:val="auto"/>
        </w:rPr>
        <w:t>SECTION 4.03</w:t>
      </w:r>
      <w:r>
        <w:rPr>
          <w:sz w:val="20"/>
          <w:szCs w:val="20"/>
          <w:color w:val="auto"/>
        </w:rPr>
        <w:tab/>
      </w:r>
      <w:r>
        <w:rPr>
          <w:rFonts w:ascii="Times New Roman" w:cs="Times New Roman" w:eastAsia="Times New Roman" w:hAnsi="Times New Roman"/>
          <w:sz w:val="17"/>
          <w:szCs w:val="17"/>
          <w:b w:val="1"/>
          <w:bCs w:val="1"/>
          <w:u w:val="single" w:color="auto"/>
          <w:color w:val="auto"/>
        </w:rPr>
        <w:t>Authority; No Violation</w:t>
      </w:r>
      <w:r>
        <w:rPr>
          <w:rFonts w:ascii="Times New Roman" w:cs="Times New Roman" w:eastAsia="Times New Roman" w:hAnsi="Times New Roman"/>
          <w:sz w:val="17"/>
          <w:szCs w:val="17"/>
          <w:color w:val="auto"/>
        </w:rPr>
        <w:t>.</w:t>
      </w:r>
    </w:p>
    <w:p>
      <w:pPr>
        <w:spacing w:after="0" w:line="197" w:lineRule="exact"/>
        <w:rPr>
          <w:sz w:val="20"/>
          <w:szCs w:val="20"/>
          <w:color w:val="auto"/>
        </w:rPr>
      </w:pPr>
    </w:p>
    <w:p>
      <w:pPr>
        <w:jc w:val="both"/>
        <w:ind w:left="5" w:firstLine="1496"/>
        <w:spacing w:after="0" w:line="249" w:lineRule="auto"/>
        <w:tabs>
          <w:tab w:leader="none" w:pos="1853"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FBB has full corporate power and authority to execute and deliver this Agreement, and to perform its obligations hereunder and, subject to receipt of the FBB Stockholder Approval, to consummate the Merger and the other Transactions hereunder. The execution and delivery of this Agreement and the consummation of the Merger and the other Transactions have been duly and validly approved and adopted by the FBB Board (at meetings duly called and held or pursuant to a unanimous written consent). The FBB Board has (a) determined that this Agreement and the Merger and the other Transactions are fair to, advisable and in the best interests of FBB and its stockholders; (b) approved and declared advisable this Agreement and the Transactions; and (c) determined to recommend, upon the terms and subject to the conditions set forth in this Agreement, that the stockholders of FBB consent to approve the FBB Stockholder Approval. Except for the approval of this Agreement, the Merger, the FBB Charter Amendment, the COD Amendment and the other Transactions by the FBB Board, including at least one “Oaktree Designee” and at least one “GS Designee” (each as defined in the FBB Stockholders Agreement), which has been obtained, and by the holders of not less than (i) a majority of the voting power of the outstanding FBB Capital Stock, (ii) a majority of the outstanding FBB Preferred Stock, and (iii) a majority of the “Liquidation Preference” (as defined in the Certificate of Designation) of all of the shares of FBB Preferred Stock (clauses (i), (ii) and (iii) collectively, the “</w:t>
      </w:r>
      <w:r>
        <w:rPr>
          <w:rFonts w:ascii="Times New Roman" w:cs="Times New Roman" w:eastAsia="Times New Roman" w:hAnsi="Times New Roman"/>
          <w:sz w:val="17"/>
          <w:szCs w:val="17"/>
          <w:u w:val="single" w:color="auto"/>
          <w:color w:val="auto"/>
        </w:rPr>
        <w:t>FBB Stockholder Approval</w:t>
      </w:r>
      <w:r>
        <w:rPr>
          <w:rFonts w:ascii="Times New Roman" w:cs="Times New Roman" w:eastAsia="Times New Roman" w:hAnsi="Times New Roman"/>
          <w:sz w:val="17"/>
          <w:szCs w:val="17"/>
          <w:color w:val="auto"/>
        </w:rPr>
        <w:t>”), no other corporate proceedings on the part of FBB or any other vote by the holders of any class or series of FBB Capital Stock are necessary to approve or adopt this Agreement or to consummate the Merger and the other Transactions. This Agreement has been duly and validly executed and delivered by FBB and (assuming due authorization, execution and delivery by the other parties hereto) constitutes the valid and binding obligation of FBB, enforceable against FBB in accordance with its terms, subject to the Enforceability Exceptions.</w:t>
      </w:r>
    </w:p>
    <w:p>
      <w:pPr>
        <w:spacing w:after="0" w:line="365" w:lineRule="exact"/>
        <w:rPr>
          <w:rFonts w:ascii="Times New Roman" w:cs="Times New Roman" w:eastAsia="Times New Roman" w:hAnsi="Times New Roman"/>
          <w:sz w:val="17"/>
          <w:szCs w:val="17"/>
          <w:color w:val="auto"/>
        </w:rPr>
      </w:pPr>
    </w:p>
    <w:p>
      <w:pPr>
        <w:jc w:val="both"/>
        <w:ind w:left="5" w:right="20" w:firstLine="1496"/>
        <w:spacing w:after="0" w:line="259" w:lineRule="auto"/>
        <w:tabs>
          <w:tab w:leader="none" w:pos="1853"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execution and delivery of this Agreement by FBB nor the consummation by FBB of the Merger, the FBB Charter Amendment, the COD Amendment or the other Transactions, nor compliance by FBB with any of the terms or provisions of this Agreement, will (i) violate any</w:t>
      </w:r>
    </w:p>
    <w:p>
      <w:pPr>
        <w:ind w:left="5"/>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provision of the FBB Charter or FBB Bylaws or (ii) assuming that the consents, approvals and filings referred to in Section‎ 4.04 are duly obtained and/or made,</w:t>
      </w:r>
    </w:p>
    <w:p>
      <w:pPr>
        <w:spacing w:after="0" w:line="5" w:lineRule="exact"/>
        <w:rPr>
          <w:rFonts w:ascii="Times New Roman" w:cs="Times New Roman" w:eastAsia="Times New Roman" w:hAnsi="Times New Roman"/>
          <w:sz w:val="17"/>
          <w:szCs w:val="17"/>
          <w:color w:val="auto"/>
        </w:rPr>
      </w:pPr>
    </w:p>
    <w:p>
      <w:pPr>
        <w:jc w:val="both"/>
        <w:ind w:left="5" w:hanging="5"/>
        <w:spacing w:after="0" w:line="249" w:lineRule="auto"/>
        <w:tabs>
          <w:tab w:leader="none" w:pos="292"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violate any Injunction or any statute, code, ordinance, rule, regulation, judgment, order, writ or decree applicable to FBB, any of the FBB Subsidiaries or any of their respective properties or assets, or (B) violate, conflict with, result in a breach of any provision of or the loss of any benefit under, constitute a default (or an event which, with notice or lapse of time, or both, would constitute a default) under, result in the termination of or a right of termination or cancelation under, accelerate the performance required by, or result in the creation of any Lien upon any of the respective properties or assets of FBB or any of the FBB Subsidiaries under, any of the terms, conditions or provisions of any Contract, note, bond, mortgage, indenture, deed of trust, FBB License, lease, agreement or other instrument or obligation to which FBB or any of the FBB Subsidiaries is a party, or by which they or any of their respective properties or assets may be bound or affected, other than, in the case of clause (ii), that would not have, individually or in the aggregate, a Material Adverse Effect on FBB.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5178425</wp:posOffset>
            </wp:positionH>
            <wp:positionV relativeFrom="paragraph">
              <wp:posOffset>-922655</wp:posOffset>
            </wp:positionV>
            <wp:extent cx="54991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49910" cy="7620"/>
                    </a:xfrm>
                    <a:prstGeom prst="rect">
                      <a:avLst/>
                    </a:prstGeom>
                    <a:noFill/>
                  </pic:spPr>
                </pic:pic>
              </a:graphicData>
            </a:graphic>
          </wp:anchor>
        </w:drawing>
      </w:r>
    </w:p>
    <w:p>
      <w:pPr>
        <w:spacing w:after="0" w:line="135" w:lineRule="exact"/>
        <w:rPr>
          <w:sz w:val="20"/>
          <w:szCs w:val="20"/>
          <w:color w:val="auto"/>
        </w:rPr>
      </w:pPr>
    </w:p>
    <w:p>
      <w:pPr>
        <w:jc w:val="both"/>
        <w:ind w:left="5" w:firstLine="1220"/>
        <w:spacing w:after="0" w:line="255" w:lineRule="auto"/>
        <w:rPr>
          <w:sz w:val="20"/>
          <w:szCs w:val="20"/>
          <w:color w:val="auto"/>
        </w:rPr>
      </w:pPr>
      <w:r>
        <w:rPr>
          <w:rFonts w:ascii="Times New Roman" w:cs="Times New Roman" w:eastAsia="Times New Roman" w:hAnsi="Times New Roman"/>
          <w:sz w:val="17"/>
          <w:szCs w:val="17"/>
          <w:b w:val="1"/>
          <w:bCs w:val="1"/>
          <w:u w:val="single" w:color="auto"/>
          <w:color w:val="auto"/>
        </w:rPr>
        <w:t>SECTION 4.04 Consents and Approvals</w:t>
      </w:r>
      <w:r>
        <w:rPr>
          <w:rFonts w:ascii="Times New Roman" w:cs="Times New Roman" w:eastAsia="Times New Roman" w:hAnsi="Times New Roman"/>
          <w:sz w:val="17"/>
          <w:szCs w:val="17"/>
          <w:color w:val="auto"/>
        </w:rPr>
        <w:t>. Except for (a) the filing of the Certificate of Merger in accordance with the DGCL, (b)</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compliance with notices and filings, if any, under any Antitrust Laws of any applicable jurisdiction, (c) such filings and approvals as are required to be made or obtained under the securities or “Blue Sky” laws of various states in connection with the issuance of DXL Common Stock constituting the Merger Consideration,</w:t>
      </w:r>
    </w:p>
    <w:p>
      <w:pPr>
        <w:spacing w:after="0" w:line="2" w:lineRule="exact"/>
        <w:rPr>
          <w:sz w:val="20"/>
          <w:szCs w:val="20"/>
          <w:color w:val="auto"/>
        </w:rPr>
      </w:pPr>
    </w:p>
    <w:p>
      <w:pPr>
        <w:jc w:val="both"/>
        <w:ind w:left="5" w:hanging="5"/>
        <w:spacing w:after="0" w:line="251" w:lineRule="auto"/>
        <w:tabs>
          <w:tab w:leader="none" w:pos="254"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filings required under the rules and regulations of Nasdaq and (e) such approvals, consents, authorizations, declarations, filings or registrations the failure of which to be obtained or made would not have, individually or in the aggregate, a Material Adverse Effect on FBB, no authorizations or authority of any Governmental Entity are necessary in connection with (i) the execution and delivery by FBB of this Agreement, and (ii) the consummation by FBB of the Transactions.</w:t>
      </w:r>
    </w:p>
    <w:p>
      <w:pPr>
        <w:spacing w:after="0" w:line="154" w:lineRule="exact"/>
        <w:rPr>
          <w:sz w:val="20"/>
          <w:szCs w:val="20"/>
          <w:color w:val="auto"/>
        </w:rPr>
      </w:pPr>
    </w:p>
    <w:p>
      <w:pPr>
        <w:ind w:left="1225"/>
        <w:spacing w:after="0"/>
        <w:tabs>
          <w:tab w:leader="none" w:pos="2585" w:val="left"/>
        </w:tabs>
        <w:rPr>
          <w:sz w:val="20"/>
          <w:szCs w:val="20"/>
          <w:color w:val="auto"/>
        </w:rPr>
      </w:pPr>
      <w:r>
        <w:rPr>
          <w:rFonts w:ascii="Times New Roman" w:cs="Times New Roman" w:eastAsia="Times New Roman" w:hAnsi="Times New Roman"/>
          <w:sz w:val="17"/>
          <w:szCs w:val="17"/>
          <w:b w:val="1"/>
          <w:bCs w:val="1"/>
          <w:u w:val="single" w:color="auto"/>
          <w:color w:val="auto"/>
        </w:rPr>
        <w:t>SECTION 4.05</w:t>
      </w:r>
      <w:r>
        <w:rPr>
          <w:sz w:val="20"/>
          <w:szCs w:val="20"/>
          <w:color w:val="auto"/>
        </w:rPr>
        <w:tab/>
      </w:r>
      <w:r>
        <w:rPr>
          <w:rFonts w:ascii="Times New Roman" w:cs="Times New Roman" w:eastAsia="Times New Roman" w:hAnsi="Times New Roman"/>
          <w:sz w:val="17"/>
          <w:szCs w:val="17"/>
          <w:b w:val="1"/>
          <w:bCs w:val="1"/>
          <w:u w:val="single" w:color="auto"/>
          <w:color w:val="auto"/>
        </w:rPr>
        <w:t>Financial Statements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379"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52" w:right="319" w:bottom="1440" w:gutter="0" w:footer="0" w:header="0"/>
        </w:sectPr>
      </w:pPr>
    </w:p>
    <w:bookmarkStart w:id="38" w:name="page39"/>
    <w:bookmarkEnd w:id="38"/>
    <w:p>
      <w:pPr>
        <w:jc w:val="both"/>
        <w:ind w:firstLine="1496"/>
        <w:spacing w:after="0" w:line="251" w:lineRule="auto"/>
        <w:tabs>
          <w:tab w:leader="none" w:pos="1883"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4.05(a) of the FBB Disclosure Schedule includes true and complete copies of FBB’s (i) unaudited balance sheet as of September 27, 2025 and the related unaudited statements of operations, cash flows and changes in stockholders’ equity as of and for the nine months ended September 30, 2025 and (ii) audited balance sheet as of December 28, 2024, December 30, 2023 and December 31, 2022, and the related audited statements of operations, cash flows and changes in stockholders’ equity for the years ended December 28, 2024, December 30, 2023 and December 31, 2022, together with the notes thereto and the reports and opinions of FBB’s independent auditor relating thereto, prepared in accordance with GAAP (such financial statements described in the immediately preceding clauses (i) and (ii), collectively, the “</w:t>
      </w:r>
      <w:r>
        <w:rPr>
          <w:rFonts w:ascii="Times New Roman" w:cs="Times New Roman" w:eastAsia="Times New Roman" w:hAnsi="Times New Roman"/>
          <w:sz w:val="17"/>
          <w:szCs w:val="17"/>
          <w:u w:val="single" w:color="auto"/>
          <w:color w:val="auto"/>
        </w:rPr>
        <w:t>FBB Financial Statements</w:t>
      </w:r>
      <w:r>
        <w:rPr>
          <w:rFonts w:ascii="Times New Roman" w:cs="Times New Roman" w:eastAsia="Times New Roman" w:hAnsi="Times New Roman"/>
          <w:sz w:val="17"/>
          <w:szCs w:val="17"/>
          <w:color w:val="auto"/>
        </w:rPr>
        <w:t>”). The FBB Financial Statements (x) were prepared in all material respects in accordance with GAAP applied on a consistent basis (unless otherwise noted therein) throughout the periods indicated and (y) fairly present, in all material respects, the financial condition, the cash flows and operating results of FBB as of the dates and for the periods indicated therein (subject to normal year-end adjustments in the case of any unaudited interim financial statements, none of which are material, individually or in the aggregate).</w:t>
      </w:r>
    </w:p>
    <w:p>
      <w:pPr>
        <w:spacing w:after="0" w:line="158" w:lineRule="exact"/>
        <w:rPr>
          <w:rFonts w:ascii="Times New Roman" w:cs="Times New Roman" w:eastAsia="Times New Roman" w:hAnsi="Times New Roman"/>
          <w:sz w:val="17"/>
          <w:szCs w:val="17"/>
          <w:color w:val="auto"/>
        </w:rPr>
      </w:pPr>
    </w:p>
    <w:p>
      <w:pPr>
        <w:jc w:val="both"/>
        <w:ind w:right="20" w:firstLine="1496"/>
        <w:spacing w:after="0" w:line="259" w:lineRule="auto"/>
        <w:tabs>
          <w:tab w:leader="none" w:pos="1848"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January 1, 2023, neither FBB nor any of its Subsidiaries nor, to the knowledge of FBB, any director, officer, employee, auditor, accountant, consultant or Representative of FBB or any of its Subsidiaries has received or otherwise had or obtained Knowledge of any complaint, allegation, assertion or claim, whether written or oral, that FBB or any of its Subsidiaries has engaged in accounting or auditing practices in violation of applicable Law or applicable requirements of GAAP.</w:t>
      </w:r>
    </w:p>
    <w:p>
      <w:pPr>
        <w:spacing w:after="0" w:line="149" w:lineRule="exact"/>
        <w:rPr>
          <w:rFonts w:ascii="Times New Roman" w:cs="Times New Roman" w:eastAsia="Times New Roman" w:hAnsi="Times New Roman"/>
          <w:sz w:val="17"/>
          <w:szCs w:val="17"/>
          <w:color w:val="auto"/>
        </w:rPr>
      </w:pPr>
    </w:p>
    <w:p>
      <w:pPr>
        <w:jc w:val="both"/>
        <w:ind w:right="20" w:firstLine="1496"/>
        <w:spacing w:after="0" w:line="259" w:lineRule="auto"/>
        <w:tabs>
          <w:tab w:leader="none" w:pos="1848"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January 1, 2023, neither FBB nor any of its Subsidiaries (nor, to the Knowledge of FBB, any employee thereof) nor FBB’s independent auditor has identified or been made aware of any (i) significant deficiency or material weakness in the system of internal accounting controls utilized by FBB and its Subsidiaries; (ii) fraud, whether or not material, that involves FBB’s management or other employees who have a role in the preparation of financial statements or the internal accounting controls utilized by FBB and its Subsidiaries; or (iii) claim or allegation regarding any of the foregoing.</w:t>
      </w:r>
    </w:p>
    <w:p>
      <w:pPr>
        <w:spacing w:after="0" w:line="149" w:lineRule="exact"/>
        <w:rPr>
          <w:rFonts w:ascii="Times New Roman" w:cs="Times New Roman" w:eastAsia="Times New Roman" w:hAnsi="Times New Roman"/>
          <w:sz w:val="17"/>
          <w:szCs w:val="17"/>
          <w:color w:val="auto"/>
        </w:rPr>
      </w:pPr>
    </w:p>
    <w:p>
      <w:pPr>
        <w:jc w:val="both"/>
        <w:ind w:right="20" w:firstLine="1496"/>
        <w:spacing w:after="0" w:line="259" w:lineRule="auto"/>
        <w:tabs>
          <w:tab w:leader="none" w:pos="1848"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(i) for those liabilities that are reflected or reserved against on FBB’s balance sheet as of December 28, 2024 or the notes thereto, (ii) for liabilities and obligations incurred in the ordinary course of business consistent with past practice since the date of such balance sheet and (iii) for liabilities and obligations incurred in connection with this Agreement, FBB and its Subsidiaries do not have any liabilities that, individually or in the aggregate, are material to FBB and its Subsidiaries, taken as a whole.</w:t>
      </w:r>
    </w:p>
    <w:p>
      <w:pPr>
        <w:spacing w:after="0" w:line="149" w:lineRule="exact"/>
        <w:rPr>
          <w:rFonts w:ascii="Times New Roman" w:cs="Times New Roman" w:eastAsia="Times New Roman" w:hAnsi="Times New Roman"/>
          <w:sz w:val="17"/>
          <w:szCs w:val="17"/>
          <w:color w:val="auto"/>
        </w:rPr>
      </w:pPr>
    </w:p>
    <w:p>
      <w:pPr>
        <w:jc w:val="both"/>
        <w:ind w:firstLine="1496"/>
        <w:spacing w:after="0" w:line="256" w:lineRule="auto"/>
        <w:tabs>
          <w:tab w:leader="none" w:pos="1848"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FBB is not a party to, nor does it have any commitment to become a party to, any joint venture, partnership agreement or any similar Contract (including any Contract relating to any transaction, arrangement or relationship between FBB, on the one hand, and any unconsolidated Affiliate, including any structured finance, special purpose or limited purpose entity or Person, on the other hand), or any off-balance sheet arrangement, which, the case of any of the foregoing, would (if FBB were subject to the reporting requirements of Section 13a of the Exchange Act) be required to be disclosed pursuant to Item 303(b) of Regulation S-K promulgated by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1192530</wp:posOffset>
            </wp:positionH>
            <wp:positionV relativeFrom="paragraph">
              <wp:posOffset>-3704590</wp:posOffset>
            </wp:positionV>
            <wp:extent cx="69469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4690" cy="7620"/>
                    </a:xfrm>
                    <a:prstGeom prst="rect">
                      <a:avLst/>
                    </a:prstGeom>
                    <a:noFill/>
                  </pic:spPr>
                </pic:pic>
              </a:graphicData>
            </a:graphic>
          </wp:anchor>
        </w:drawing>
      </w:r>
    </w:p>
    <w:p>
      <w:pPr>
        <w:spacing w:after="0" w:line="130" w:lineRule="exact"/>
        <w:rPr>
          <w:sz w:val="20"/>
          <w:szCs w:val="20"/>
          <w:color w:val="auto"/>
        </w:rPr>
      </w:pPr>
    </w:p>
    <w:p>
      <w:pPr>
        <w:jc w:val="both"/>
        <w:ind w:firstLine="1220"/>
        <w:spacing w:after="0" w:line="260" w:lineRule="auto"/>
        <w:rPr>
          <w:sz w:val="20"/>
          <w:szCs w:val="20"/>
          <w:color w:val="auto"/>
        </w:rPr>
      </w:pPr>
      <w:r>
        <w:rPr>
          <w:rFonts w:ascii="Times New Roman" w:cs="Times New Roman" w:eastAsia="Times New Roman" w:hAnsi="Times New Roman"/>
          <w:sz w:val="17"/>
          <w:szCs w:val="17"/>
          <w:b w:val="1"/>
          <w:bCs w:val="1"/>
          <w:u w:val="single" w:color="auto"/>
          <w:color w:val="auto"/>
        </w:rPr>
        <w:t>SECTION 4.06 Advisors’ Fees</w:t>
      </w:r>
      <w:r>
        <w:rPr>
          <w:rFonts w:ascii="Times New Roman" w:cs="Times New Roman" w:eastAsia="Times New Roman" w:hAnsi="Times New Roman"/>
          <w:sz w:val="17"/>
          <w:szCs w:val="17"/>
          <w:color w:val="auto"/>
        </w:rPr>
        <w:t>. None of FBB, any FBB Subsidiary or any of their respective officers or directors has employed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Advisor, or incurred any liability for any broker’s fees, commissions, finder’s fees or other Advisor fees, in connection with the Merger or other Transactions, other than Rothschild &amp; Co (“</w:t>
      </w:r>
      <w:r>
        <w:rPr>
          <w:rFonts w:ascii="Times New Roman" w:cs="Times New Roman" w:eastAsia="Times New Roman" w:hAnsi="Times New Roman"/>
          <w:sz w:val="17"/>
          <w:szCs w:val="17"/>
          <w:u w:val="single" w:color="auto"/>
          <w:color w:val="auto"/>
        </w:rPr>
        <w:t>FBB’s Financial Advisor</w:t>
      </w:r>
      <w:r>
        <w:rPr>
          <w:rFonts w:ascii="Times New Roman" w:cs="Times New Roman" w:eastAsia="Times New Roman" w:hAnsi="Times New Roman"/>
          <w:sz w:val="17"/>
          <w:szCs w:val="17"/>
          <w:color w:val="auto"/>
        </w:rPr>
        <w:t>”). FBB retained FBB’s Financial Advisor pursuant to an engagement letter and has delivered to DXL a true and complete copy of such engagement letter.</w:t>
      </w:r>
    </w:p>
    <w:p>
      <w:pPr>
        <w:spacing w:after="0" w:line="146" w:lineRule="exact"/>
        <w:rPr>
          <w:sz w:val="20"/>
          <w:szCs w:val="20"/>
          <w:color w:val="auto"/>
        </w:rPr>
      </w:pPr>
    </w:p>
    <w:p>
      <w:pPr>
        <w:ind w:left="1220"/>
        <w:spacing w:after="0"/>
        <w:tabs>
          <w:tab w:leader="none" w:pos="2580" w:val="left"/>
        </w:tabs>
        <w:rPr>
          <w:sz w:val="20"/>
          <w:szCs w:val="20"/>
          <w:color w:val="auto"/>
        </w:rPr>
      </w:pPr>
      <w:r>
        <w:rPr>
          <w:rFonts w:ascii="Times New Roman" w:cs="Times New Roman" w:eastAsia="Times New Roman" w:hAnsi="Times New Roman"/>
          <w:sz w:val="17"/>
          <w:szCs w:val="17"/>
          <w:b w:val="1"/>
          <w:bCs w:val="1"/>
          <w:u w:val="single" w:color="auto"/>
          <w:color w:val="auto"/>
        </w:rPr>
        <w:t>SECTION 4.07</w:t>
      </w:r>
      <w:r>
        <w:rPr>
          <w:sz w:val="20"/>
          <w:szCs w:val="20"/>
          <w:color w:val="auto"/>
        </w:rPr>
        <w:tab/>
      </w:r>
      <w:r>
        <w:rPr>
          <w:rFonts w:ascii="Times New Roman" w:cs="Times New Roman" w:eastAsia="Times New Roman" w:hAnsi="Times New Roman"/>
          <w:sz w:val="17"/>
          <w:szCs w:val="17"/>
          <w:b w:val="1"/>
          <w:bCs w:val="1"/>
          <w:u w:val="single" w:color="auto"/>
          <w:color w:val="auto"/>
        </w:rPr>
        <w:t>Absence of Certain Changes or Events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39" w:name="page40"/>
    <w:bookmarkEnd w:id="39"/>
    <w:p>
      <w:pPr>
        <w:ind w:right="20" w:firstLine="1496"/>
        <w:spacing w:after="0" w:line="284" w:lineRule="auto"/>
        <w:tabs>
          <w:tab w:leader="none" w:pos="1848"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December 28, 2024, through the date of this Agreement, no event or events or development or developments have occurred that have had or would reasonably be expected to have, individually or in the aggregate, a Material Adverse Effect on FBB.</w:t>
      </w:r>
    </w:p>
    <w:p>
      <w:pPr>
        <w:spacing w:after="0" w:line="128" w:lineRule="exact"/>
        <w:rPr>
          <w:rFonts w:ascii="Times New Roman" w:cs="Times New Roman" w:eastAsia="Times New Roman" w:hAnsi="Times New Roman"/>
          <w:sz w:val="17"/>
          <w:szCs w:val="17"/>
          <w:color w:val="auto"/>
        </w:rPr>
      </w:pPr>
    </w:p>
    <w:p>
      <w:pPr>
        <w:jc w:val="both"/>
        <w:ind w:right="20" w:firstLine="1496"/>
        <w:spacing w:after="0" w:line="265" w:lineRule="auto"/>
        <w:tabs>
          <w:tab w:leader="none" w:pos="1848"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in connection with the execution and delivery of this Agreement and the Transactions, from December 28, 2024 through the date of this Agreement, FBB and the FBB Subsidiaries have carried on their respective businesses in all material respects in the ordinary course, consistent with past practice.</w:t>
      </w:r>
    </w:p>
    <w:p>
      <w:pPr>
        <w:spacing w:after="0" w:line="143" w:lineRule="exact"/>
        <w:rPr>
          <w:sz w:val="20"/>
          <w:szCs w:val="20"/>
          <w:color w:val="auto"/>
        </w:rPr>
      </w:pPr>
    </w:p>
    <w:p>
      <w:pPr>
        <w:ind w:left="1220"/>
        <w:spacing w:after="0"/>
        <w:tabs>
          <w:tab w:leader="none" w:pos="2580" w:val="left"/>
        </w:tabs>
        <w:rPr>
          <w:sz w:val="20"/>
          <w:szCs w:val="20"/>
          <w:color w:val="auto"/>
        </w:rPr>
      </w:pPr>
      <w:r>
        <w:rPr>
          <w:rFonts w:ascii="Times New Roman" w:cs="Times New Roman" w:eastAsia="Times New Roman" w:hAnsi="Times New Roman"/>
          <w:sz w:val="17"/>
          <w:szCs w:val="17"/>
          <w:b w:val="1"/>
          <w:bCs w:val="1"/>
          <w:u w:val="single" w:color="auto"/>
          <w:color w:val="auto"/>
        </w:rPr>
        <w:t>SECTION 4.08</w:t>
      </w:r>
      <w:r>
        <w:rPr>
          <w:sz w:val="20"/>
          <w:szCs w:val="20"/>
          <w:color w:val="auto"/>
        </w:rPr>
        <w:tab/>
      </w:r>
      <w:r>
        <w:rPr>
          <w:rFonts w:ascii="Times New Roman" w:cs="Times New Roman" w:eastAsia="Times New Roman" w:hAnsi="Times New Roman"/>
          <w:sz w:val="17"/>
          <w:szCs w:val="17"/>
          <w:b w:val="1"/>
          <w:bCs w:val="1"/>
          <w:u w:val="single" w:color="auto"/>
          <w:color w:val="auto"/>
        </w:rPr>
        <w:t>Legal Proceedings</w:t>
      </w:r>
      <w:r>
        <w:rPr>
          <w:rFonts w:ascii="Times New Roman" w:cs="Times New Roman" w:eastAsia="Times New Roman" w:hAnsi="Times New Roman"/>
          <w:sz w:val="17"/>
          <w:szCs w:val="17"/>
          <w:color w:val="auto"/>
        </w:rPr>
        <w:t>.</w:t>
      </w:r>
    </w:p>
    <w:p>
      <w:pPr>
        <w:spacing w:after="0" w:line="197" w:lineRule="exact"/>
        <w:rPr>
          <w:sz w:val="20"/>
          <w:szCs w:val="20"/>
          <w:color w:val="auto"/>
        </w:rPr>
      </w:pPr>
    </w:p>
    <w:p>
      <w:pPr>
        <w:jc w:val="both"/>
        <w:ind w:firstLine="1496"/>
        <w:spacing w:after="0" w:line="259" w:lineRule="auto"/>
        <w:tabs>
          <w:tab w:leader="none" w:pos="1848"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the date hereof, none of FBB nor any of the FBB Subsidiaries is a party to any, and there are no pending or, to FBB’s Knowledge, threatened Proceedings against FBB or any of the FBB Subsidiaries, or, to FBB’s Knowledge, any of the directors, officers or employees of FBB of any of its Subsidiaries in their respective capacities as such; and, since January 1, 2022, neither FBB nor any of its Subsidiaries has settled or compromised any proceeding or claim, whether filed or threatened, which settlement or compromise is or was material to FBB or any of its Subsidiaries.</w:t>
      </w:r>
    </w:p>
    <w:p>
      <w:pPr>
        <w:spacing w:after="0" w:line="149" w:lineRule="exact"/>
        <w:rPr>
          <w:rFonts w:ascii="Times New Roman" w:cs="Times New Roman" w:eastAsia="Times New Roman" w:hAnsi="Times New Roman"/>
          <w:sz w:val="17"/>
          <w:szCs w:val="17"/>
          <w:color w:val="auto"/>
        </w:rPr>
      </w:pPr>
    </w:p>
    <w:p>
      <w:pPr>
        <w:ind w:left="1840" w:hanging="344"/>
        <w:spacing w:after="0"/>
        <w:tabs>
          <w:tab w:leader="none" w:pos="18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no Injunction, judgment or regulatory restriction imposed upon FBB, any of the FBB Subsidiaries or the assets of FBB or any</w:t>
      </w:r>
    </w:p>
    <w:p>
      <w:pPr>
        <w:spacing w:after="0" w:line="25"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FBB Subsidiaries.</w:t>
      </w:r>
    </w:p>
    <w:p>
      <w:pPr>
        <w:spacing w:after="0" w:line="173" w:lineRule="exact"/>
        <w:rPr>
          <w:sz w:val="20"/>
          <w:szCs w:val="20"/>
          <w:color w:val="auto"/>
        </w:rPr>
      </w:pPr>
    </w:p>
    <w:p>
      <w:pPr>
        <w:ind w:left="1220"/>
        <w:spacing w:after="0"/>
        <w:tabs>
          <w:tab w:leader="none" w:pos="2580" w:val="left"/>
        </w:tabs>
        <w:rPr>
          <w:sz w:val="20"/>
          <w:szCs w:val="20"/>
          <w:color w:val="auto"/>
        </w:rPr>
      </w:pPr>
      <w:r>
        <w:rPr>
          <w:rFonts w:ascii="Times New Roman" w:cs="Times New Roman" w:eastAsia="Times New Roman" w:hAnsi="Times New Roman"/>
          <w:sz w:val="17"/>
          <w:szCs w:val="17"/>
          <w:b w:val="1"/>
          <w:bCs w:val="1"/>
          <w:u w:val="single" w:color="auto"/>
          <w:color w:val="auto"/>
        </w:rPr>
        <w:t>SECTION 4.09</w:t>
      </w:r>
      <w:r>
        <w:rPr>
          <w:sz w:val="20"/>
          <w:szCs w:val="20"/>
          <w:color w:val="auto"/>
        </w:rPr>
        <w:tab/>
      </w:r>
      <w:r>
        <w:rPr>
          <w:rFonts w:ascii="Times New Roman" w:cs="Times New Roman" w:eastAsia="Times New Roman" w:hAnsi="Times New Roman"/>
          <w:sz w:val="17"/>
          <w:szCs w:val="17"/>
          <w:b w:val="1"/>
          <w:bCs w:val="1"/>
          <w:u w:val="single" w:color="auto"/>
          <w:color w:val="auto"/>
        </w:rPr>
        <w:t>Taxes and Tax Returns</w:t>
      </w:r>
      <w:r>
        <w:rPr>
          <w:rFonts w:ascii="Times New Roman" w:cs="Times New Roman" w:eastAsia="Times New Roman" w:hAnsi="Times New Roman"/>
          <w:sz w:val="17"/>
          <w:szCs w:val="17"/>
          <w:color w:val="auto"/>
        </w:rPr>
        <w:t>.</w:t>
      </w:r>
    </w:p>
    <w:p>
      <w:pPr>
        <w:spacing w:after="0" w:line="197" w:lineRule="exact"/>
        <w:rPr>
          <w:sz w:val="20"/>
          <w:szCs w:val="20"/>
          <w:color w:val="auto"/>
        </w:rPr>
      </w:pPr>
    </w:p>
    <w:p>
      <w:pPr>
        <w:ind w:left="1500"/>
        <w:spacing w:after="0"/>
        <w:tabs>
          <w:tab w:leader="none" w:pos="1820" w:val="left"/>
        </w:tabs>
        <w:rPr>
          <w:sz w:val="20"/>
          <w:szCs w:val="20"/>
          <w:color w:val="auto"/>
        </w:rPr>
      </w:pPr>
      <w:r>
        <w:rPr>
          <w:rFonts w:ascii="Times New Roman" w:cs="Times New Roman" w:eastAsia="Times New Roman" w:hAnsi="Times New Roman"/>
          <w:sz w:val="17"/>
          <w:szCs w:val="17"/>
          <w:color w:val="auto"/>
        </w:rPr>
        <w:t>(a)</w:t>
        <w:tab/>
        <w:t>Except as has not had and would not reasonably be expected to have, individually or in the aggregate, a Material Adverse Effect 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FBB:</w:t>
      </w:r>
    </w:p>
    <w:p>
      <w:pPr>
        <w:spacing w:after="0" w:line="175" w:lineRule="exact"/>
        <w:rPr>
          <w:sz w:val="20"/>
          <w:szCs w:val="20"/>
          <w:color w:val="auto"/>
        </w:rPr>
      </w:pPr>
    </w:p>
    <w:p>
      <w:pPr>
        <w:ind w:right="20" w:firstLine="2246"/>
        <w:spacing w:after="0" w:line="284" w:lineRule="auto"/>
        <w:tabs>
          <w:tab w:leader="none" w:pos="2598"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Tax Returns required by Law to be filed by FBB and the FBB Subsidiaries have been duly and timely filed (after giving effect to any valid extensions of time in which to make such filings) and all such Tax Returns are true, correct and complete.</w:t>
      </w:r>
    </w:p>
    <w:p>
      <w:pPr>
        <w:spacing w:after="0" w:line="128" w:lineRule="exact"/>
        <w:rPr>
          <w:rFonts w:ascii="Times New Roman" w:cs="Times New Roman" w:eastAsia="Times New Roman" w:hAnsi="Times New Roman"/>
          <w:sz w:val="17"/>
          <w:szCs w:val="17"/>
          <w:color w:val="auto"/>
        </w:rPr>
      </w:pPr>
    </w:p>
    <w:p>
      <w:pPr>
        <w:ind w:right="20" w:firstLine="2246"/>
        <w:spacing w:after="0" w:line="284" w:lineRule="auto"/>
        <w:tabs>
          <w:tab w:leader="none" w:pos="2598"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amounts of Taxes shown due on any Tax Returns of FBB and the FBB Subsidiaries and all other amounts of Taxes owed by FBB and the FBB Subsidiaries have been timely paid.</w:t>
      </w:r>
    </w:p>
    <w:p>
      <w:pPr>
        <w:spacing w:after="0" w:line="128" w:lineRule="exact"/>
        <w:rPr>
          <w:rFonts w:ascii="Times New Roman" w:cs="Times New Roman" w:eastAsia="Times New Roman" w:hAnsi="Times New Roman"/>
          <w:sz w:val="17"/>
          <w:szCs w:val="17"/>
          <w:color w:val="auto"/>
        </w:rPr>
      </w:pPr>
    </w:p>
    <w:p>
      <w:pPr>
        <w:jc w:val="both"/>
        <w:ind w:right="20" w:firstLine="2246"/>
        <w:spacing w:after="0" w:line="265" w:lineRule="auto"/>
        <w:tabs>
          <w:tab w:leader="none" w:pos="2598"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FBB and the FBB Subsidiaries have (i) withheld all amounts of Taxes required to have been withheld by it in connection with amounts paid to any employee, independent contractor, creditor, stockholder or any other third party, and (ii) remitted such amounts required to have been remitted to the appropriate Tax Authority.</w:t>
      </w:r>
    </w:p>
    <w:p>
      <w:pPr>
        <w:spacing w:after="0" w:line="144" w:lineRule="exact"/>
        <w:rPr>
          <w:rFonts w:ascii="Times New Roman" w:cs="Times New Roman" w:eastAsia="Times New Roman" w:hAnsi="Times New Roman"/>
          <w:sz w:val="17"/>
          <w:szCs w:val="17"/>
          <w:color w:val="auto"/>
        </w:rPr>
      </w:pPr>
    </w:p>
    <w:p>
      <w:pPr>
        <w:jc w:val="both"/>
        <w:ind w:firstLine="2246"/>
        <w:spacing w:after="0" w:line="253" w:lineRule="auto"/>
        <w:tabs>
          <w:tab w:leader="none" w:pos="2598"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FBB nor the FBB Subsidiaries is currently engaged in any audit, administrative or judicial proceeding with a Tax Authority with respect to Taxes. Neither FBB nor the FBB Subsidiaries has received any written notice from a Tax Authority of a proposed deficiency of any amount of Taxes other than any such deficiencies that have since been resolved. No written claim has been made by any Tax Authority in a jurisdiction where FBB or the FBB Subsidiaries does not file a Tax Return that such entity is or may be subject to Taxes by, or required to file Tax Returns in, that jurisdiction which claim has not been resolved. There are no outstanding agreements extending or waiving the statutory period of limitations applicable to any claim for, or the period for the collection or assessment or reassessment of, Taxes of FBB or the FBB Subsidiaries, and no written request for any such waiver or extension is currently pending.</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40" w:name="page41"/>
    <w:bookmarkEnd w:id="40"/>
    <w:p>
      <w:pPr>
        <w:ind w:right="20" w:firstLine="2246"/>
        <w:spacing w:after="0" w:line="284" w:lineRule="auto"/>
        <w:tabs>
          <w:tab w:leader="none" w:pos="2598"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FBB nor the FBB Subsidiaries has constituted either a “distributing corporation” or a “controlled corporation” in a distribution of stock qualifying for tax-free treatment under Section 355 of the Code in the prior two (2) years.</w:t>
      </w:r>
    </w:p>
    <w:p>
      <w:pPr>
        <w:spacing w:after="0" w:line="128" w:lineRule="exact"/>
        <w:rPr>
          <w:rFonts w:ascii="Times New Roman" w:cs="Times New Roman" w:eastAsia="Times New Roman" w:hAnsi="Times New Roman"/>
          <w:sz w:val="17"/>
          <w:szCs w:val="17"/>
          <w:color w:val="auto"/>
        </w:rPr>
      </w:pPr>
    </w:p>
    <w:p>
      <w:pPr>
        <w:ind w:left="2600" w:hanging="354"/>
        <w:spacing w:after="0"/>
        <w:tabs>
          <w:tab w:leader="none" w:pos="26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FBB nor the FBB Subsidiaries has been a party to any “listed transaction” within the meaning of Treasury</w:t>
      </w:r>
    </w:p>
    <w:p>
      <w:pPr>
        <w:spacing w:after="0" w:line="25"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Regulation Section 1.6011-4(b)(2).</w:t>
      </w:r>
    </w:p>
    <w:p>
      <w:pPr>
        <w:spacing w:after="0" w:line="174" w:lineRule="exact"/>
        <w:rPr>
          <w:rFonts w:ascii="Times New Roman" w:cs="Times New Roman" w:eastAsia="Times New Roman" w:hAnsi="Times New Roman"/>
          <w:sz w:val="17"/>
          <w:szCs w:val="17"/>
          <w:color w:val="auto"/>
        </w:rPr>
      </w:pPr>
    </w:p>
    <w:p>
      <w:pPr>
        <w:jc w:val="both"/>
        <w:ind w:firstLine="2246"/>
        <w:spacing w:after="0" w:line="251" w:lineRule="auto"/>
        <w:tabs>
          <w:tab w:leader="none" w:pos="2598"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FBB nor the FBB Subsidiaries will be required to include any item of income in, or exclude any item of deduction from, taxable income for any taxable period (or portion thereof) ending after the Closing Date as a result of any: (A) change in method of accounting for a taxable period (or portion thereof) ending on or prior to the Closing Date and made prior to the Closing; (B) ruling by, or written agreement with, a Tax Authority (including any closing agreement pursuant to Section 7121 of the Code or any similar provision of Tax Law) issue or executed prior to the Closing; (C) installment sale or open transaction disposition made prior to the Closing; (D) prepaid amount received prior to the Closing outside of the ordinary course of business; (E) intercompany transaction or excess loss accounts described in the Treasury Regulations promulgated under Section 1502 of the Code (or any corresponding or similar provision of state, local or foreign income Tax Law) that existed prior to the Closing; (F) any transactions effected or investments made prior to the Closing that results in taxable income pursuant to Section 951(a) or 951A of the Code (or any similar provision of Law), or (G) any election under Section 965 of the Code.</w:t>
      </w:r>
    </w:p>
    <w:p>
      <w:pPr>
        <w:spacing w:after="0" w:line="363" w:lineRule="exact"/>
        <w:rPr>
          <w:rFonts w:ascii="Times New Roman" w:cs="Times New Roman" w:eastAsia="Times New Roman" w:hAnsi="Times New Roman"/>
          <w:sz w:val="17"/>
          <w:szCs w:val="17"/>
          <w:color w:val="auto"/>
        </w:rPr>
      </w:pPr>
    </w:p>
    <w:p>
      <w:pPr>
        <w:jc w:val="both"/>
        <w:ind w:right="20" w:firstLine="2246"/>
        <w:spacing w:after="0" w:line="265" w:lineRule="auto"/>
        <w:tabs>
          <w:tab w:leader="none" w:pos="2945"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FBB nor the FBB Subsidiaries has any liability for the Taxes of any Person (other than the FBB or the FBB Subsidiaries) (i) under Treasury Regulation Section 1.1502-6 (or any similar provision of state, local or foreign Law), (ii) as a transferee or successor or (iii) by Contract (except, in each case, for any such agreements that are commercial contracts not primarily relating to Taxes).</w:t>
      </w:r>
    </w:p>
    <w:p>
      <w:pPr>
        <w:spacing w:after="0" w:line="144" w:lineRule="exact"/>
        <w:rPr>
          <w:rFonts w:ascii="Times New Roman" w:cs="Times New Roman" w:eastAsia="Times New Roman" w:hAnsi="Times New Roman"/>
          <w:sz w:val="17"/>
          <w:szCs w:val="17"/>
          <w:color w:val="auto"/>
        </w:rPr>
      </w:pPr>
    </w:p>
    <w:p>
      <w:pPr>
        <w:jc w:val="both"/>
        <w:ind w:right="20" w:firstLine="2246"/>
        <w:spacing w:after="0" w:line="265" w:lineRule="auto"/>
        <w:tabs>
          <w:tab w:leader="none" w:pos="2598"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FBB nor the FBB Subsidiaries is party to, or bound by, or has any obligation to, any Tax Authority or other Person under any Tax allocation, Tax sharing or Tax indemnification agreements (except, in each case, for any such agreements that are commercial contracts not primarily relating to Taxes).</w:t>
      </w:r>
    </w:p>
    <w:p>
      <w:pPr>
        <w:spacing w:after="0" w:line="144" w:lineRule="exact"/>
        <w:rPr>
          <w:rFonts w:ascii="Times New Roman" w:cs="Times New Roman" w:eastAsia="Times New Roman" w:hAnsi="Times New Roman"/>
          <w:sz w:val="17"/>
          <w:szCs w:val="17"/>
          <w:color w:val="auto"/>
        </w:rPr>
      </w:pPr>
    </w:p>
    <w:p>
      <w:pPr>
        <w:jc w:val="both"/>
        <w:ind w:right="20" w:firstLine="2246"/>
        <w:spacing w:after="0" w:line="265" w:lineRule="auto"/>
        <w:tabs>
          <w:tab w:leader="none" w:pos="2598"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valid and timely Section 83(b) election was filed with respect to each outstanding award granted under the FBB Equity Plan or other equity or equity-related right or interest of FBB or any of its Subsidiaries to the extent such award, right or interest was subject to a substantial risk of forfeiture (including, for the avoidance of doubt, with respect to any FBB Restricted Stock Award).</w:t>
      </w:r>
    </w:p>
    <w:p>
      <w:pPr>
        <w:spacing w:after="0" w:line="144" w:lineRule="exact"/>
        <w:rPr>
          <w:rFonts w:ascii="Times New Roman" w:cs="Times New Roman" w:eastAsia="Times New Roman" w:hAnsi="Times New Roman"/>
          <w:sz w:val="17"/>
          <w:szCs w:val="17"/>
          <w:color w:val="auto"/>
        </w:rPr>
      </w:pPr>
    </w:p>
    <w:p>
      <w:pPr>
        <w:jc w:val="both"/>
        <w:ind w:firstLine="2246"/>
        <w:spacing w:after="0" w:line="265" w:lineRule="auto"/>
        <w:tabs>
          <w:tab w:leader="none" w:pos="2598"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FBB and the FBB Subsidiaries have complied in all material respects with respect to all applicable Laws relating to the reporting and payment of amounts relating to escheat or abandoned or unclaimed property obligations or similar Laws and have no liability pursuant to any such Laws.</w:t>
      </w:r>
    </w:p>
    <w:p>
      <w:pPr>
        <w:spacing w:after="0" w:line="144" w:lineRule="exact"/>
        <w:rPr>
          <w:rFonts w:ascii="Times New Roman" w:cs="Times New Roman" w:eastAsia="Times New Roman" w:hAnsi="Times New Roman"/>
          <w:sz w:val="17"/>
          <w:szCs w:val="17"/>
          <w:color w:val="auto"/>
        </w:rPr>
      </w:pPr>
    </w:p>
    <w:p>
      <w:pPr>
        <w:ind w:left="2600" w:hanging="354"/>
        <w:spacing w:after="0"/>
        <w:tabs>
          <w:tab w:leader="none" w:pos="26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FBB is classified as a corporation for U.S. federal income tax purposes.</w:t>
      </w:r>
    </w:p>
    <w:p>
      <w:pPr>
        <w:spacing w:after="0" w:line="194" w:lineRule="exact"/>
        <w:rPr>
          <w:rFonts w:ascii="Times New Roman" w:cs="Times New Roman" w:eastAsia="Times New Roman" w:hAnsi="Times New Roman"/>
          <w:sz w:val="17"/>
          <w:szCs w:val="17"/>
          <w:color w:val="auto"/>
        </w:rPr>
      </w:pPr>
    </w:p>
    <w:p>
      <w:pPr>
        <w:ind w:right="20" w:firstLine="2246"/>
        <w:spacing w:after="0" w:line="284" w:lineRule="auto"/>
        <w:tabs>
          <w:tab w:leader="none" w:pos="2945"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FBB nor the FBB Subsidiaries has taken or agreed to take any action or believes or has any reason to believe that any conditions exist that could prevent or impede the Merger from qualifying for the Intended Tax Treatment.</w:t>
      </w:r>
    </w:p>
    <w:p>
      <w:pPr>
        <w:spacing w:after="0" w:line="127" w:lineRule="exact"/>
        <w:rPr>
          <w:sz w:val="20"/>
          <w:szCs w:val="20"/>
          <w:color w:val="auto"/>
        </w:rPr>
      </w:pPr>
    </w:p>
    <w:p>
      <w:pPr>
        <w:ind w:left="1220"/>
        <w:spacing w:after="0"/>
        <w:tabs>
          <w:tab w:leader="none" w:pos="2580" w:val="left"/>
        </w:tabs>
        <w:rPr>
          <w:sz w:val="20"/>
          <w:szCs w:val="20"/>
          <w:color w:val="auto"/>
        </w:rPr>
      </w:pPr>
      <w:r>
        <w:rPr>
          <w:rFonts w:ascii="Times New Roman" w:cs="Times New Roman" w:eastAsia="Times New Roman" w:hAnsi="Times New Roman"/>
          <w:sz w:val="17"/>
          <w:szCs w:val="17"/>
          <w:b w:val="1"/>
          <w:bCs w:val="1"/>
          <w:u w:val="single" w:color="auto"/>
          <w:color w:val="auto"/>
        </w:rPr>
        <w:t>SECTION 4.10</w:t>
      </w:r>
      <w:r>
        <w:rPr>
          <w:sz w:val="20"/>
          <w:szCs w:val="20"/>
          <w:color w:val="auto"/>
        </w:rPr>
        <w:tab/>
      </w:r>
      <w:r>
        <w:rPr>
          <w:rFonts w:ascii="Times New Roman" w:cs="Times New Roman" w:eastAsia="Times New Roman" w:hAnsi="Times New Roman"/>
          <w:sz w:val="17"/>
          <w:szCs w:val="17"/>
          <w:b w:val="1"/>
          <w:bCs w:val="1"/>
          <w:u w:val="single" w:color="auto"/>
          <w:color w:val="auto"/>
        </w:rPr>
        <w:t>Employee Benefit Plans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41" w:name="page42"/>
    <w:bookmarkEnd w:id="41"/>
    <w:p>
      <w:pPr>
        <w:jc w:val="both"/>
        <w:ind w:left="5" w:firstLine="1496"/>
        <w:spacing w:after="0" w:line="250" w:lineRule="auto"/>
        <w:tabs>
          <w:tab w:leader="none" w:pos="1853"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this Agreement, “</w:t>
      </w:r>
      <w:r>
        <w:rPr>
          <w:rFonts w:ascii="Times New Roman" w:cs="Times New Roman" w:eastAsia="Times New Roman" w:hAnsi="Times New Roman"/>
          <w:sz w:val="17"/>
          <w:szCs w:val="17"/>
          <w:u w:val="single" w:color="auto"/>
          <w:color w:val="auto"/>
        </w:rPr>
        <w:t>FBB Benefit Plan</w:t>
      </w:r>
      <w:r>
        <w:rPr>
          <w:rFonts w:ascii="Times New Roman" w:cs="Times New Roman" w:eastAsia="Times New Roman" w:hAnsi="Times New Roman"/>
          <w:sz w:val="17"/>
          <w:szCs w:val="17"/>
          <w:color w:val="auto"/>
        </w:rPr>
        <w:t>” shall mean each benefit or compensation plan, arrangement, agreement, policy or program, including any “employee welfare plan” within the meaning of Section 3(a) of ERISA, whether or not subject to ERISA, any “employee pension benefit plan” within the meaning of Section 3(2) of ERISA, whether or not subject to ERISA, and any bonus, incentive, deferred compensation, vacation, stock option, severance, employment, retention, salary continuation, change of control, retirement, pension, profit sharing or fringe benefit plan, or program, of any kind (whether written or oral, tax-qualified or non-tax qualified, funded or unfunded, foreign or domestic, active, frozen or terminated), that is sponsored, maintained or contributed to by FBB (or required to be maintained or contributed to by FBB) for the benefit of current or former directors, officers or employees of, or</w:t>
      </w:r>
    </w:p>
    <w:p>
      <w:pPr>
        <w:spacing w:after="0" w:line="4" w:lineRule="exact"/>
        <w:rPr>
          <w:rFonts w:ascii="Times New Roman" w:cs="Times New Roman" w:eastAsia="Times New Roman" w:hAnsi="Times New Roman"/>
          <w:sz w:val="17"/>
          <w:szCs w:val="17"/>
          <w:color w:val="auto"/>
        </w:rPr>
      </w:pPr>
    </w:p>
    <w:p>
      <w:pPr>
        <w:jc w:val="both"/>
        <w:ind w:left="5"/>
        <w:spacing w:after="0" w:line="24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consultants to, FBB or with respect to which FBB, directly or indirectly, has any liability, excluding, in each case, any Multiemployer Plan. Section‎ 4.10(a) of the FBB Disclosure Schedule contains a true and complete list of each material FBB Benefit Plan. With respect to each FBB Benefit Plan, FBB has provided or made available to DXL true and complete copies of: (x) such FBB Benefit Plan, if written, or a description of such FBB Benefit Plan, if not written and (y) to the extent applicable to such FBB Benefit Plan: (i) all trust agreements, insurance contracts or other funding arrangements; (ii) the most recent Form 5500 (including all schedules thereto) required to have been filed with the Department of Labor and all schedules thereto; (iii) the most recent IRS determination, advisory or opinion letter; (iv) the most recent summary plan descriptions; (v) all material non-routine communications to or from any Governmental Entity related to any FBB Benefit Plan (including a written description of any oral communication) within the last calendar year, or for any matter that remains unresolved as of the date hereof; and (vi) all amendments and modifications to any such document.</w:t>
      </w:r>
    </w:p>
    <w:p>
      <w:pPr>
        <w:spacing w:after="0" w:line="161" w:lineRule="exact"/>
        <w:rPr>
          <w:rFonts w:ascii="Times New Roman" w:cs="Times New Roman" w:eastAsia="Times New Roman" w:hAnsi="Times New Roman"/>
          <w:sz w:val="17"/>
          <w:szCs w:val="17"/>
          <w:color w:val="auto"/>
        </w:rPr>
      </w:pPr>
    </w:p>
    <w:p>
      <w:pPr>
        <w:jc w:val="both"/>
        <w:ind w:left="5" w:firstLine="1496"/>
        <w:spacing w:after="0" w:line="248" w:lineRule="auto"/>
        <w:tabs>
          <w:tab w:leader="none" w:pos="1853"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has not had and would not reasonably be expected to have, individually or in the aggregate, a Material Adverse Effect on FBB, (i) each FBB Benefit Plan is in compliance with all applicable Laws, including ERISA, the Code, and the terms of such FBB Benefit Plan; (ii) each FBB Benefit Plan that is intended to be “qualified” within the meaning of Section 401(a) of the Code has received a favorable determination, advisory or opinion letter from the Internal Revenue Service, or with respect to a pre-approved plan, can rely on an advisory or opinion letter from the Internal Revenue Service to the pre-approved plan sponsor, to the effect that such FBB Benefit Plan is so qualified with respect to its form and that the plan and the trust related thereto qualify in form to be exempt from federal income Taxes under Sections 401(a) and 501(a), respectively, of the Code, no such determination, advisory or opinion letter has been revoked, no revocation has been threatened and FBB is aware of no event occurring after the date of such determination that could reasonably be expected to cause the revocation of such letter or result in the loss of such qualification; (iii) no condition exists that is reasonably likely to subject FBB or any FBB ERISA Affiliate to any direct or indirect liability under Title IV of ERISA or to a civil penalty under Section 502(j) of ERISA or liability under Section 4069 of ERISA or Section 4975, 4976, or 4980B of the Code or other liability with respect to the FBB Benefit Plans; (iv) there are no pending or, to FBB’s Knowledge, threatened claims (other than routine claims for benefits) by, on behalf of or against any of the FBB Benefit Plans or any trusts related thereto; (v) no FBB Benefit Plan is, or within the last three (3) years has been, the subject of an examination or audit by a Governmental Entity and to FBB’s Knowledge, no fact or event exists or could reasonably be expected to give rise to any such investigation, audit or other administrative proceeding with respect to an FBB Benefit Plan; and</w:t>
      </w:r>
    </w:p>
    <w:p>
      <w:pPr>
        <w:spacing w:after="0" w:line="7" w:lineRule="exact"/>
        <w:rPr>
          <w:rFonts w:ascii="Times New Roman" w:cs="Times New Roman" w:eastAsia="Times New Roman" w:hAnsi="Times New Roman"/>
          <w:sz w:val="17"/>
          <w:szCs w:val="17"/>
          <w:color w:val="auto"/>
        </w:rPr>
      </w:pPr>
    </w:p>
    <w:p>
      <w:pPr>
        <w:jc w:val="both"/>
        <w:ind w:left="5" w:right="20" w:hanging="5"/>
        <w:spacing w:after="0" w:line="253" w:lineRule="auto"/>
        <w:tabs>
          <w:tab w:leader="none" w:pos="304"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contributions, premiums and other similar payments to, and payments from, the FBB Benefit Plans which are required to have been made by FBB or any of its Subsidiaries with respect to any period ending on or before the Closing Date, in accordance with the FBB Benefit Plans, have been timely made or accrued in accordance with GAAP.</w:t>
      </w:r>
    </w:p>
    <w:p>
      <w:pPr>
        <w:spacing w:after="0" w:line="154" w:lineRule="exact"/>
        <w:rPr>
          <w:rFonts w:ascii="Times New Roman" w:cs="Times New Roman" w:eastAsia="Times New Roman" w:hAnsi="Times New Roman"/>
          <w:sz w:val="17"/>
          <w:szCs w:val="17"/>
          <w:color w:val="auto"/>
        </w:rPr>
      </w:pPr>
    </w:p>
    <w:p>
      <w:pPr>
        <w:jc w:val="both"/>
        <w:ind w:left="5" w:firstLine="1496"/>
        <w:spacing w:after="0" w:line="259" w:lineRule="auto"/>
        <w:tabs>
          <w:tab w:leader="none" w:pos="1853"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FBB nor any FBB ERISA Affiliate has, within the past six (6) years, maintained, sponsored, contributed to, been required to contribute to or has or could reasonably be expected to have any liability with respect to a, (i) “multiemployer plan” as defined in Section 4001(a)(3) of ERISA,</w:t>
      </w:r>
    </w:p>
    <w:p>
      <w:pPr>
        <w:ind w:left="5" w:right="20" w:hanging="5"/>
        <w:spacing w:after="0" w:line="260" w:lineRule="auto"/>
        <w:tabs>
          <w:tab w:leader="none" w:pos="275"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“single employer pension plan” as defined in Section 4001(a)(15) of ERISA, (iii) “multiple employer welfare arrangement” as defined in Section 3(40) of ERISA, or (iv) “multiple employer plan” subject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6186805</wp:posOffset>
            </wp:positionH>
            <wp:positionV relativeFrom="paragraph">
              <wp:posOffset>-3722370</wp:posOffset>
            </wp:positionV>
            <wp:extent cx="672465"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2465" cy="762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54" w:right="319" w:bottom="1440" w:gutter="0" w:footer="0" w:header="0"/>
        </w:sectPr>
      </w:pPr>
    </w:p>
    <w:bookmarkStart w:id="42" w:name="page43"/>
    <w:bookmarkEnd w:id="42"/>
    <w:p>
      <w:pPr>
        <w:spacing w:after="0" w:line="284" w:lineRule="auto"/>
        <w:rPr>
          <w:sz w:val="20"/>
          <w:szCs w:val="20"/>
          <w:color w:val="auto"/>
        </w:rPr>
      </w:pPr>
      <w:r>
        <w:rPr>
          <w:rFonts w:ascii="Times New Roman" w:cs="Times New Roman" w:eastAsia="Times New Roman" w:hAnsi="Times New Roman"/>
          <w:sz w:val="17"/>
          <w:szCs w:val="17"/>
          <w:color w:val="auto"/>
        </w:rPr>
        <w:t>Section 413(c) of the Code. Neither FBB nor any FBB ERISA Affiliate has any current or contingent liability or obligation with respect to any plan that is or was within the past six (6) years subject to Title IV of ERISA or Sections 412 or 430 of the Code.</w:t>
      </w:r>
    </w:p>
    <w:p>
      <w:pPr>
        <w:spacing w:after="0" w:line="129" w:lineRule="exact"/>
        <w:rPr>
          <w:sz w:val="20"/>
          <w:szCs w:val="20"/>
          <w:color w:val="auto"/>
        </w:rPr>
      </w:pPr>
    </w:p>
    <w:p>
      <w:pPr>
        <w:jc w:val="both"/>
        <w:ind w:firstLine="1496"/>
        <w:spacing w:after="0" w:line="256" w:lineRule="auto"/>
        <w:tabs>
          <w:tab w:leader="none" w:pos="1848"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provided by this Agreement or as set forth on Section‎ 4.10(d) of the FBB Disclosure Schedule, no FBB Benefit Plan provides, nor does FBB nor any Subsidiary have any obligation to provide, post-termination medical, health, life insurance or other welfare-type benefits for retired, former or current employees or beneficiaries or dependents thereof, including any post-employment or retiree health or welfare benefits, except for continued medical benefit coverage mandated by Part 6 of Subtitle B of Title I of ERISA, required under Section 4980B or as required under state or other applicable continuation coverage law, in each case for which the covered individual pays the full cost of coverage.</w:t>
      </w:r>
    </w:p>
    <w:p>
      <w:pPr>
        <w:spacing w:after="0" w:line="151" w:lineRule="exact"/>
        <w:rPr>
          <w:rFonts w:ascii="Times New Roman" w:cs="Times New Roman" w:eastAsia="Times New Roman" w:hAnsi="Times New Roman"/>
          <w:sz w:val="17"/>
          <w:szCs w:val="17"/>
          <w:color w:val="auto"/>
        </w:rPr>
      </w:pPr>
    </w:p>
    <w:p>
      <w:pPr>
        <w:jc w:val="both"/>
        <w:ind w:firstLine="1496"/>
        <w:spacing w:after="0" w:line="252" w:lineRule="auto"/>
        <w:tabs>
          <w:tab w:leader="none" w:pos="1848"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provided by this Agreement or as set forth on Section‎ 4.10(e) of the FBB Disclosure Schedule, neither the execution and delivery of this Agreement nor the consummation of the Merger or the other Transactions contemplated by this Agreement (either alone or in conjunction with any other event) will (i) result in any payment becoming due to any current or former director, officer or any employee, consultant or individual service provider of FBB or any FBB Subsidiary, including severance pay, change of control benefit or any other payment from FBB or any FBB Subsidiary, (ii) increase any benefits otherwise payable under any FBB Benefit Plan or materially increase compensation, (iii) result in or cause the vesting, exercisability, acceleration of the time of payment, funding or vesting of any such benefits, or forfeiture of or increase the amount or value of, any compensation or benefits due to any such employee, officer, director or consultant, (iv) result in the triggering or imposition of any restrictions or limitations on the rights of FBB to amend, merge or terminate any FBB Benefit Plan or (v) trigger any other obligation under, or result in the breach or violation of, any FBB Benefit Plan.</w:t>
      </w:r>
    </w:p>
    <w:p>
      <w:pPr>
        <w:spacing w:after="0" w:line="155" w:lineRule="exact"/>
        <w:rPr>
          <w:rFonts w:ascii="Times New Roman" w:cs="Times New Roman" w:eastAsia="Times New Roman" w:hAnsi="Times New Roman"/>
          <w:sz w:val="17"/>
          <w:szCs w:val="17"/>
          <w:color w:val="auto"/>
        </w:rPr>
      </w:pPr>
    </w:p>
    <w:p>
      <w:pPr>
        <w:jc w:val="both"/>
        <w:ind w:firstLine="1496"/>
        <w:spacing w:after="0" w:line="259" w:lineRule="auto"/>
        <w:tabs>
          <w:tab w:leader="none" w:pos="1848"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has not had and would not reasonably be expected to have, individually or in the aggregate, a Material Adverse Effect on FBB, each FBB Benefit Plan that is a “nonqualified deferred compensation plan” (within the meaning of Section 409A of the Code) and has been established, operated and maintained in compliance with Section 409A of the Code and any proposed and final guidance promulgated under Section 409A of the Code. No additional Tax under Section 409A(a)(1)(B) of the Code has been incurred by a participant in any such FBB Benefit Plan.</w:t>
      </w:r>
    </w:p>
    <w:p>
      <w:pPr>
        <w:spacing w:after="0" w:line="149" w:lineRule="exact"/>
        <w:rPr>
          <w:rFonts w:ascii="Times New Roman" w:cs="Times New Roman" w:eastAsia="Times New Roman" w:hAnsi="Times New Roman"/>
          <w:sz w:val="17"/>
          <w:szCs w:val="17"/>
          <w:color w:val="auto"/>
        </w:rPr>
      </w:pPr>
    </w:p>
    <w:p>
      <w:pPr>
        <w:ind w:right="40" w:firstLine="1496"/>
        <w:spacing w:after="0" w:line="284" w:lineRule="auto"/>
        <w:tabs>
          <w:tab w:leader="none" w:pos="1848"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FBB nor any FBB Subsidiary is a party to, nor does any of them have any obligation under any FBB Benefit Plan to compensate or otherwise indemnify any Person for any gross-up, make-whole or excise Taxes payable pursuant to Section 409A or Section 4999 of the Code.</w:t>
      </w:r>
    </w:p>
    <w:p>
      <w:pPr>
        <w:spacing w:after="0" w:line="128" w:lineRule="exact"/>
        <w:rPr>
          <w:rFonts w:ascii="Times New Roman" w:cs="Times New Roman" w:eastAsia="Times New Roman" w:hAnsi="Times New Roman"/>
          <w:sz w:val="17"/>
          <w:szCs w:val="17"/>
          <w:color w:val="auto"/>
        </w:rPr>
      </w:pPr>
    </w:p>
    <w:p>
      <w:pPr>
        <w:jc w:val="both"/>
        <w:ind w:right="20" w:firstLine="1496"/>
        <w:spacing w:after="0" w:line="255" w:lineRule="auto"/>
        <w:tabs>
          <w:tab w:leader="none" w:pos="1848"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payment or benefit, individually or together with any other payment or benefit, that could be received (whether in cash, property or the vesting of property), as a result of the Transactions, either alone or in combination with another event, by any current or former employee or natural person independent contractor of FBB would not be deductible by reason of Section 280G of the Code or would be subject to an excise tax under Section 4999 or the Code. Neither FBB nor any FBB Subsidiary has any legally binding plan or commitment to create any additional FBB Benefit Plan or to modify or change any existing FBB Benefit Plan that would be reasonably expected to result in material liabilities to FBB or any FBB Subsidiary, except as may be required by applicable Law.</w:t>
      </w:r>
    </w:p>
    <w:p>
      <w:pPr>
        <w:spacing w:after="0" w:line="357" w:lineRule="exact"/>
        <w:rPr>
          <w:rFonts w:ascii="Times New Roman" w:cs="Times New Roman" w:eastAsia="Times New Roman" w:hAnsi="Times New Roman"/>
          <w:sz w:val="17"/>
          <w:szCs w:val="17"/>
          <w:color w:val="auto"/>
        </w:rPr>
      </w:pPr>
    </w:p>
    <w:p>
      <w:pPr>
        <w:ind w:left="1840" w:hanging="344"/>
        <w:spacing w:after="0"/>
        <w:tabs>
          <w:tab w:leader="none" w:pos="18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Multiemployer Plan maintained, sponsored or contributed to, or required to be contributed to, by FBB, any FBB Subsidiary or</w:t>
      </w:r>
    </w:p>
    <w:p>
      <w:pPr>
        <w:spacing w:after="0" w:line="25" w:lineRule="exact"/>
        <w:rPr>
          <w:rFonts w:ascii="Times New Roman" w:cs="Times New Roman" w:eastAsia="Times New Roman" w:hAnsi="Times New Roman"/>
          <w:sz w:val="17"/>
          <w:szCs w:val="17"/>
          <w:color w:val="auto"/>
        </w:rPr>
      </w:pPr>
    </w:p>
    <w:p>
      <w:pPr>
        <w:jc w:val="both"/>
        <w:ind w:right="2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FBB ERISA Affiliate (a “</w:t>
      </w:r>
      <w:r>
        <w:rPr>
          <w:rFonts w:ascii="Times New Roman" w:cs="Times New Roman" w:eastAsia="Times New Roman" w:hAnsi="Times New Roman"/>
          <w:sz w:val="17"/>
          <w:szCs w:val="17"/>
          <w:u w:val="single" w:color="auto"/>
          <w:color w:val="auto"/>
        </w:rPr>
        <w:t>FBB Multiemployer Plan</w:t>
      </w:r>
      <w:r>
        <w:rPr>
          <w:rFonts w:ascii="Times New Roman" w:cs="Times New Roman" w:eastAsia="Times New Roman" w:hAnsi="Times New Roman"/>
          <w:sz w:val="17"/>
          <w:szCs w:val="17"/>
          <w:color w:val="auto"/>
        </w:rPr>
        <w:t>”), as of the date of this Agreement, is listed in Section‎ 4.10(i) of the FBB Disclosure Schedule. With respect to any FBB Multiemployer Plan, neither FBB nor any FBB ERISA Affiliate has incurred any withdrawal liability under Title IV of ERISA which remains unsatisfied, except as, individually or in the aggregate, has not had and would not reasonably be expected to have a Material Adverse Effect on FBB.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3858895</wp:posOffset>
            </wp:positionH>
            <wp:positionV relativeFrom="paragraph">
              <wp:posOffset>-4206240</wp:posOffset>
            </wp:positionV>
            <wp:extent cx="693420"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3420" cy="7620"/>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-3448050</wp:posOffset>
            </wp:positionV>
            <wp:extent cx="643255"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43255" cy="7620"/>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-286385</wp:posOffset>
            </wp:positionV>
            <wp:extent cx="66167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61670" cy="762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43" w:name="page44"/>
    <w:bookmarkEnd w:id="43"/>
    <w:p>
      <w:pPr>
        <w:jc w:val="both"/>
        <w:ind w:right="20"/>
        <w:spacing w:after="0" w:line="265" w:lineRule="auto"/>
        <w:rPr>
          <w:sz w:val="20"/>
          <w:szCs w:val="20"/>
          <w:color w:val="auto"/>
        </w:rPr>
      </w:pPr>
      <w:r>
        <w:rPr>
          <w:rFonts w:ascii="Times New Roman" w:cs="Times New Roman" w:eastAsia="Times New Roman" w:hAnsi="Times New Roman"/>
          <w:sz w:val="17"/>
          <w:szCs w:val="17"/>
          <w:color w:val="auto"/>
        </w:rPr>
        <w:t>With respect to each FBB Multiemployer Plan, neither FBB nor any FBB Subsidiary or FBB ERISA Affiliate has been informed of: (i) any prohibited transaction (as defined in Section 4975 of the Code or Section 406 of ERISA); (ii) any fact that would adversely affect the tax qualified status of such Multiemployer Plan; or (iii) any completed or partial termination (whether by mass withdrawal or otherwise).</w:t>
      </w:r>
    </w:p>
    <w:p>
      <w:pPr>
        <w:spacing w:after="0" w:line="145" w:lineRule="exact"/>
        <w:rPr>
          <w:sz w:val="20"/>
          <w:szCs w:val="20"/>
          <w:color w:val="auto"/>
        </w:rPr>
      </w:pPr>
    </w:p>
    <w:p>
      <w:pPr>
        <w:jc w:val="both"/>
        <w:ind w:right="20" w:firstLine="1496"/>
        <w:spacing w:after="0" w:line="265" w:lineRule="auto"/>
        <w:tabs>
          <w:tab w:leader="none" w:pos="1848"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contributions required to be made by FBB or any FBB Subsidiary under each FBB Multiemployer Plan have been timely made and all obligations in respect of each FBB Multiemployer Plan have been properly accrued and reflected in FBB’s most recent audited balance sheet, except as, individually or in the aggregate, has not had and would not reasonably be expected to have a Material Adverse Effect on FBB.</w:t>
      </w:r>
    </w:p>
    <w:p>
      <w:pPr>
        <w:spacing w:after="0" w:line="143" w:lineRule="exact"/>
        <w:rPr>
          <w:sz w:val="20"/>
          <w:szCs w:val="20"/>
          <w:color w:val="auto"/>
        </w:rPr>
      </w:pPr>
    </w:p>
    <w:p>
      <w:pPr>
        <w:ind w:left="1220"/>
        <w:spacing w:after="0"/>
        <w:tabs>
          <w:tab w:leader="none" w:pos="2580" w:val="left"/>
        </w:tabs>
        <w:rPr>
          <w:sz w:val="20"/>
          <w:szCs w:val="20"/>
          <w:color w:val="auto"/>
        </w:rPr>
      </w:pPr>
      <w:r>
        <w:rPr>
          <w:rFonts w:ascii="Times New Roman" w:cs="Times New Roman" w:eastAsia="Times New Roman" w:hAnsi="Times New Roman"/>
          <w:sz w:val="17"/>
          <w:szCs w:val="17"/>
          <w:color w:val="auto"/>
        </w:rPr>
        <w:t>SECTION 4.11</w:t>
      </w:r>
      <w:r>
        <w:rPr>
          <w:sz w:val="20"/>
          <w:szCs w:val="20"/>
          <w:color w:val="auto"/>
        </w:rPr>
        <w:tab/>
      </w:r>
      <w:r>
        <w:rPr>
          <w:rFonts w:ascii="Times New Roman" w:cs="Times New Roman" w:eastAsia="Times New Roman" w:hAnsi="Times New Roman"/>
          <w:sz w:val="17"/>
          <w:szCs w:val="17"/>
          <w:b w:val="1"/>
          <w:bCs w:val="1"/>
          <w:u w:val="single" w:color="auto"/>
          <w:color w:val="auto"/>
        </w:rPr>
        <w:t>Labor and Employment</w:t>
      </w:r>
      <w:r>
        <w:rPr>
          <w:rFonts w:ascii="Times New Roman" w:cs="Times New Roman" w:eastAsia="Times New Roman" w:hAnsi="Times New Roman"/>
          <w:sz w:val="17"/>
          <w:szCs w:val="17"/>
          <w:color w:val="auto"/>
        </w:rPr>
        <w:t>.</w:t>
      </w:r>
    </w:p>
    <w:p>
      <w:pPr>
        <w:spacing w:after="0" w:line="197" w:lineRule="exact"/>
        <w:rPr>
          <w:sz w:val="20"/>
          <w:szCs w:val="20"/>
          <w:color w:val="auto"/>
        </w:rPr>
      </w:pPr>
    </w:p>
    <w:p>
      <w:pPr>
        <w:jc w:val="both"/>
        <w:ind w:firstLine="1496"/>
        <w:spacing w:after="0" w:line="249" w:lineRule="auto"/>
        <w:tabs>
          <w:tab w:leader="none" w:pos="1848"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4.11(a) of the FBB Disclosure Schedule sets forth, as of the close of business on November 28, 2025, a complete and correct list of all current employees of FBB and the FBB Subsidiaries (“</w:t>
      </w:r>
      <w:r>
        <w:rPr>
          <w:rFonts w:ascii="Times New Roman" w:cs="Times New Roman" w:eastAsia="Times New Roman" w:hAnsi="Times New Roman"/>
          <w:sz w:val="17"/>
          <w:szCs w:val="17"/>
          <w:u w:val="single" w:color="auto"/>
          <w:color w:val="auto"/>
        </w:rPr>
        <w:t>FBB Employees</w:t>
      </w:r>
      <w:r>
        <w:rPr>
          <w:rFonts w:ascii="Times New Roman" w:cs="Times New Roman" w:eastAsia="Times New Roman" w:hAnsi="Times New Roman"/>
          <w:sz w:val="17"/>
          <w:szCs w:val="17"/>
          <w:color w:val="auto"/>
        </w:rPr>
        <w:t>”), including their respective titles, whether such employee is classified as exempt or non-exempt pursuant to the FLSA, current compensation (including base salary (if classified as exempt) or hourly wage rate (if classified as non-exempt), current target bonus entitlement and other incentive or contingent compensation), status as full-time or part-time, age, work location, and amount of accrued but unused vacation, and whether such employee is absent from active employment and, if so, the date such employee became inactive, the reason for such inactive status, and, if applicable, the anticipated date of return to active employment. FBB has taken reasonable steps to ensure that all individuals who are or were performing consulting or other services for FBB are or were correctly classified under all applicable Laws by FBB as either “independent contractors” (or comparable status in the case of a non-U.S. entity) or “employees” as the case may be, and, at the Closing Date, with respect to those individuals still performing consulting services for FBB as of the Closing Date, such individuals will qualify for such classification and would not be entitled to the rights of an employee of FBB. FBB has taken reasonable steps to ensure that all individuals who are or were classified as “employees” of FBB are or were correctly classified under all applicable Laws by FBB, as exempt or non-exempt from overtime payments, as the case may be. Except as otherwise required by Law or as expressly contemplated by this Agreement, there is no former director, officer, employee, independent contractor or consultant of FBB who is receiving or is scheduled to receive (or whose spouse or other dependent is receiving or is scheduled to receive) any benefits (from FBB) relating to such former service provider’s relationship with FBB.</w:t>
      </w:r>
    </w:p>
    <w:p>
      <w:pPr>
        <w:spacing w:after="0" w:line="367" w:lineRule="exact"/>
        <w:rPr>
          <w:rFonts w:ascii="Times New Roman" w:cs="Times New Roman" w:eastAsia="Times New Roman" w:hAnsi="Times New Roman"/>
          <w:sz w:val="17"/>
          <w:szCs w:val="17"/>
          <w:color w:val="auto"/>
        </w:rPr>
      </w:pPr>
    </w:p>
    <w:p>
      <w:pPr>
        <w:jc w:val="both"/>
        <w:ind w:firstLine="1496"/>
        <w:spacing w:after="0" w:line="253" w:lineRule="auto"/>
        <w:tabs>
          <w:tab w:leader="none" w:pos="186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4.11(b) of the FBB Disclosure Schedule lists all collective bargaining agreements to which FBB or any FBB Subsidiary is party to. To the Knowledge of FBB, within the past three (3) years, through the date of this Agreement, there are and have been no material labor union organizing activities or representation campaigns of any trade union, council of trade unions, employee bargaining agency or affiliated bargaining agent pending or, threatened with respect to any of the employees of FBB or any FBB Subsidiary. There is no and during the three (3) year period prior to the date hereof there has been no (i) unfair labor practice, labor dispute or labor arbitration proceeding pending or, to FBB’s Knowledge, threatened against or affecting FBB or any FBB Subsidiary or (ii) lockout, strike, slowdown, work stoppage or, to FBB’s Knowledge, threat thereof by or with respect to any employees of FBB or any FBB Subsidiary.</w:t>
      </w:r>
    </w:p>
    <w:p>
      <w:pPr>
        <w:spacing w:after="0" w:line="360" w:lineRule="exact"/>
        <w:rPr>
          <w:rFonts w:ascii="Times New Roman" w:cs="Times New Roman" w:eastAsia="Times New Roman" w:hAnsi="Times New Roman"/>
          <w:sz w:val="17"/>
          <w:szCs w:val="17"/>
          <w:color w:val="auto"/>
        </w:rPr>
      </w:pPr>
    </w:p>
    <w:p>
      <w:pPr>
        <w:jc w:val="both"/>
        <w:ind w:right="20" w:firstLine="1496"/>
        <w:spacing w:after="0" w:line="259" w:lineRule="auto"/>
        <w:tabs>
          <w:tab w:leader="none" w:pos="1848"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three (3) years prior to the date hereof, neither FBB or any FBB Subsidiary has effectuated (i) a “plant closing” (as defined in WARN or any similar applicable law) affecting any site of employment or one or more facilities or operating units within any site of employment or facility of FBB or any FBB Subsidiary, or (ii) a “mass layoff” or collective dismissal (as defined in WARN, or any similar applicable law) affecting any site of employment or facility of FBB or any FBB Subsidiary. Neither FBB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1169670</wp:posOffset>
            </wp:positionH>
            <wp:positionV relativeFrom="paragraph">
              <wp:posOffset>-3338195</wp:posOffset>
            </wp:positionV>
            <wp:extent cx="672465"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2465" cy="7620"/>
                    </a:xfrm>
                    <a:prstGeom prst="rect">
                      <a:avLst/>
                    </a:prstGeom>
                    <a:noFill/>
                  </pic:spPr>
                </pic:pic>
              </a:graphicData>
            </a:graphic>
          </wp:anchor>
        </w:drawing>
        <w:drawing>
          <wp:anchor simplePos="0" relativeHeight="251657728" behindDoc="1" locked="0" layoutInCell="0" allowOverlap="1">
            <wp:simplePos x="0" y="0"/>
            <wp:positionH relativeFrom="column">
              <wp:posOffset>1177290</wp:posOffset>
            </wp:positionH>
            <wp:positionV relativeFrom="paragraph">
              <wp:posOffset>-1430655</wp:posOffset>
            </wp:positionV>
            <wp:extent cx="68580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0" cy="762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color w:val="auto"/>
        </w:rPr>
        <w:t>or any FBB Subsidiary has incurred any liability or obligation under WARN or any similar state, local or foreign Law that remains unsatisfied.</w:t>
      </w:r>
    </w:p>
    <w:p>
      <w:pPr>
        <w:spacing w:after="0" w:line="195" w:lineRule="exact"/>
        <w:rPr>
          <w:sz w:val="20"/>
          <w:szCs w:val="20"/>
          <w:color w:val="auto"/>
        </w:rPr>
      </w:pPr>
    </w:p>
    <w:p>
      <w:pPr>
        <w:jc w:val="both"/>
        <w:ind w:firstLine="1496"/>
        <w:spacing w:after="0" w:line="256" w:lineRule="auto"/>
        <w:tabs>
          <w:tab w:leader="none" w:pos="1848"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has not had and would not reasonably be expected to have, individually or in the aggregate, a Material Adverse Effect on FBB, FBB is, and at all relevant times has been, in compliance with all applicable Laws and orders with respect to Employment Matters. The employment or services of each former employee, consultant or contractor of FBB was terminated in material compliance with all applicable Laws, and FBB does not have, and would not reasonably be expected to have, any liability with respect to any such former employees, consultants or contractors for any such termination of employment or services.</w:t>
      </w:r>
    </w:p>
    <w:p>
      <w:pPr>
        <w:spacing w:after="0" w:line="151" w:lineRule="exact"/>
        <w:rPr>
          <w:rFonts w:ascii="Times New Roman" w:cs="Times New Roman" w:eastAsia="Times New Roman" w:hAnsi="Times New Roman"/>
          <w:sz w:val="17"/>
          <w:szCs w:val="17"/>
          <w:color w:val="auto"/>
        </w:rPr>
      </w:pPr>
    </w:p>
    <w:p>
      <w:pPr>
        <w:jc w:val="both"/>
        <w:ind w:right="20" w:firstLine="1496"/>
        <w:spacing w:after="0" w:line="259" w:lineRule="auto"/>
        <w:tabs>
          <w:tab w:leader="none" w:pos="1848"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reasonably be expected to be material to FBB and its Subsidiaries, taken as a whole, there are no, and in the past five years there have been no pending or, to FBB’s Knowledge, threatened lawsuits, arbitrations, administrative charges, controversies, grievances or claims by any employee, independent contractor, former employee, or former independent contractor of FBB or any FBB Subsidiary before the National Labor Relations Board, the Equal Employment Opportunity Commission or any other Governmental Entity or arbitration board or panel relating to any Employment Matters.</w:t>
      </w:r>
    </w:p>
    <w:p>
      <w:pPr>
        <w:spacing w:after="0" w:line="149" w:lineRule="exact"/>
        <w:rPr>
          <w:rFonts w:ascii="Times New Roman" w:cs="Times New Roman" w:eastAsia="Times New Roman" w:hAnsi="Times New Roman"/>
          <w:sz w:val="17"/>
          <w:szCs w:val="17"/>
          <w:color w:val="auto"/>
        </w:rPr>
      </w:pPr>
    </w:p>
    <w:p>
      <w:pPr>
        <w:ind w:right="20" w:firstLine="1496"/>
        <w:spacing w:after="0" w:line="284" w:lineRule="auto"/>
        <w:tabs>
          <w:tab w:leader="none" w:pos="1848"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FBB’s Knowledge, no employee at or above the level of Vice President has informed FBB or any FBB Subsidiary, either orally or in writing, of any plans to terminate their employment or relationship with FBB or any FBB Subsidiary generally or as a result of the Transactions or otherwise.</w:t>
      </w:r>
    </w:p>
    <w:p>
      <w:pPr>
        <w:spacing w:after="0" w:line="128" w:lineRule="exact"/>
        <w:rPr>
          <w:rFonts w:ascii="Times New Roman" w:cs="Times New Roman" w:eastAsia="Times New Roman" w:hAnsi="Times New Roman"/>
          <w:sz w:val="17"/>
          <w:szCs w:val="17"/>
          <w:color w:val="auto"/>
        </w:rPr>
      </w:pPr>
    </w:p>
    <w:p>
      <w:pPr>
        <w:jc w:val="both"/>
        <w:ind w:firstLine="1496"/>
        <w:spacing w:after="0" w:line="253" w:lineRule="auto"/>
        <w:tabs>
          <w:tab w:leader="none" w:pos="1848"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employee of FBB and each FBB Subsidiary is (i) a United States citizen, (ii) a United States national, (iii) a lawful permanent resident of the United States, or (iv) an alien authorized to work in the United States specifically for FBB or any FBB Subsidiary or for any United States employer. FBB and each FBB Subsidiary have completed a Form I-9 (Employment Eligibility Verification) for each employee, and each Form I-9 has since been updated, in each case, as required by applicable Law and is correct and complete. For each employee of FBB and each FBB Subsidiary employed in the United States, an authorized official of the company has reviewed the original documentation relating to the identity and employment authorization of such employee in compliance with applicable Laws and such documentation appeared, to such official, to be genuine on its face and to relate to the employee presenting such documentation.</w:t>
      </w:r>
    </w:p>
    <w:p>
      <w:pPr>
        <w:spacing w:after="0" w:line="358" w:lineRule="exact"/>
        <w:rPr>
          <w:sz w:val="20"/>
          <w:szCs w:val="20"/>
          <w:color w:val="auto"/>
        </w:rPr>
      </w:pPr>
    </w:p>
    <w:p>
      <w:pPr>
        <w:jc w:val="both"/>
        <w:ind w:firstLine="1220"/>
        <w:spacing w:after="0" w:line="250" w:lineRule="auto"/>
        <w:rPr>
          <w:sz w:val="20"/>
          <w:szCs w:val="20"/>
          <w:color w:val="auto"/>
        </w:rPr>
      </w:pPr>
      <w:r>
        <w:rPr>
          <w:rFonts w:ascii="Times New Roman" w:cs="Times New Roman" w:eastAsia="Times New Roman" w:hAnsi="Times New Roman"/>
          <w:sz w:val="17"/>
          <w:szCs w:val="17"/>
          <w:b w:val="1"/>
          <w:bCs w:val="1"/>
          <w:u w:val="single" w:color="auto"/>
          <w:color w:val="auto"/>
        </w:rPr>
        <w:t>SECTION 4.12 Internal Control</w:t>
      </w:r>
      <w:r>
        <w:rPr>
          <w:rFonts w:ascii="Times New Roman" w:cs="Times New Roman" w:eastAsia="Times New Roman" w:hAnsi="Times New Roman"/>
          <w:sz w:val="17"/>
          <w:szCs w:val="17"/>
          <w:color w:val="auto"/>
        </w:rPr>
        <w:t>. Except as would not reasonably be expected to be material to FBB and its Subsidiaries, taken as a whole,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FBB has designed and maintains a system of internal control over financial reporting sufficient to provide reasonable assurances regarding the reliability of financial reporting and the preparation of financial statements for internal purposes in accordance with GAAP, and includes those policies and procedures that (i) pertain to the maintenance of records that in reasonable detail accurately and fairly reflect the transactions and dispositions of FBB’s assets; (ii) provide reasonable assurance that transactions are recorded as necessary to permit preparation of financial statements in accordance with GAAP, and that FBB’s receipts and expenditures are being made only in accordance with authorizations of FBB’s management and directors; and (iii) provide reasonable assurance regarding prevention or timely detection of unauthorized acquisition, use or disposition of FBB’s assets that could have a material effect on FBB Financial Statements. Except as would not reasonably be expected to be material to FBB and its Subsidiaries, taken as a whole, FBB has disclosed, based on its most recent evaluation of its disclosure controls and procedures and internal control over financial reporting prior to the date of this Agreement, to FBB’s auditors and the FBB Board (i) any significant deficiencies and material weaknesses in the design or operation of internal control over financial reporting that are reasonably likely to adversely affect in any material respect FBB’s ability to record, process, summarize and report financial</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45" w:name="page46"/>
    <w:bookmarkEnd w:id="45"/>
    <w:p>
      <w:pPr>
        <w:jc w:val="both"/>
        <w:spacing w:after="0" w:line="265" w:lineRule="auto"/>
        <w:rPr>
          <w:sz w:val="20"/>
          <w:szCs w:val="20"/>
          <w:color w:val="auto"/>
        </w:rPr>
      </w:pPr>
      <w:r>
        <w:rPr>
          <w:rFonts w:ascii="Times New Roman" w:cs="Times New Roman" w:eastAsia="Times New Roman" w:hAnsi="Times New Roman"/>
          <w:sz w:val="17"/>
          <w:szCs w:val="17"/>
          <w:color w:val="auto"/>
        </w:rPr>
        <w:t xml:space="preserve">information and (ii) any fraud, whether or not material, that involves management or other employees who have a significant role in FBB’s internal control over financial reporting. Since January 1, 2025, none of FBB, FBB’s auditors, the FBB Board or the audit committee of the FBB Board has received any oral or written notification of any matter set forth in the preceding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w:t>
      </w:r>
    </w:p>
    <w:p>
      <w:pPr>
        <w:spacing w:after="0" w:line="143" w:lineRule="exact"/>
        <w:rPr>
          <w:sz w:val="20"/>
          <w:szCs w:val="20"/>
          <w:color w:val="auto"/>
        </w:rPr>
      </w:pPr>
    </w:p>
    <w:p>
      <w:pPr>
        <w:ind w:left="1220"/>
        <w:spacing w:after="0"/>
        <w:tabs>
          <w:tab w:leader="none" w:pos="2580" w:val="left"/>
        </w:tabs>
        <w:rPr>
          <w:sz w:val="20"/>
          <w:szCs w:val="20"/>
          <w:color w:val="auto"/>
        </w:rPr>
      </w:pPr>
      <w:r>
        <w:rPr>
          <w:rFonts w:ascii="Times New Roman" w:cs="Times New Roman" w:eastAsia="Times New Roman" w:hAnsi="Times New Roman"/>
          <w:sz w:val="17"/>
          <w:szCs w:val="17"/>
          <w:b w:val="1"/>
          <w:bCs w:val="1"/>
          <w:u w:val="single" w:color="auto"/>
          <w:color w:val="auto"/>
        </w:rPr>
        <w:t>SECTION 4.13</w:t>
      </w:r>
      <w:r>
        <w:rPr>
          <w:sz w:val="20"/>
          <w:szCs w:val="20"/>
          <w:color w:val="auto"/>
        </w:rPr>
        <w:tab/>
      </w:r>
      <w:r>
        <w:rPr>
          <w:rFonts w:ascii="Times New Roman" w:cs="Times New Roman" w:eastAsia="Times New Roman" w:hAnsi="Times New Roman"/>
          <w:sz w:val="17"/>
          <w:szCs w:val="17"/>
          <w:b w:val="1"/>
          <w:bCs w:val="1"/>
          <w:u w:val="single" w:color="auto"/>
          <w:color w:val="auto"/>
        </w:rPr>
        <w:t>Compliance with Laws; Licenses</w:t>
      </w:r>
      <w:r>
        <w:rPr>
          <w:rFonts w:ascii="Times New Roman" w:cs="Times New Roman" w:eastAsia="Times New Roman" w:hAnsi="Times New Roman"/>
          <w:sz w:val="17"/>
          <w:szCs w:val="17"/>
          <w:color w:val="auto"/>
        </w:rPr>
        <w:t>.</w:t>
      </w:r>
    </w:p>
    <w:p>
      <w:pPr>
        <w:spacing w:after="0" w:line="197" w:lineRule="exact"/>
        <w:rPr>
          <w:sz w:val="20"/>
          <w:szCs w:val="20"/>
          <w:color w:val="auto"/>
        </w:rPr>
      </w:pPr>
    </w:p>
    <w:p>
      <w:pPr>
        <w:jc w:val="both"/>
        <w:ind w:firstLine="1496"/>
        <w:spacing w:after="0" w:line="252" w:lineRule="auto"/>
        <w:tabs>
          <w:tab w:leader="none" w:pos="1848"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January 1, 2023, except as would not reasonably be expected to be material to FBB and its Subsidiaries, taken as a whole, (i) the businesses of each of FBB and the FBB Subsidiaries have been conducted in compliance with all Laws applicable to its business and with all applicable Privacy Laws, posted or internal agreements or policies with respect to customer, user, private or personal data, or data or system privacy or security and (ii) there has been no misuse, unauthorized intrusion, cyberattack or breach of the IT Assets owned or controlled by FBB that has not since been resolved without any ongoing material liability for FBB. No investigation or review by any Governmental Entity with respect to FBB or any of the FBB Subsidiaries is pending or, to FBB’s Knowledge, threatened, nor has any Governmental Entity indicated an intention to conduct the same. To the Knowledge of FBB and the FBB Subsidiaries, no condition or state of facts exists that is reasonably likely to give rise to a violation of, or a liability or default under any applicable Law. Each of FBB and the FBB Subsidiaries has all material Licenses necessary to conduct its business as presently conducted.</w:t>
      </w:r>
    </w:p>
    <w:p>
      <w:pPr>
        <w:spacing w:after="0" w:line="155" w:lineRule="exact"/>
        <w:rPr>
          <w:rFonts w:ascii="Times New Roman" w:cs="Times New Roman" w:eastAsia="Times New Roman" w:hAnsi="Times New Roman"/>
          <w:sz w:val="17"/>
          <w:szCs w:val="17"/>
          <w:color w:val="auto"/>
        </w:rPr>
      </w:pPr>
    </w:p>
    <w:p>
      <w:pPr>
        <w:jc w:val="both"/>
        <w:ind w:firstLine="1496"/>
        <w:spacing w:after="0" w:line="251" w:lineRule="auto"/>
        <w:tabs>
          <w:tab w:leader="none" w:pos="1848"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January 1, 2023, FBB and each of the FBB Subsidiaries are in material compliance with (i) their respective obligations under each of the material FBB Licenses and (ii) the rules and regulations of the Governmental Entity issuing such material FBB Licenses. There is no pending or, to FBB’s Knowledge, threatened by or before any Governmental Entity any material proceeding, notice of violation, order of forfeiture or complaint or investigation against FBB or any of the FBB Subsidiaries relating to any of the material FBB Licenses. To the Knowledge of FBB and the FBB Subsidiaries, no event has occurred which, with notice or the lapse of time or both, would constitute a default or violation, in any material respect, of any term, condition or provision of any FBB License, and to the Knowledge of FBB and the FBB Subsidiaries, there are no facts or circumstances which could form the basis for any such default or violation. The actions of the applicable Governmental Entities granting all material FBB Licenses have not been reversed, stayed, enjoined, annulled or suspended, and there is not pending or, to FBB’s Knowledge, threatened, any material application, petition, objection or other pleading with any Governmental Entity that challenges or questions the validity of or any rights of the holder under any material FBB License.</w:t>
      </w:r>
    </w:p>
    <w:p>
      <w:pPr>
        <w:spacing w:after="0" w:line="157" w:lineRule="exact"/>
        <w:rPr>
          <w:sz w:val="20"/>
          <w:szCs w:val="20"/>
          <w:color w:val="auto"/>
        </w:rPr>
      </w:pPr>
    </w:p>
    <w:p>
      <w:pPr>
        <w:ind w:left="1220"/>
        <w:spacing w:after="0"/>
        <w:tabs>
          <w:tab w:leader="none" w:pos="2580" w:val="left"/>
        </w:tabs>
        <w:rPr>
          <w:sz w:val="20"/>
          <w:szCs w:val="20"/>
          <w:color w:val="auto"/>
        </w:rPr>
      </w:pPr>
      <w:r>
        <w:rPr>
          <w:rFonts w:ascii="Times New Roman" w:cs="Times New Roman" w:eastAsia="Times New Roman" w:hAnsi="Times New Roman"/>
          <w:sz w:val="17"/>
          <w:szCs w:val="17"/>
          <w:b w:val="1"/>
          <w:bCs w:val="1"/>
          <w:u w:val="single" w:color="auto"/>
          <w:color w:val="auto"/>
        </w:rPr>
        <w:t>SECTION 4.14</w:t>
      </w:r>
      <w:r>
        <w:rPr>
          <w:sz w:val="20"/>
          <w:szCs w:val="20"/>
          <w:color w:val="auto"/>
        </w:rPr>
        <w:tab/>
      </w:r>
      <w:r>
        <w:rPr>
          <w:rFonts w:ascii="Times New Roman" w:cs="Times New Roman" w:eastAsia="Times New Roman" w:hAnsi="Times New Roman"/>
          <w:sz w:val="17"/>
          <w:szCs w:val="17"/>
          <w:b w:val="1"/>
          <w:bCs w:val="1"/>
          <w:u w:val="single" w:color="auto"/>
          <w:color w:val="auto"/>
        </w:rPr>
        <w:t>Material Contracts</w:t>
      </w:r>
      <w:r>
        <w:rPr>
          <w:rFonts w:ascii="Times New Roman" w:cs="Times New Roman" w:eastAsia="Times New Roman" w:hAnsi="Times New Roman"/>
          <w:sz w:val="17"/>
          <w:szCs w:val="17"/>
          <w:color w:val="auto"/>
        </w:rPr>
        <w:t>.</w:t>
      </w:r>
    </w:p>
    <w:p>
      <w:pPr>
        <w:spacing w:after="0" w:line="197" w:lineRule="exact"/>
        <w:rPr>
          <w:sz w:val="20"/>
          <w:szCs w:val="20"/>
          <w:color w:val="auto"/>
        </w:rPr>
      </w:pPr>
    </w:p>
    <w:p>
      <w:pPr>
        <w:ind w:firstLine="1496"/>
        <w:spacing w:after="0" w:line="284" w:lineRule="auto"/>
        <w:tabs>
          <w:tab w:leader="none" w:pos="1848"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4.14(a) of the FBB Disclosure Schedule sets forth a complete list of each currently effective Contract to which FBB or any of its Subsidiaries is a party or by which it is bound as of the date of this Agreement (other than any FBB Benefit Plan) (each, an “</w:t>
      </w:r>
      <w:r>
        <w:rPr>
          <w:rFonts w:ascii="Times New Roman" w:cs="Times New Roman" w:eastAsia="Times New Roman" w:hAnsi="Times New Roman"/>
          <w:sz w:val="17"/>
          <w:szCs w:val="17"/>
          <w:u w:val="single" w:color="auto"/>
          <w:color w:val="auto"/>
        </w:rPr>
        <w:t>FBB Material Contract</w:t>
      </w:r>
      <w:r>
        <w:rPr>
          <w:rFonts w:ascii="Times New Roman" w:cs="Times New Roman" w:eastAsia="Times New Roman" w:hAnsi="Times New Roman"/>
          <w:sz w:val="17"/>
          <w:szCs w:val="17"/>
          <w:color w:val="auto"/>
        </w:rPr>
        <w:t>”):</w:t>
      </w:r>
    </w:p>
    <w:p>
      <w:pPr>
        <w:spacing w:after="0" w:line="128" w:lineRule="exact"/>
        <w:rPr>
          <w:rFonts w:ascii="Times New Roman" w:cs="Times New Roman" w:eastAsia="Times New Roman" w:hAnsi="Times New Roman"/>
          <w:sz w:val="17"/>
          <w:szCs w:val="17"/>
          <w:color w:val="auto"/>
        </w:rPr>
      </w:pPr>
    </w:p>
    <w:p>
      <w:pPr>
        <w:ind w:left="2600" w:hanging="354"/>
        <w:spacing w:after="0"/>
        <w:tabs>
          <w:tab w:leader="none" w:pos="2600"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is a material contract as defined in Item 601(b)(10) of Regulation S-K promulgated by the SEC;</w:t>
      </w:r>
    </w:p>
    <w:p>
      <w:pPr>
        <w:spacing w:after="0" w:line="194" w:lineRule="exact"/>
        <w:rPr>
          <w:rFonts w:ascii="Times New Roman" w:cs="Times New Roman" w:eastAsia="Times New Roman" w:hAnsi="Times New Roman"/>
          <w:sz w:val="17"/>
          <w:szCs w:val="17"/>
          <w:color w:val="auto"/>
        </w:rPr>
      </w:pPr>
    </w:p>
    <w:p>
      <w:pPr>
        <w:ind w:left="2600" w:hanging="354"/>
        <w:spacing w:after="0"/>
        <w:tabs>
          <w:tab w:leader="none" w:pos="2600"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relating to leases of real property;</w:t>
      </w:r>
    </w:p>
    <w:p>
      <w:pPr>
        <w:spacing w:after="0" w:line="194" w:lineRule="exact"/>
        <w:rPr>
          <w:rFonts w:ascii="Times New Roman" w:cs="Times New Roman" w:eastAsia="Times New Roman" w:hAnsi="Times New Roman"/>
          <w:sz w:val="17"/>
          <w:szCs w:val="17"/>
          <w:color w:val="auto"/>
        </w:rPr>
      </w:pPr>
    </w:p>
    <w:p>
      <w:pPr>
        <w:ind w:left="2600" w:hanging="354"/>
        <w:spacing w:after="0"/>
        <w:tabs>
          <w:tab w:leader="none" w:pos="2600"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is a Contract with a FBB Top Supplier;</w:t>
      </w:r>
    </w:p>
    <w:p>
      <w:pPr>
        <w:spacing w:after="0" w:line="194" w:lineRule="exact"/>
        <w:rPr>
          <w:rFonts w:ascii="Times New Roman" w:cs="Times New Roman" w:eastAsia="Times New Roman" w:hAnsi="Times New Roman"/>
          <w:sz w:val="17"/>
          <w:szCs w:val="17"/>
          <w:color w:val="auto"/>
        </w:rPr>
      </w:pPr>
    </w:p>
    <w:p>
      <w:pPr>
        <w:ind w:left="2600" w:hanging="354"/>
        <w:spacing w:after="0"/>
        <w:tabs>
          <w:tab w:leader="none" w:pos="2600"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is a Contract with a FBB Top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1169670</wp:posOffset>
            </wp:positionH>
            <wp:positionV relativeFrom="paragraph">
              <wp:posOffset>-1123950</wp:posOffset>
            </wp:positionV>
            <wp:extent cx="672465"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2465" cy="762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46" w:name="page47"/>
    <w:bookmarkEnd w:id="46"/>
    <w:p>
      <w:pPr>
        <w:jc w:val="both"/>
        <w:ind w:right="20" w:firstLine="2246"/>
        <w:spacing w:after="0" w:line="265" w:lineRule="auto"/>
        <w:tabs>
          <w:tab w:leader="none" w:pos="2598"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any pledge, security agreement, deed of trust or other Contracts that impose a Lien on any of FBB’s or any of its Subsidiaries’ assets; (b) loan or credit agreement, indenture, debenture, note or other Contracts that create, incur or guarantee any Indebtedness, or (c) Contracts under which FBB or any of its Subsidiaries assumes, or otherwise becomes liable for, the Indebtedness of any other Person;</w:t>
      </w:r>
    </w:p>
    <w:p>
      <w:pPr>
        <w:spacing w:after="0" w:line="144" w:lineRule="exact"/>
        <w:rPr>
          <w:rFonts w:ascii="Times New Roman" w:cs="Times New Roman" w:eastAsia="Times New Roman" w:hAnsi="Times New Roman"/>
          <w:sz w:val="17"/>
          <w:szCs w:val="17"/>
          <w:color w:val="auto"/>
        </w:rPr>
      </w:pPr>
    </w:p>
    <w:p>
      <w:pPr>
        <w:ind w:right="20" w:firstLine="2246"/>
        <w:spacing w:after="0" w:line="284" w:lineRule="auto"/>
        <w:tabs>
          <w:tab w:leader="none" w:pos="2598"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is any partnership agreement, joint venture agreement or other similar Contract (excluding, for the avoidance of doubt, marketplace agreements with vendors);</w:t>
      </w:r>
    </w:p>
    <w:p>
      <w:pPr>
        <w:spacing w:after="0" w:line="128" w:lineRule="exact"/>
        <w:rPr>
          <w:rFonts w:ascii="Times New Roman" w:cs="Times New Roman" w:eastAsia="Times New Roman" w:hAnsi="Times New Roman"/>
          <w:sz w:val="17"/>
          <w:szCs w:val="17"/>
          <w:color w:val="auto"/>
        </w:rPr>
      </w:pPr>
    </w:p>
    <w:p>
      <w:pPr>
        <w:ind w:right="20" w:firstLine="2246"/>
        <w:spacing w:after="0" w:line="284" w:lineRule="auto"/>
        <w:tabs>
          <w:tab w:leader="none" w:pos="2598"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relating to Indebtedness or the deferred purchase price of property (whether incurred, assumed, guaranteed or secured by any asset), except for Contracts relating to Indebtedness in an amount not exceeding $500,000 in the aggregate;</w:t>
      </w:r>
    </w:p>
    <w:p>
      <w:pPr>
        <w:spacing w:after="0" w:line="128" w:lineRule="exact"/>
        <w:rPr>
          <w:rFonts w:ascii="Times New Roman" w:cs="Times New Roman" w:eastAsia="Times New Roman" w:hAnsi="Times New Roman"/>
          <w:sz w:val="17"/>
          <w:szCs w:val="17"/>
          <w:color w:val="auto"/>
        </w:rPr>
      </w:pPr>
    </w:p>
    <w:p>
      <w:pPr>
        <w:jc w:val="both"/>
        <w:ind w:firstLine="2246"/>
        <w:spacing w:after="0" w:line="253" w:lineRule="auto"/>
        <w:tabs>
          <w:tab w:leader="none" w:pos="2945"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which by its terms limits in any material respect (i) the localities, market or business in which all or any significant portion of the business and operations of FBB or FBB’s Subsidiaries or, following the consummation of the Transactions, the business and operations of Surviving Company or FBB, is or would be conducted, (ii) the Persons FBB or any of its existing or future Subsidiaries, may hire (other than Contracts with contract research organizations or other contractors or vendors that provide services to FBB in the ordinary course of FBB’s business and that contain provisions that prevent FBB from soliciting or hiring any personnel of such contract research organizations or such other contractors or vendors), (iii) the Persons to which FBB or any of its existing or future Subsidiaries may sell products or deliver services, or (iv) the scope of the business and operations of FBB and its Subsidiaries, taken as a whole;</w:t>
      </w:r>
    </w:p>
    <w:p>
      <w:pPr>
        <w:spacing w:after="0" w:line="360" w:lineRule="exact"/>
        <w:rPr>
          <w:rFonts w:ascii="Times New Roman" w:cs="Times New Roman" w:eastAsia="Times New Roman" w:hAnsi="Times New Roman"/>
          <w:sz w:val="17"/>
          <w:szCs w:val="17"/>
          <w:color w:val="auto"/>
        </w:rPr>
      </w:pPr>
    </w:p>
    <w:p>
      <w:pPr>
        <w:jc w:val="both"/>
        <w:ind w:right="20" w:firstLine="2246"/>
        <w:spacing w:after="0" w:line="256" w:lineRule="auto"/>
        <w:tabs>
          <w:tab w:leader="none" w:pos="2598"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Contract that (i) provides for the grant to FBB of any license or other right to or under any material Intellectual Property Rights, other than (A) non-exclusive license agreements for commercially available off-the-shelf software or technology services, (B) employee proprietary invention assignment agreements and (C) commercial agreements where the license of Intellectual Property Rights is incidental to the main agreement or (ii) contains a license or other right to use material FBB IP Rights other than non-exclusive licenses to a contractor or service provider of FBB or the FBB Subsidiaries entered in the ordinary course of business;</w:t>
      </w:r>
    </w:p>
    <w:p>
      <w:pPr>
        <w:spacing w:after="0" w:line="151" w:lineRule="exact"/>
        <w:rPr>
          <w:rFonts w:ascii="Times New Roman" w:cs="Times New Roman" w:eastAsia="Times New Roman" w:hAnsi="Times New Roman"/>
          <w:sz w:val="17"/>
          <w:szCs w:val="17"/>
          <w:color w:val="auto"/>
        </w:rPr>
      </w:pPr>
    </w:p>
    <w:p>
      <w:pPr>
        <w:ind w:right="40" w:firstLine="2246"/>
        <w:spacing w:after="0" w:line="284" w:lineRule="auto"/>
        <w:tabs>
          <w:tab w:leader="none" w:pos="2598"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Contract that waives any material rights, grants any material releases, resolves or settles any material actual or threatened Proceedings or provides for any material injunctive or non-monetary relief (including co-existence agreements);</w:t>
      </w:r>
    </w:p>
    <w:p>
      <w:pPr>
        <w:spacing w:after="0" w:line="128" w:lineRule="exact"/>
        <w:rPr>
          <w:rFonts w:ascii="Times New Roman" w:cs="Times New Roman" w:eastAsia="Times New Roman" w:hAnsi="Times New Roman"/>
          <w:sz w:val="17"/>
          <w:szCs w:val="17"/>
          <w:color w:val="auto"/>
        </w:rPr>
      </w:pPr>
    </w:p>
    <w:p>
      <w:pPr>
        <w:ind w:left="2600" w:hanging="354"/>
        <w:spacing w:after="0"/>
        <w:tabs>
          <w:tab w:leader="none" w:pos="260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containing any royalty, dividend or similar arrangement based on the revenues or profits of FBB or any of its Subsidiaries;</w:t>
      </w:r>
    </w:p>
    <w:p>
      <w:pPr>
        <w:spacing w:after="0" w:line="194" w:lineRule="exact"/>
        <w:rPr>
          <w:rFonts w:ascii="Times New Roman" w:cs="Times New Roman" w:eastAsia="Times New Roman" w:hAnsi="Times New Roman"/>
          <w:sz w:val="17"/>
          <w:szCs w:val="17"/>
          <w:color w:val="auto"/>
        </w:rPr>
      </w:pPr>
    </w:p>
    <w:p>
      <w:pPr>
        <w:ind w:left="2600" w:hanging="354"/>
        <w:spacing w:after="0"/>
        <w:tabs>
          <w:tab w:leader="none" w:pos="260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any Governmental Entity or a subcontractor to any Governmental Entity in connection with such FBB Material</w:t>
      </w:r>
    </w:p>
    <w:p>
      <w:pPr>
        <w:spacing w:after="0" w:line="25"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Contract;</w:t>
      </w:r>
    </w:p>
    <w:p>
      <w:pPr>
        <w:spacing w:after="0" w:line="174" w:lineRule="exact"/>
        <w:rPr>
          <w:rFonts w:ascii="Times New Roman" w:cs="Times New Roman" w:eastAsia="Times New Roman" w:hAnsi="Times New Roman"/>
          <w:sz w:val="17"/>
          <w:szCs w:val="17"/>
          <w:color w:val="auto"/>
        </w:rPr>
      </w:pPr>
    </w:p>
    <w:p>
      <w:pPr>
        <w:jc w:val="both"/>
        <w:ind w:firstLine="2246"/>
        <w:spacing w:after="0" w:line="259" w:lineRule="auto"/>
        <w:tabs>
          <w:tab w:leader="none" w:pos="2945"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Contract with (a) an executive officer or director of FBB or any of its Subsidiaries or any of such executive officer’s or director’s immediate family members, (b) an owner of more than five percent (5%) of the voting power of the outstanding capital stock of FBB or (c) to the Knowledge of FBB, any “related party” (within the meaning of Item 404 of Regulation S-K promulgated by the SEC) of any such officer, director or owner (other than FBB or its Subsidiaries);</w:t>
      </w:r>
    </w:p>
    <w:p>
      <w:pPr>
        <w:spacing w:after="0" w:line="149" w:lineRule="exact"/>
        <w:rPr>
          <w:rFonts w:ascii="Times New Roman" w:cs="Times New Roman" w:eastAsia="Times New Roman" w:hAnsi="Times New Roman"/>
          <w:sz w:val="17"/>
          <w:szCs w:val="17"/>
          <w:color w:val="auto"/>
        </w:rPr>
      </w:pPr>
    </w:p>
    <w:p>
      <w:pPr>
        <w:ind w:left="2940" w:hanging="694"/>
        <w:spacing w:after="0"/>
        <w:tabs>
          <w:tab w:leader="none" w:pos="29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agreement that gives rise to any material payment or benefit as a result of the performance of this Agreement or</w:t>
      </w:r>
    </w:p>
    <w:p>
      <w:pPr>
        <w:spacing w:after="0" w:line="25"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of the other Transactions;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47" w:name="page48"/>
    <w:bookmarkEnd w:id="47"/>
    <w:p>
      <w:pPr>
        <w:jc w:val="both"/>
        <w:ind w:firstLine="2246"/>
        <w:spacing w:after="0" w:line="274" w:lineRule="auto"/>
        <w:tabs>
          <w:tab w:leader="none" w:pos="2598"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relating to the acquisition or disposition of any material interest in, or any material amount of, securities, property or assets of FBB or any of its Subsidiaries or any other Person, or for the grant to any Person of any preferential rights to purchase any of any such securities, property or assets;</w:t>
      </w:r>
    </w:p>
    <w:p>
      <w:pPr>
        <w:spacing w:after="0" w:line="346" w:lineRule="exact"/>
        <w:rPr>
          <w:rFonts w:ascii="Times New Roman" w:cs="Times New Roman" w:eastAsia="Times New Roman" w:hAnsi="Times New Roman"/>
          <w:sz w:val="17"/>
          <w:szCs w:val="17"/>
          <w:color w:val="auto"/>
        </w:rPr>
      </w:pPr>
    </w:p>
    <w:p>
      <w:pPr>
        <w:ind w:left="2940" w:hanging="694"/>
        <w:spacing w:after="0"/>
        <w:tabs>
          <w:tab w:leader="none" w:pos="2940"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powers of attorney or agency agreements; and</w:t>
      </w:r>
    </w:p>
    <w:p>
      <w:pPr>
        <w:spacing w:after="0" w:line="194" w:lineRule="exact"/>
        <w:rPr>
          <w:rFonts w:ascii="Times New Roman" w:cs="Times New Roman" w:eastAsia="Times New Roman" w:hAnsi="Times New Roman"/>
          <w:sz w:val="17"/>
          <w:szCs w:val="17"/>
          <w:color w:val="auto"/>
        </w:rPr>
      </w:pPr>
    </w:p>
    <w:p>
      <w:pPr>
        <w:jc w:val="both"/>
        <w:ind w:firstLine="2246"/>
        <w:spacing w:after="0" w:line="265" w:lineRule="auto"/>
        <w:tabs>
          <w:tab w:leader="none" w:pos="2945"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than as set forth elsewhere on Section‎ 4.14(a) of the FBB Disclosure Schedule, and excluding customary confidentiality and non-disclose agreements, all other Contracts that are material to the business or operations of FBB and its Subsidiaries and commitments or agreements to enter into any of the foregoing.</w:t>
      </w:r>
    </w:p>
    <w:p>
      <w:pPr>
        <w:spacing w:after="0" w:line="144" w:lineRule="exact"/>
        <w:rPr>
          <w:rFonts w:ascii="Times New Roman" w:cs="Times New Roman" w:eastAsia="Times New Roman" w:hAnsi="Times New Roman"/>
          <w:sz w:val="17"/>
          <w:szCs w:val="17"/>
          <w:color w:val="auto"/>
        </w:rPr>
      </w:pPr>
    </w:p>
    <w:p>
      <w:pPr>
        <w:jc w:val="both"/>
        <w:ind w:firstLine="1496"/>
        <w:spacing w:after="0" w:line="249" w:lineRule="auto"/>
        <w:tabs>
          <w:tab w:leader="none" w:pos="1848"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FBB has delivered or made available to DXL accurate and complete copies of all FBB Material Contracts, including all amendments thereto. There are no FBB Material Contracts that are not in written form. Neither FBB nor any Subsidiary of FBB has, nor to FBB’s Knowledge, has any other party to an FBB Material Contract breached, violated or defaulted under, or received notice that it has breached, violated or defaulted under, any of the terms or conditions of any FBB Material Contract, except where the breach, violation, default or notice thereof of any the foregoing, thereunder has not had and would not reasonably be expected to have, individually or in the aggregate, a Material Adverse Effect on FBB. As to FBB and FBB’s Subsidiaries, as of the date of this Agreement, each FBB Material Contract is valid, binding, enforceable and in full force and effect, subject to the Enforceability Exceptions, except where the failure to be valid and binding obligations and in full force and effect and enforceable has not had and would not reasonably be expected to have, individually or in the aggregate, a Material Adverse Effect on FBB. The consummation of the Transactions will not (either alone or upon the occurrence of additional acts or events) result in any material payment or payments becoming due from FBB, any Subsidiary of FBB, or the Surviving Company to any Person under any FBB Material Contract or give any Person the right to terminate or alter the provisions of any FBB Material Contract. Except as has not had and would not reasonably be expected to have, individually or in the aggregate, a Material Adverse Effect on FBB, no Person (A) is renegotiating any material amount paid or payable to FBB or any of its Subsidiaries under any FBB Material Contract or any other material term or provision of any FBB Material Contract or (B) has provided notice to FBB or any of its Subsidiaries that it intends to terminate any FBB Material Contract or with respect to any breach or default in any material respect of any FBB Material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-2058670</wp:posOffset>
            </wp:positionV>
            <wp:extent cx="694690"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4690" cy="7620"/>
                    </a:xfrm>
                    <a:prstGeom prst="rect">
                      <a:avLst/>
                    </a:prstGeom>
                    <a:noFill/>
                  </pic:spPr>
                </pic:pic>
              </a:graphicData>
            </a:graphic>
          </wp:anchor>
        </w:drawing>
      </w:r>
    </w:p>
    <w:p>
      <w:pPr>
        <w:spacing w:after="0" w:line="345" w:lineRule="exact"/>
        <w:rPr>
          <w:sz w:val="20"/>
          <w:szCs w:val="20"/>
          <w:color w:val="auto"/>
        </w:rPr>
      </w:pPr>
    </w:p>
    <w:p>
      <w:pPr>
        <w:ind w:left="1220"/>
        <w:spacing w:after="0"/>
        <w:tabs>
          <w:tab w:leader="none" w:pos="2580" w:val="left"/>
        </w:tabs>
        <w:rPr>
          <w:sz w:val="20"/>
          <w:szCs w:val="20"/>
          <w:color w:val="auto"/>
        </w:rPr>
      </w:pPr>
      <w:r>
        <w:rPr>
          <w:rFonts w:ascii="Times New Roman" w:cs="Times New Roman" w:eastAsia="Times New Roman" w:hAnsi="Times New Roman"/>
          <w:sz w:val="17"/>
          <w:szCs w:val="17"/>
          <w:b w:val="1"/>
          <w:bCs w:val="1"/>
          <w:u w:val="single" w:color="auto"/>
          <w:color w:val="auto"/>
        </w:rPr>
        <w:t>SECTION 4.15</w:t>
      </w:r>
      <w:r>
        <w:rPr>
          <w:sz w:val="20"/>
          <w:szCs w:val="20"/>
          <w:color w:val="auto"/>
        </w:rPr>
        <w:tab/>
      </w:r>
      <w:r>
        <w:rPr>
          <w:rFonts w:ascii="Times New Roman" w:cs="Times New Roman" w:eastAsia="Times New Roman" w:hAnsi="Times New Roman"/>
          <w:sz w:val="17"/>
          <w:szCs w:val="17"/>
          <w:b w:val="1"/>
          <w:bCs w:val="1"/>
          <w:u w:val="single" w:color="auto"/>
          <w:color w:val="auto"/>
        </w:rPr>
        <w:t>Environmental Liability</w:t>
      </w:r>
      <w:r>
        <w:rPr>
          <w:rFonts w:ascii="Times New Roman" w:cs="Times New Roman" w:eastAsia="Times New Roman" w:hAnsi="Times New Roman"/>
          <w:sz w:val="17"/>
          <w:szCs w:val="17"/>
          <w:color w:val="auto"/>
        </w:rPr>
        <w:t>.</w:t>
      </w:r>
    </w:p>
    <w:p>
      <w:pPr>
        <w:spacing w:after="0" w:line="197" w:lineRule="exact"/>
        <w:rPr>
          <w:sz w:val="20"/>
          <w:szCs w:val="20"/>
          <w:color w:val="auto"/>
        </w:rPr>
      </w:pPr>
    </w:p>
    <w:p>
      <w:pPr>
        <w:ind w:right="40" w:firstLine="1496"/>
        <w:spacing w:after="0" w:line="284" w:lineRule="auto"/>
        <w:tabs>
          <w:tab w:leader="none" w:pos="1848"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FBB and the FBB Subsidiaries possesses and is in compliance with all Environmental Permits necessary in all material respects to conduct its businesses and operations as currently conducted.</w:t>
      </w:r>
    </w:p>
    <w:p>
      <w:pPr>
        <w:spacing w:after="0" w:line="128" w:lineRule="exact"/>
        <w:rPr>
          <w:rFonts w:ascii="Times New Roman" w:cs="Times New Roman" w:eastAsia="Times New Roman" w:hAnsi="Times New Roman"/>
          <w:sz w:val="17"/>
          <w:szCs w:val="17"/>
          <w:color w:val="auto"/>
        </w:rPr>
      </w:pPr>
    </w:p>
    <w:p>
      <w:pPr>
        <w:jc w:val="both"/>
        <w:ind w:right="20" w:firstLine="1496"/>
        <w:spacing w:after="0" w:line="265" w:lineRule="auto"/>
        <w:tabs>
          <w:tab w:leader="none" w:pos="1848"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Knowledge of FBB, each of FBB and the FBB Subsidiaries is in compliance and has complied in all material respects with all applicable Environmental Laws, and neither FBB nor any FBB Subsidiary has received any communication from any Governmental Entity or other Person that alleges that FBB or any FBB Subsidiary has violated or is liable under any Environmental Law in any material respect.</w:t>
      </w:r>
    </w:p>
    <w:p>
      <w:pPr>
        <w:spacing w:after="0" w:line="144" w:lineRule="exact"/>
        <w:rPr>
          <w:rFonts w:ascii="Times New Roman" w:cs="Times New Roman" w:eastAsia="Times New Roman" w:hAnsi="Times New Roman"/>
          <w:sz w:val="17"/>
          <w:szCs w:val="17"/>
          <w:color w:val="auto"/>
        </w:rPr>
      </w:pPr>
    </w:p>
    <w:p>
      <w:pPr>
        <w:jc w:val="both"/>
        <w:ind w:firstLine="1496"/>
        <w:spacing w:after="0" w:line="259" w:lineRule="auto"/>
        <w:tabs>
          <w:tab w:leader="none" w:pos="1848"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 material Environmental Claims pending or, to FBB’s Knowledge, threatened against FBB or any of the FBB Subsidiaries, and neither FBB nor any of the FBB Subsidiaries has contractually retained or assumed any liabilities or obligations that would reasonably be expected to result in any Environmental Claim against FBB or any of the FBB Subsidiaries nor there is any circumstance involving FBB or any of its Subsidiaries that would reasonably be expected to result in any Environmental Claim.</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48" w:name="page49"/>
    <w:bookmarkEnd w:id="48"/>
    <w:p>
      <w:pPr>
        <w:ind w:right="40" w:firstLine="1496"/>
        <w:spacing w:after="0" w:line="284" w:lineRule="auto"/>
        <w:tabs>
          <w:tab w:leader="none" w:pos="1848"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Knowledge of FBB, there have been no Releases of, or exposure to, any Hazardous Materials that would reasonably be expected to result in any material Environmental Claim or liability.</w:t>
      </w:r>
    </w:p>
    <w:p>
      <w:pPr>
        <w:spacing w:after="0" w:line="127" w:lineRule="exact"/>
        <w:rPr>
          <w:sz w:val="20"/>
          <w:szCs w:val="20"/>
          <w:color w:val="auto"/>
        </w:rPr>
      </w:pPr>
    </w:p>
    <w:p>
      <w:pPr>
        <w:jc w:val="both"/>
        <w:ind w:firstLine="1220"/>
        <w:spacing w:after="0" w:line="287" w:lineRule="auto"/>
        <w:rPr>
          <w:sz w:val="20"/>
          <w:szCs w:val="20"/>
          <w:color w:val="auto"/>
        </w:rPr>
      </w:pPr>
      <w:r>
        <w:rPr>
          <w:rFonts w:ascii="Times New Roman" w:cs="Times New Roman" w:eastAsia="Times New Roman" w:hAnsi="Times New Roman"/>
          <w:sz w:val="17"/>
          <w:szCs w:val="17"/>
          <w:b w:val="1"/>
          <w:bCs w:val="1"/>
          <w:u w:val="single" w:color="auto"/>
          <w:color w:val="auto"/>
        </w:rPr>
        <w:t>SECTION 4.16 Takeover Laws</w:t>
      </w:r>
      <w:r>
        <w:rPr>
          <w:rFonts w:ascii="Times New Roman" w:cs="Times New Roman" w:eastAsia="Times New Roman" w:hAnsi="Times New Roman"/>
          <w:sz w:val="17"/>
          <w:szCs w:val="17"/>
          <w:color w:val="auto"/>
        </w:rPr>
        <w:t>. To FBB’s Knowledge, there are no Takeover Statutes or any takeover-related provision in the FBB</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Charter applicable to the Merger or the other Transactions.</w:t>
      </w:r>
    </w:p>
    <w:p>
      <w:pPr>
        <w:spacing w:after="0" w:line="124" w:lineRule="exact"/>
        <w:rPr>
          <w:sz w:val="20"/>
          <w:szCs w:val="20"/>
          <w:color w:val="auto"/>
        </w:rPr>
      </w:pPr>
    </w:p>
    <w:p>
      <w:pPr>
        <w:jc w:val="both"/>
        <w:ind w:firstLine="1220"/>
        <w:spacing w:after="0" w:line="256" w:lineRule="auto"/>
        <w:rPr>
          <w:sz w:val="20"/>
          <w:szCs w:val="20"/>
          <w:color w:val="auto"/>
        </w:rPr>
      </w:pPr>
      <w:r>
        <w:rPr>
          <w:rFonts w:ascii="Times New Roman" w:cs="Times New Roman" w:eastAsia="Times New Roman" w:hAnsi="Times New Roman"/>
          <w:sz w:val="17"/>
          <w:szCs w:val="17"/>
          <w:b w:val="1"/>
          <w:bCs w:val="1"/>
          <w:u w:val="single" w:color="auto"/>
          <w:color w:val="auto"/>
        </w:rPr>
        <w:t>SECTION 4.17 FBB Information</w:t>
      </w:r>
      <w:r>
        <w:rPr>
          <w:rFonts w:ascii="Times New Roman" w:cs="Times New Roman" w:eastAsia="Times New Roman" w:hAnsi="Times New Roman"/>
          <w:sz w:val="17"/>
          <w:szCs w:val="17"/>
          <w:color w:val="auto"/>
        </w:rPr>
        <w:t>. The information relating to FBB that is provided by FBB or FBB’s Representatives for inclusion in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Proxy Statement, or in any other document filed with any other Regulatory Agency in connection with the Merger and the other Transactions, will not in the case of the Proxy Statement, at the date it is first furnished by DXL to the SEC or at the time of the DXL Stockholders Meeting or in the case of any other document at the time of the filing of such document, contain any untrue statement of a material fact or omit to state any material fact required to be stated therein or necessary to make the statements therein, in light of the circumstances in which they are made, not misleading.</w:t>
      </w:r>
    </w:p>
    <w:p>
      <w:pPr>
        <w:spacing w:after="0" w:line="152" w:lineRule="exact"/>
        <w:rPr>
          <w:sz w:val="20"/>
          <w:szCs w:val="20"/>
          <w:color w:val="auto"/>
        </w:rPr>
      </w:pPr>
    </w:p>
    <w:p>
      <w:pPr>
        <w:jc w:val="both"/>
        <w:ind w:right="20" w:firstLine="1220"/>
        <w:spacing w:after="0" w:line="256" w:lineRule="auto"/>
        <w:rPr>
          <w:sz w:val="20"/>
          <w:szCs w:val="20"/>
          <w:color w:val="auto"/>
        </w:rPr>
      </w:pPr>
      <w:r>
        <w:rPr>
          <w:rFonts w:ascii="Times New Roman" w:cs="Times New Roman" w:eastAsia="Times New Roman" w:hAnsi="Times New Roman"/>
          <w:sz w:val="17"/>
          <w:szCs w:val="17"/>
          <w:b w:val="1"/>
          <w:bCs w:val="1"/>
          <w:u w:val="single" w:color="auto"/>
          <w:color w:val="auto"/>
        </w:rPr>
        <w:t>SECTION 4.18 Affiliate Transactions</w:t>
      </w:r>
      <w:r>
        <w:rPr>
          <w:rFonts w:ascii="Times New Roman" w:cs="Times New Roman" w:eastAsia="Times New Roman" w:hAnsi="Times New Roman"/>
          <w:sz w:val="17"/>
          <w:szCs w:val="17"/>
          <w:color w:val="auto"/>
        </w:rPr>
        <w:t>. To FBB’s Knowledge, as of the date of this Agreement, there are no material transactions,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Contracts or understandings between FBB, or any of the FBB Subsidiaries on the one hand, and either (i) any holder of any Equity Interest in FBB or any of the FBB Subsidiaries, (ii) any officer or director of FBB or any of the FBB Subsidiaries (other than any FBB Benefit Plan) or (iii) any of FBB’s other Affiliates (other than wholly owned FBB Subsidiaries), on the other hand, that would be required to be disclosed by FBB under Item 404 of Regulation S-K promulgated by the SEC if FBB were to be subject to such regulation.</w:t>
      </w:r>
    </w:p>
    <w:p>
      <w:pPr>
        <w:spacing w:after="0" w:line="152" w:lineRule="exact"/>
        <w:rPr>
          <w:sz w:val="20"/>
          <w:szCs w:val="20"/>
          <w:color w:val="auto"/>
        </w:rPr>
      </w:pPr>
    </w:p>
    <w:p>
      <w:pPr>
        <w:ind w:left="1220"/>
        <w:spacing w:after="0"/>
        <w:tabs>
          <w:tab w:leader="none" w:pos="2580" w:val="left"/>
        </w:tabs>
        <w:rPr>
          <w:sz w:val="20"/>
          <w:szCs w:val="20"/>
          <w:color w:val="auto"/>
        </w:rPr>
      </w:pPr>
      <w:r>
        <w:rPr>
          <w:rFonts w:ascii="Times New Roman" w:cs="Times New Roman" w:eastAsia="Times New Roman" w:hAnsi="Times New Roman"/>
          <w:sz w:val="17"/>
          <w:szCs w:val="17"/>
          <w:b w:val="1"/>
          <w:bCs w:val="1"/>
          <w:u w:val="single" w:color="auto"/>
          <w:color w:val="auto"/>
        </w:rPr>
        <w:t>SECTION 4.19</w:t>
      </w:r>
      <w:r>
        <w:rPr>
          <w:sz w:val="20"/>
          <w:szCs w:val="20"/>
          <w:color w:val="auto"/>
        </w:rPr>
        <w:tab/>
      </w:r>
      <w:r>
        <w:rPr>
          <w:rFonts w:ascii="Times New Roman" w:cs="Times New Roman" w:eastAsia="Times New Roman" w:hAnsi="Times New Roman"/>
          <w:sz w:val="17"/>
          <w:szCs w:val="17"/>
          <w:b w:val="1"/>
          <w:bCs w:val="1"/>
          <w:u w:val="single" w:color="auto"/>
          <w:color w:val="auto"/>
        </w:rPr>
        <w:t>Intellectual Property</w:t>
      </w:r>
      <w:r>
        <w:rPr>
          <w:rFonts w:ascii="Times New Roman" w:cs="Times New Roman" w:eastAsia="Times New Roman" w:hAnsi="Times New Roman"/>
          <w:sz w:val="17"/>
          <w:szCs w:val="17"/>
          <w:color w:val="auto"/>
        </w:rPr>
        <w:t>.</w:t>
      </w:r>
    </w:p>
    <w:p>
      <w:pPr>
        <w:spacing w:after="0" w:line="197" w:lineRule="exact"/>
        <w:rPr>
          <w:sz w:val="20"/>
          <w:szCs w:val="20"/>
          <w:color w:val="auto"/>
        </w:rPr>
      </w:pPr>
    </w:p>
    <w:p>
      <w:pPr>
        <w:jc w:val="both"/>
        <w:ind w:firstLine="1496"/>
        <w:spacing w:after="0" w:line="259" w:lineRule="auto"/>
        <w:tabs>
          <w:tab w:leader="none" w:pos="1848"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FBB and the FBB Subsidiaries owns, or has a valid license to use, free and clear of all Liens, other than Permitted Liens, all material Intellectual Property Rights used in the operation of their respective businesses as currently conducted (provided that the foregoing will not be read as a</w:t>
      </w:r>
    </w:p>
    <w:p>
      <w:pPr>
        <w:jc w:val="both"/>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representation of non-infringement, which is solely covered by Section‎ 4.19(b) below) and such (i) ownership or (ii) right to use such Intellectual Property Rights will not be affected by the execution, delivery and performance of this Agreement or the consummation of the Merger and the other Transactions. All material Registered IP included in the FBB IP Rights is currently subsisting, and, to the Knowledge of FBB, valid and enforceable.</w:t>
      </w:r>
    </w:p>
    <w:p>
      <w:pPr>
        <w:spacing w:after="0" w:line="154" w:lineRule="exact"/>
        <w:rPr>
          <w:rFonts w:ascii="Times New Roman" w:cs="Times New Roman" w:eastAsia="Times New Roman" w:hAnsi="Times New Roman"/>
          <w:sz w:val="17"/>
          <w:szCs w:val="17"/>
          <w:color w:val="auto"/>
        </w:rPr>
      </w:pPr>
    </w:p>
    <w:p>
      <w:pPr>
        <w:jc w:val="both"/>
        <w:ind w:firstLine="1496"/>
        <w:spacing w:after="0" w:line="253" w:lineRule="auto"/>
        <w:tabs>
          <w:tab w:leader="none" w:pos="1848"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The conduct of the business as currently conducted, and as has been conducted since January 1, 2023, by FBB and the FBB Subsidiaries does not infringe, misappropriate or otherwise violate the Intellectual Property Rights of any third Person in any material respect; (ii) there are no material Proceedings pending against FBB or any of the FBB Subsidiaries, and, to FBB’s Knowledge, there is no material claim, action or proceeding threatened against FBB or any of the FBB Subsidiaries, in each case alleging that FBB or the FBB Subsidiaries is or has been infringing, misappropriating or otherwise violating any Intellectual Property Rights of any third Person; and (iii) since January 1, 2023, neither FBB nor the FBB Subsidiaries have received any material written invitations to license, cease-and-desist letters or indemnity claims relating to any infringement, misappropriation or violation of the Intellectual Property Rights of any third Person.</w:t>
      </w:r>
    </w:p>
    <w:p>
      <w:pPr>
        <w:spacing w:after="0" w:line="154" w:lineRule="exact"/>
        <w:rPr>
          <w:rFonts w:ascii="Times New Roman" w:cs="Times New Roman" w:eastAsia="Times New Roman" w:hAnsi="Times New Roman"/>
          <w:sz w:val="17"/>
          <w:szCs w:val="17"/>
          <w:color w:val="auto"/>
        </w:rPr>
      </w:pPr>
    </w:p>
    <w:p>
      <w:pPr>
        <w:jc w:val="both"/>
        <w:ind w:right="20" w:firstLine="1496"/>
        <w:spacing w:after="0" w:line="265" w:lineRule="auto"/>
        <w:tabs>
          <w:tab w:leader="none" w:pos="1848"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January 1, 2023, neither FBB nor any of the FBB Subsidiaries have filed or threatened in writing any claim against, or sent an invitation to license, cease-and-desist letter or indemnity claim to, any third Person alleging that such Person is infringing, misappropriating or otherwise violating any FBB IP Rights in any material respect, and to FBB’s knowledge, no third Person is infringing,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2800350</wp:posOffset>
            </wp:positionH>
            <wp:positionV relativeFrom="paragraph">
              <wp:posOffset>-1809115</wp:posOffset>
            </wp:positionV>
            <wp:extent cx="678815"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8815" cy="762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49" w:name="page50"/>
    <w:bookmarkEnd w:id="49"/>
    <w:p>
      <w:pPr>
        <w:spacing w:after="0" w:line="262" w:lineRule="auto"/>
        <w:rPr>
          <w:sz w:val="20"/>
          <w:szCs w:val="20"/>
          <w:color w:val="auto"/>
        </w:rPr>
      </w:pPr>
      <w:r>
        <w:rPr>
          <w:rFonts w:ascii="Times New Roman" w:cs="Times New Roman" w:eastAsia="Times New Roman" w:hAnsi="Times New Roman"/>
          <w:sz w:val="17"/>
          <w:szCs w:val="17"/>
          <w:color w:val="auto"/>
        </w:rPr>
        <w:t>misappropriating or otherwise violating, or since January 1, 2023, has infringed, misappropriated or otherwise violated, any FBB IP Rights in any material respect.</w:t>
      </w:r>
    </w:p>
    <w:p>
      <w:pPr>
        <w:spacing w:after="0" w:line="378" w:lineRule="exact"/>
        <w:rPr>
          <w:sz w:val="20"/>
          <w:szCs w:val="20"/>
          <w:color w:val="auto"/>
        </w:rPr>
      </w:pPr>
    </w:p>
    <w:p>
      <w:pPr>
        <w:jc w:val="both"/>
        <w:ind w:right="20" w:firstLine="1496"/>
        <w:spacing w:after="0" w:line="265" w:lineRule="auto"/>
        <w:tabs>
          <w:tab w:leader="none" w:pos="1848"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FBB and each of the FBB Subsidiaries has taken commercially reasonable precautions, including the use of binding confidentiality and nondisclosure agreements, to protect and maintain the confidentiality of material nonpublic information included in the FBB IP Rights, including material Trade Secrets of FBB and the FBB Subsidiaries.</w:t>
      </w:r>
    </w:p>
    <w:p>
      <w:pPr>
        <w:spacing w:after="0" w:line="144" w:lineRule="exact"/>
        <w:rPr>
          <w:rFonts w:ascii="Times New Roman" w:cs="Times New Roman" w:eastAsia="Times New Roman" w:hAnsi="Times New Roman"/>
          <w:sz w:val="17"/>
          <w:szCs w:val="17"/>
          <w:color w:val="auto"/>
        </w:rPr>
      </w:pPr>
    </w:p>
    <w:p>
      <w:pPr>
        <w:ind w:firstLine="1496"/>
        <w:spacing w:after="0" w:line="284" w:lineRule="auto"/>
        <w:tabs>
          <w:tab w:leader="none" w:pos="1848"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4.19(e) of the FBB Disclosure Schedule sets forth, as of the date of this Agreement, a complete and accurate list of Registered IP included in the FBB IP Rights.</w:t>
      </w:r>
    </w:p>
    <w:p>
      <w:pPr>
        <w:spacing w:after="0" w:line="128" w:lineRule="exact"/>
        <w:rPr>
          <w:rFonts w:ascii="Times New Roman" w:cs="Times New Roman" w:eastAsia="Times New Roman" w:hAnsi="Times New Roman"/>
          <w:sz w:val="17"/>
          <w:szCs w:val="17"/>
          <w:color w:val="auto"/>
        </w:rPr>
      </w:pPr>
    </w:p>
    <w:p>
      <w:pPr>
        <w:jc w:val="both"/>
        <w:ind w:right="20" w:firstLine="1496"/>
        <w:spacing w:after="0" w:line="259" w:lineRule="auto"/>
        <w:tabs>
          <w:tab w:leader="none" w:pos="1848"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current and former employees and consultants of FBB or any of the FBB Subsidiaries who contributed to the discovery, creation or development of any FBB IP Rights did so (i) within the scope of his or her employment such that it constituted a work made for hire under the U.S. Copyright Act (17 USC 101) and all Intellectual Property Rights arising therefrom became the exclusive property of FBB or any of FBB Subsidiaries, as applicable, or (ii) pursuant to a written agreement, which assigned all of his or her Intellectual Property Rights arising therein to FBB or any of the FBB Subsidiaries,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1169670</wp:posOffset>
            </wp:positionH>
            <wp:positionV relativeFrom="paragraph">
              <wp:posOffset>-792480</wp:posOffset>
            </wp:positionV>
            <wp:extent cx="672465"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2465" cy="7620"/>
                    </a:xfrm>
                    <a:prstGeom prst="rect">
                      <a:avLst/>
                    </a:prstGeom>
                    <a:noFill/>
                  </pic:spPr>
                </pic:pic>
              </a:graphicData>
            </a:graphic>
          </wp:anchor>
        </w:drawing>
      </w:r>
    </w:p>
    <w:p>
      <w:pPr>
        <w:spacing w:after="0" w:line="128" w:lineRule="exact"/>
        <w:rPr>
          <w:sz w:val="20"/>
          <w:szCs w:val="20"/>
          <w:color w:val="auto"/>
        </w:rPr>
      </w:pPr>
    </w:p>
    <w:p>
      <w:pPr>
        <w:jc w:val="both"/>
        <w:ind w:firstLine="1220"/>
        <w:spacing w:after="0" w:line="255" w:lineRule="auto"/>
        <w:rPr>
          <w:sz w:val="20"/>
          <w:szCs w:val="20"/>
          <w:color w:val="auto"/>
        </w:rPr>
      </w:pPr>
      <w:r>
        <w:rPr>
          <w:rFonts w:ascii="Times New Roman" w:cs="Times New Roman" w:eastAsia="Times New Roman" w:hAnsi="Times New Roman"/>
          <w:sz w:val="17"/>
          <w:szCs w:val="17"/>
          <w:b w:val="1"/>
          <w:bCs w:val="1"/>
          <w:u w:val="single" w:color="auto"/>
          <w:color w:val="auto"/>
        </w:rPr>
        <w:t>SECTION 4.20 Title to Assets</w:t>
      </w:r>
      <w:r>
        <w:rPr>
          <w:rFonts w:ascii="Times New Roman" w:cs="Times New Roman" w:eastAsia="Times New Roman" w:hAnsi="Times New Roman"/>
          <w:sz w:val="17"/>
          <w:szCs w:val="17"/>
          <w:color w:val="auto"/>
        </w:rPr>
        <w:t>. Each of FBB and its Subsidiaries owns, and has good and valid title to, or, in the case of leased properties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assets, valid leasehold interests in, all tangible properties or tangible assets and equipment used or held for use in its business or operations or purported to be owned by it, including: (a) all assets reflected in the FBB Financial Statements; and (b) all other assets reflected in the books and records of FBB or any of its Subsidiaries as being owned by FBB or such Subsidiary, in each case, other than as would not reasonably be expected to be material to FBB and its Subsidiaries, taken as a whole. All of such assets are owned or, in the case of leased assets, leased by FBB or any of its Subsidiaries, free and clear of any Liens other than Permitted Liens.</w:t>
      </w:r>
    </w:p>
    <w:p>
      <w:pPr>
        <w:spacing w:after="0" w:line="357" w:lineRule="exact"/>
        <w:rPr>
          <w:sz w:val="20"/>
          <w:szCs w:val="20"/>
          <w:color w:val="auto"/>
        </w:rPr>
      </w:pPr>
    </w:p>
    <w:p>
      <w:pPr>
        <w:ind w:left="1220"/>
        <w:spacing w:after="0"/>
        <w:tabs>
          <w:tab w:leader="none" w:pos="2580" w:val="left"/>
        </w:tabs>
        <w:rPr>
          <w:sz w:val="20"/>
          <w:szCs w:val="20"/>
          <w:color w:val="auto"/>
        </w:rPr>
      </w:pPr>
      <w:r>
        <w:rPr>
          <w:rFonts w:ascii="Times New Roman" w:cs="Times New Roman" w:eastAsia="Times New Roman" w:hAnsi="Times New Roman"/>
          <w:sz w:val="17"/>
          <w:szCs w:val="17"/>
          <w:b w:val="1"/>
          <w:bCs w:val="1"/>
          <w:u w:val="single" w:color="auto"/>
          <w:color w:val="auto"/>
        </w:rPr>
        <w:t>SECTION 4.21</w:t>
      </w:r>
      <w:r>
        <w:rPr>
          <w:sz w:val="20"/>
          <w:szCs w:val="20"/>
          <w:color w:val="auto"/>
        </w:rPr>
        <w:tab/>
      </w:r>
      <w:r>
        <w:rPr>
          <w:rFonts w:ascii="Times New Roman" w:cs="Times New Roman" w:eastAsia="Times New Roman" w:hAnsi="Times New Roman"/>
          <w:sz w:val="17"/>
          <w:szCs w:val="17"/>
          <w:b w:val="1"/>
          <w:bCs w:val="1"/>
          <w:u w:val="single" w:color="auto"/>
          <w:color w:val="auto"/>
        </w:rPr>
        <w:t>Real Property; Leasehold</w:t>
      </w:r>
      <w:r>
        <w:rPr>
          <w:rFonts w:ascii="Times New Roman" w:cs="Times New Roman" w:eastAsia="Times New Roman" w:hAnsi="Times New Roman"/>
          <w:sz w:val="17"/>
          <w:szCs w:val="17"/>
          <w:color w:val="auto"/>
        </w:rPr>
        <w:t>.</w:t>
      </w:r>
    </w:p>
    <w:p>
      <w:pPr>
        <w:spacing w:after="0" w:line="197" w:lineRule="exact"/>
        <w:rPr>
          <w:sz w:val="20"/>
          <w:szCs w:val="20"/>
          <w:color w:val="auto"/>
        </w:rPr>
      </w:pPr>
    </w:p>
    <w:p>
      <w:pPr>
        <w:jc w:val="both"/>
        <w:ind w:firstLine="1496"/>
        <w:spacing w:after="0" w:line="251" w:lineRule="auto"/>
        <w:tabs>
          <w:tab w:leader="none" w:pos="186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4.21(a) of the FBB Disclosure Schedule contains, as of the date of this Agreement, a complete and correct list of all real property owned in whole or in part by FBB and its Subsidiaries (such real property, together with all buildings, structures, fixtures and improvements erected or located thereon, the “</w:t>
      </w:r>
      <w:r>
        <w:rPr>
          <w:rFonts w:ascii="Times New Roman" w:cs="Times New Roman" w:eastAsia="Times New Roman" w:hAnsi="Times New Roman"/>
          <w:sz w:val="17"/>
          <w:szCs w:val="17"/>
          <w:u w:val="single" w:color="auto"/>
          <w:color w:val="auto"/>
        </w:rPr>
        <w:t>FBB Owned Real Property</w:t>
      </w:r>
      <w:r>
        <w:rPr>
          <w:rFonts w:ascii="Times New Roman" w:cs="Times New Roman" w:eastAsia="Times New Roman" w:hAnsi="Times New Roman"/>
          <w:sz w:val="17"/>
          <w:szCs w:val="17"/>
          <w:color w:val="auto"/>
        </w:rPr>
        <w:t>”). Except as has not had and would not reasonably be expected to have, individually or in the aggregate, a Material Adverse Effect on FBB, (i) FBB or its Subsidiaries have good and valid fee simple title to all of the FBB Owned Real Property, free and clear of Liens, except Permitted Liens, and (ii) to FBB’s Knowledge, there is no pending or threatened condemnation or similar action affecting any of the FBB Owned Real Property by FBB and its Subsidiaries. Neither FBB nor any of its Subsidiaries has leased or otherwise granted to any Person the right to use or occupy any FBB Owned Real Property or any portion thereof. There are no outstanding options, rights of first offer or rights of first refusal to purchase any FBB Owned Real Property or any portion thereof or interest therein. There is no formerly owned real property that was owned by FBB or any of its Subsidiaries in respect of which FBB or any of its Subsidiaries may have any material liability. Neither FBB nor any of its Subsidiaries is bound by any Contract requiring it to acquire or dispose of any interest in real property.</w:t>
      </w:r>
    </w:p>
    <w:p>
      <w:pPr>
        <w:spacing w:after="0" w:line="359" w:lineRule="exact"/>
        <w:rPr>
          <w:rFonts w:ascii="Times New Roman" w:cs="Times New Roman" w:eastAsia="Times New Roman" w:hAnsi="Times New Roman"/>
          <w:sz w:val="17"/>
          <w:szCs w:val="17"/>
          <w:color w:val="auto"/>
        </w:rPr>
      </w:pPr>
    </w:p>
    <w:p>
      <w:pPr>
        <w:jc w:val="both"/>
        <w:ind w:firstLine="1496"/>
        <w:spacing w:after="0" w:line="259" w:lineRule="auto"/>
        <w:tabs>
          <w:tab w:leader="none" w:pos="186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4.21(b) of the FBB Disclosure Schedule contains, as of the date of this Agreement, a complete and correct list of the FBB Leased Real Property by FBB and its Subsidiaries. Except as has not had and would not reasonably be expected to have, individually or in the aggregate, a Material Adverse Effect on FBB, (i) FBB or its Subsidiaries have valid leasehold interests to all real property leased or subleased by FBB and its Subsidiaries (the “</w:t>
      </w:r>
      <w:r>
        <w:rPr>
          <w:rFonts w:ascii="Times New Roman" w:cs="Times New Roman" w:eastAsia="Times New Roman" w:hAnsi="Times New Roman"/>
          <w:sz w:val="17"/>
          <w:szCs w:val="17"/>
          <w:u w:val="single" w:color="auto"/>
          <w:color w:val="auto"/>
        </w:rPr>
        <w:t>FBB Leased Real Property</w:t>
      </w:r>
      <w:r>
        <w:rPr>
          <w:rFonts w:ascii="Times New Roman" w:cs="Times New Roman" w:eastAsia="Times New Roman" w:hAnsi="Times New Roman"/>
          <w:sz w:val="17"/>
          <w:szCs w:val="17"/>
          <w:color w:val="auto"/>
        </w:rPr>
        <w:t>”), free and clear of all Liens, except for Permitted Liens; (ii) as of the date hereof, each lease or sublease with respect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1177290</wp:posOffset>
            </wp:positionH>
            <wp:positionV relativeFrom="paragraph">
              <wp:posOffset>-1813560</wp:posOffset>
            </wp:positionV>
            <wp:extent cx="680085"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0085" cy="7620"/>
                    </a:xfrm>
                    <a:prstGeom prst="rect">
                      <a:avLst/>
                    </a:prstGeom>
                    <a:noFill/>
                  </pic:spPr>
                </pic:pic>
              </a:graphicData>
            </a:graphic>
          </wp:anchor>
        </w:drawing>
        <w:drawing>
          <wp:anchor simplePos="0" relativeHeight="251657728" behindDoc="1" locked="0" layoutInCell="0" allowOverlap="1">
            <wp:simplePos x="0" y="0"/>
            <wp:positionH relativeFrom="column">
              <wp:posOffset>1177290</wp:posOffset>
            </wp:positionH>
            <wp:positionV relativeFrom="paragraph">
              <wp:posOffset>-417195</wp:posOffset>
            </wp:positionV>
            <wp:extent cx="68580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0" cy="762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50" w:name="page51"/>
    <w:bookmarkEnd w:id="50"/>
    <w:p>
      <w:pPr>
        <w:jc w:val="both"/>
        <w:spacing w:after="0" w:line="250" w:lineRule="auto"/>
        <w:rPr>
          <w:sz w:val="20"/>
          <w:szCs w:val="20"/>
          <w:color w:val="auto"/>
        </w:rPr>
      </w:pPr>
      <w:r>
        <w:rPr>
          <w:rFonts w:ascii="Times New Roman" w:cs="Times New Roman" w:eastAsia="Times New Roman" w:hAnsi="Times New Roman"/>
          <w:sz w:val="17"/>
          <w:szCs w:val="17"/>
          <w:color w:val="auto"/>
        </w:rPr>
        <w:t>FBB Leased Real Property (each, an “</w:t>
      </w:r>
      <w:r>
        <w:rPr>
          <w:rFonts w:ascii="Times New Roman" w:cs="Times New Roman" w:eastAsia="Times New Roman" w:hAnsi="Times New Roman"/>
          <w:sz w:val="17"/>
          <w:szCs w:val="17"/>
          <w:u w:val="single" w:color="auto"/>
          <w:color w:val="auto"/>
        </w:rPr>
        <w:t>FBB Real Property Lease</w:t>
      </w:r>
      <w:r>
        <w:rPr>
          <w:rFonts w:ascii="Times New Roman" w:cs="Times New Roman" w:eastAsia="Times New Roman" w:hAnsi="Times New Roman"/>
          <w:sz w:val="17"/>
          <w:szCs w:val="17"/>
          <w:color w:val="auto"/>
        </w:rPr>
        <w:t>”) is in full force and effect and enforceable in accordance with its respective terms against FBB or its Subsidiaries that are party thereto and, to FBB’s Knowledge, to the other parties thereto (in each case subject to the Enforceability Exceptions); and (iii) neither FBB nor any of its Subsidiaries is in material breach or material default under any of the FBB Real Property Leases and no event has occurred or circumstance exists that, with the delivery of notice, passage of time or both, would constitute such a breach or default or permit the termination of, modification of or acceleration of rent under any FBB Real Property Lease or otherwise cause such FBB Real Property Lease to cease to be legal, valid, binding, enforceable and in full force and effect on identical terms following the Closing (subject only to the Enforceability Exceptions). Neither FBB nor any of its Subsidiaries has subleased, licensed, sublicensed or otherwise granted any Person any beneficial interest in or the right to use or occupy any FBB Leased Real Property or any portion thereof. FBB has made available to DXL true, correct and complete copies of each FBB Real Property Lease. Neither FBB nor any of its Subsidiaries owes, nor, based on existing FBB Real Property Leases or other Contracts as currently in effect, will owe in the future, any brokerage commissions or finder’s fees with respect to any FBB Leased Real Property. No landlord or tenant (as applicable) under any FBB Real Property Lease is an Affiliate of FBB or any of its Subsidiaries.</w:t>
      </w:r>
    </w:p>
    <w:p>
      <w:pPr>
        <w:spacing w:after="0" w:line="364" w:lineRule="exact"/>
        <w:rPr>
          <w:sz w:val="20"/>
          <w:szCs w:val="20"/>
          <w:color w:val="auto"/>
        </w:rPr>
      </w:pPr>
    </w:p>
    <w:p>
      <w:pPr>
        <w:ind w:left="1840" w:hanging="344"/>
        <w:spacing w:after="0"/>
        <w:tabs>
          <w:tab w:leader="none" w:pos="184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FBB Owned Real Property set forth on Section‎ 4.21(a) of the FBB Disclosure Schedule and the FBB Leased Real Property set</w:t>
      </w:r>
    </w:p>
    <w:p>
      <w:pPr>
        <w:spacing w:after="0" w:line="25" w:lineRule="exact"/>
        <w:rPr>
          <w:rFonts w:ascii="Times New Roman" w:cs="Times New Roman" w:eastAsia="Times New Roman" w:hAnsi="Times New Roman"/>
          <w:sz w:val="17"/>
          <w:szCs w:val="17"/>
          <w:color w:val="auto"/>
        </w:rPr>
      </w:pPr>
    </w:p>
    <w:p>
      <w:pPr>
        <w:jc w:val="both"/>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forth on Section‎ 4.21(b) of the FBB Disclosure Schedule comprise all of the land, buildings, improvements, fixtures or other real property necessary for, and currently used by, the operation of the business of FBB and the FBB Subsidiaries. None of the FBB Owned Real Property or FBB Leased Real Property is used for any purpose other than the operation of the business of FBB and the FBB Subsidiaries. Neither FBB nor any of its Subsidiaries uses any land, buildings, improvements, fixtures or other real property for which ownership or a lease would ordinarily be required, other than that which is included in the definition of FBB Owned Real Property or FBB Leased Real Property.</w:t>
      </w:r>
    </w:p>
    <w:p>
      <w:pPr>
        <w:spacing w:after="0" w:line="156" w:lineRule="exact"/>
        <w:rPr>
          <w:rFonts w:ascii="Times New Roman" w:cs="Times New Roman" w:eastAsia="Times New Roman" w:hAnsi="Times New Roman"/>
          <w:sz w:val="17"/>
          <w:szCs w:val="17"/>
          <w:color w:val="auto"/>
        </w:rPr>
      </w:pPr>
    </w:p>
    <w:p>
      <w:pPr>
        <w:jc w:val="both"/>
        <w:ind w:firstLine="1496"/>
        <w:spacing w:after="0" w:line="252" w:lineRule="auto"/>
        <w:tabs>
          <w:tab w:leader="none" w:pos="1848"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FBB’s Knowledge, each FBB Owned Real Property and FBB Leased Real Property is supplied with utilities and other services reasonably necessary for the operation of the business of FBB and its Subsidiaries as currently conducted at each such FBB Owned Real Property and FBB Leased Real Property, and, to FBB’s Knowledge, no fact or condition exists that would result in the termination or impairment of the furnishing of service to any such FBB Owned Real Property or FBB Leased Real Property of water, sewer, gas, electric, telephone, drainage and other such utility services. To FBB’s Knowledge, the FBB Owned Real Property and FBB Leased Real Property and all improvements thereon, including the mechanical systems, HVAC systems, plumbing, electrical, security, utility and sprinkler systems, are in reasonably good working condition and repair, subject only to ordinary wear and tear and normal, scheduled maintenance and are reasonably sufficient for the operation thereof for its current use, in each case, except as would not reasonably be expected to be material to FBB and its Subsidiaries, taken as a whole.</w:t>
      </w:r>
    </w:p>
    <w:p>
      <w:pPr>
        <w:spacing w:after="0" w:line="155" w:lineRule="exact"/>
        <w:rPr>
          <w:rFonts w:ascii="Times New Roman" w:cs="Times New Roman" w:eastAsia="Times New Roman" w:hAnsi="Times New Roman"/>
          <w:sz w:val="17"/>
          <w:szCs w:val="17"/>
          <w:color w:val="auto"/>
        </w:rPr>
      </w:pPr>
    </w:p>
    <w:p>
      <w:pPr>
        <w:jc w:val="both"/>
        <w:ind w:firstLine="1496"/>
        <w:spacing w:after="0" w:line="259" w:lineRule="auto"/>
        <w:tabs>
          <w:tab w:leader="none" w:pos="1848"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FBB’s Knowledge, there are no material structural or other physical defects or deficiencies in the condition of the FBB Owned Real Property and FBB Leased Real Property, and there are no facts or conditions that would, individually or in the aggregate, materially interfere in any respect with the use or occupancy of such FBB Owned Real Property and FBB Leased Real Property or any portion thereof in the operation of the business of FBB and its Subsidiaries as currently conducted thereon.</w:t>
      </w:r>
    </w:p>
    <w:p>
      <w:pPr>
        <w:spacing w:after="0" w:line="149" w:lineRule="exact"/>
        <w:rPr>
          <w:rFonts w:ascii="Times New Roman" w:cs="Times New Roman" w:eastAsia="Times New Roman" w:hAnsi="Times New Roman"/>
          <w:sz w:val="17"/>
          <w:szCs w:val="17"/>
          <w:color w:val="auto"/>
        </w:rPr>
      </w:pPr>
    </w:p>
    <w:p>
      <w:pPr>
        <w:jc w:val="both"/>
        <w:ind w:firstLine="1496"/>
        <w:spacing w:after="0" w:line="259" w:lineRule="auto"/>
        <w:tabs>
          <w:tab w:leader="none" w:pos="1848"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FBB nor any of its Subsidiaries has received any written notice from a Governmental Entity of any special Tax, levy or assessment for benefits or betterments that affect the FBB Owned Real Property or FBB Leased Real Property and no such special Taxes, levies or assessments are pending or contemplated. Neither the FBB Owned Real Property, the FBB Leased Real Property nor the use or occupancy thereof violates in any way any applicable permits, licenses, certificates of occupancy,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3196590</wp:posOffset>
            </wp:positionH>
            <wp:positionV relativeFrom="paragraph">
              <wp:posOffset>-3075305</wp:posOffset>
            </wp:positionV>
            <wp:extent cx="680085"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0085" cy="7620"/>
                    </a:xfrm>
                    <a:prstGeom prst="rect">
                      <a:avLst/>
                    </a:prstGeom>
                    <a:noFill/>
                  </pic:spPr>
                </pic:pic>
              </a:graphicData>
            </a:graphic>
          </wp:anchor>
        </w:drawing>
        <w:drawing>
          <wp:anchor simplePos="0" relativeHeight="251657728" behindDoc="1" locked="0" layoutInCell="0" allowOverlap="1">
            <wp:simplePos x="0" y="0"/>
            <wp:positionH relativeFrom="column">
              <wp:posOffset>390525</wp:posOffset>
            </wp:positionH>
            <wp:positionV relativeFrom="paragraph">
              <wp:posOffset>-2947670</wp:posOffset>
            </wp:positionV>
            <wp:extent cx="685800"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0" cy="762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51" w:name="page52"/>
    <w:bookmarkEnd w:id="51"/>
    <w:p>
      <w:pPr>
        <w:jc w:val="both"/>
        <w:ind w:right="20"/>
        <w:spacing w:after="0" w:line="265" w:lineRule="auto"/>
        <w:rPr>
          <w:sz w:val="20"/>
          <w:szCs w:val="20"/>
          <w:color w:val="auto"/>
        </w:rPr>
      </w:pPr>
      <w:r>
        <w:rPr>
          <w:rFonts w:ascii="Times New Roman" w:cs="Times New Roman" w:eastAsia="Times New Roman" w:hAnsi="Times New Roman"/>
          <w:sz w:val="17"/>
          <w:szCs w:val="17"/>
          <w:color w:val="auto"/>
        </w:rPr>
        <w:t>covenants, conditions or restrictions, whether federal, state, local or private, and the FBB Owned Real Property or the FBB Leased Real Property or FBB or its applicable Subsidiary holding the fee, leasehold or other interest therein has received all required permits, certificates of occupancy, licenses, authorizations and approvals in connection with the use and occupancy thereof, whether in connection with the business of FBB, its Subsidiaries or otherwise.</w:t>
      </w:r>
    </w:p>
    <w:p>
      <w:pPr>
        <w:spacing w:after="0" w:line="145" w:lineRule="exact"/>
        <w:rPr>
          <w:sz w:val="20"/>
          <w:szCs w:val="20"/>
          <w:color w:val="auto"/>
        </w:rPr>
      </w:pPr>
    </w:p>
    <w:p>
      <w:pPr>
        <w:jc w:val="both"/>
        <w:ind w:right="20" w:firstLine="1496"/>
        <w:spacing w:after="0" w:line="265" w:lineRule="auto"/>
        <w:tabs>
          <w:tab w:leader="none" w:pos="1848"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FBB Owned Real Property and FBB Leased Real Property enjoys direct or indirect legal ingress and egress from dedicated public highways or streets, and no action has been instituted or is pending or threatened that would impair or curtail such legal ingress and egress and, to FBB’s Knowledge, there is no reasonable basis for any such action.</w:t>
      </w:r>
    </w:p>
    <w:p>
      <w:pPr>
        <w:spacing w:after="0" w:line="144" w:lineRule="exact"/>
        <w:rPr>
          <w:rFonts w:ascii="Times New Roman" w:cs="Times New Roman" w:eastAsia="Times New Roman" w:hAnsi="Times New Roman"/>
          <w:sz w:val="17"/>
          <w:szCs w:val="17"/>
          <w:color w:val="auto"/>
        </w:rPr>
      </w:pPr>
    </w:p>
    <w:p>
      <w:pPr>
        <w:jc w:val="both"/>
        <w:ind w:right="20" w:firstLine="1496"/>
        <w:spacing w:after="0" w:line="265" w:lineRule="auto"/>
        <w:tabs>
          <w:tab w:leader="none" w:pos="1898"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FBB nor any of its Subsidiaries has received any written notice from any insurance company or board of fire underwriters of any defects or inadequacies that could adversely affect the insurability of any FBB Owned Real Property or FBB Leased Real Property or requesting the performance of any material work or alteration with respect to any FBB Owned Real Property or FBB Leased Real Property.</w:t>
      </w:r>
    </w:p>
    <w:p>
      <w:pPr>
        <w:spacing w:after="0" w:line="143" w:lineRule="exact"/>
        <w:rPr>
          <w:sz w:val="20"/>
          <w:szCs w:val="20"/>
          <w:color w:val="auto"/>
        </w:rPr>
      </w:pPr>
    </w:p>
    <w:p>
      <w:pPr>
        <w:jc w:val="both"/>
        <w:ind w:right="20" w:firstLine="1220"/>
        <w:spacing w:after="0" w:line="256" w:lineRule="auto"/>
        <w:rPr>
          <w:sz w:val="20"/>
          <w:szCs w:val="20"/>
          <w:color w:val="auto"/>
        </w:rPr>
      </w:pPr>
      <w:r>
        <w:rPr>
          <w:rFonts w:ascii="Times New Roman" w:cs="Times New Roman" w:eastAsia="Times New Roman" w:hAnsi="Times New Roman"/>
          <w:sz w:val="17"/>
          <w:szCs w:val="17"/>
          <w:b w:val="1"/>
          <w:bCs w:val="1"/>
          <w:u w:val="single" w:color="auto"/>
          <w:color w:val="auto"/>
        </w:rPr>
        <w:t>SECTION 4.22 Anti-Corruption Laws</w:t>
      </w:r>
      <w:r>
        <w:rPr>
          <w:rFonts w:ascii="Times New Roman" w:cs="Times New Roman" w:eastAsia="Times New Roman" w:hAnsi="Times New Roman"/>
          <w:sz w:val="17"/>
          <w:szCs w:val="17"/>
          <w:color w:val="auto"/>
        </w:rPr>
        <w:t>. None of FBB or any of its Subsidiaries or any of their respective directors, officers, employees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agents or any other Person acting on their behalf has directly or indirectly made any bribes, rebates, payoffs, influence payments, kickbacks, illegal payments, illegal political contributions, or other payments, in the form of cash, gifts, or otherwise, or taken any other action, in violation of the Anti-Corruption Laws. Neither FBB nor any of its Subsidiaries is or has been the subject of any investigation or inquiry by any Governmental Entity with respect to potential violations of Anti-Corruption Laws.</w:t>
      </w:r>
    </w:p>
    <w:p>
      <w:pPr>
        <w:spacing w:after="0" w:line="152" w:lineRule="exact"/>
        <w:rPr>
          <w:sz w:val="20"/>
          <w:szCs w:val="20"/>
          <w:color w:val="auto"/>
        </w:rPr>
      </w:pPr>
    </w:p>
    <w:p>
      <w:pPr>
        <w:jc w:val="both"/>
        <w:ind w:firstLine="1220"/>
        <w:spacing w:after="0" w:line="249" w:lineRule="auto"/>
        <w:rPr>
          <w:sz w:val="20"/>
          <w:szCs w:val="20"/>
          <w:color w:val="auto"/>
        </w:rPr>
      </w:pPr>
      <w:r>
        <w:rPr>
          <w:rFonts w:ascii="Times New Roman" w:cs="Times New Roman" w:eastAsia="Times New Roman" w:hAnsi="Times New Roman"/>
          <w:sz w:val="17"/>
          <w:szCs w:val="17"/>
          <w:b w:val="1"/>
          <w:bCs w:val="1"/>
          <w:u w:val="single" w:color="auto"/>
          <w:color w:val="auto"/>
        </w:rPr>
        <w:t>SECTION 4.23 Insurance</w:t>
      </w:r>
      <w:r>
        <w:rPr>
          <w:rFonts w:ascii="Times New Roman" w:cs="Times New Roman" w:eastAsia="Times New Roman" w:hAnsi="Times New Roman"/>
          <w:sz w:val="17"/>
          <w:szCs w:val="17"/>
          <w:color w:val="auto"/>
        </w:rPr>
        <w:t>. Section‎ 4.23 of the FBB Disclosure Schedule contains a complete and accurate list of all material policies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fire, liability, workers’ compensation, title and other forms of insurance owned, held by or otherwise applicable, as of the date of this Agreement, to the assets, properties or operations of FBB and the FBB Subsidiaries, and FBB has heretofore made available to DXL and its Representatives a complete and accurate copy of all such policies, including all occurrence based policies applicable to the assets, properties or operations of FBB and the FBB Subsidiaries for all periods prior to the Effective Time. All such policies (or substitute policies with substantially similar terms and underwritten by insurance carriers with substantially similar or higher ratings) are valid and subsisting and in full force and effect in accordance with their terms, all premiums with respect thereto covering all periods up to and including the Effective Time have been paid, and no notice of cancellation or termination (or any other threatened termination) has been received with respect to any such policy. Such policies are sufficient for compliance by FBB and the FBB Subsidiaries with (i) all requirements of applicable Law and (ii) all Contracts to which any of FBB or any of the FBB Subsidiaries is a party, and each of FBB and each of the FBB Subsidiaries has complied in all material respects with the provisions of such policy under which FBB or such FBB Subsidiary, as applicable is an insured party. Neither FBB nor any of the FBB Subsidiaries is in default under any of such insurance policies, and there exists no event, occurrence, condition or act which, with the giving of notice, the lapse of time or the happening of any other event or condition, would become a default thereunder. Neither FBB nor any of the FBB Subsidiaries has been refused any insurance or suffered the cancellation of any insurance with respect to the assets, properties or operations of FBB or such FBB Subsidiary, as applicable, by any insurance carrier to which it has applied for any such insurance or with which it has carried insurance during the last five (5) years. There are no pending or, to the Knowledge of FBB, outstanding or reasonably anticipated material claims under any insurance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-1811655</wp:posOffset>
            </wp:positionV>
            <wp:extent cx="557530"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57530" cy="762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p>
      <w:pPr>
        <w:spacing w:after="0" w:line="163" w:lineRule="exact"/>
        <w:rPr>
          <w:sz w:val="20"/>
          <w:szCs w:val="20"/>
          <w:color w:val="auto"/>
        </w:rPr>
      </w:pPr>
    </w:p>
    <w:p>
      <w:pPr>
        <w:jc w:val="both"/>
        <w:ind w:firstLine="1220"/>
        <w:spacing w:after="0" w:line="267" w:lineRule="auto"/>
        <w:rPr>
          <w:sz w:val="20"/>
          <w:szCs w:val="20"/>
          <w:color w:val="auto"/>
        </w:rPr>
      </w:pPr>
      <w:r>
        <w:rPr>
          <w:rFonts w:ascii="Times New Roman" w:cs="Times New Roman" w:eastAsia="Times New Roman" w:hAnsi="Times New Roman"/>
          <w:sz w:val="17"/>
          <w:szCs w:val="17"/>
          <w:b w:val="1"/>
          <w:bCs w:val="1"/>
          <w:u w:val="single" w:color="auto"/>
          <w:color w:val="auto"/>
        </w:rPr>
        <w:t>SECTION 4.24 Pre-Closing Investment</w:t>
      </w:r>
      <w:r>
        <w:rPr>
          <w:rFonts w:ascii="Times New Roman" w:cs="Times New Roman" w:eastAsia="Times New Roman" w:hAnsi="Times New Roman"/>
          <w:sz w:val="17"/>
          <w:szCs w:val="17"/>
          <w:color w:val="auto"/>
        </w:rPr>
        <w:t>. FBB</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Subscription Agreements that have been entered as of the date hereof. Investor is in</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jc w:val="right"/>
        <w:spacing w:after="0" w:line="284" w:lineRule="auto"/>
        <w:rPr>
          <w:sz w:val="20"/>
          <w:szCs w:val="20"/>
          <w:color w:val="auto"/>
        </w:rPr>
      </w:pPr>
      <w:r>
        <w:rPr>
          <w:rFonts w:ascii="Times New Roman" w:cs="Times New Roman" w:eastAsia="Times New Roman" w:hAnsi="Times New Roman"/>
          <w:sz w:val="17"/>
          <w:szCs w:val="17"/>
          <w:color w:val="auto"/>
        </w:rPr>
        <w:t>has delivered to DXL true, correct and complete copies of any Commitment and As of the date hereof, the Commitment and Subscription Agreement with each FBB</w:t>
      </w:r>
    </w:p>
    <w:p>
      <w:pPr>
        <w:spacing w:after="0" w:line="387" w:lineRule="exact"/>
        <w:rPr>
          <w:sz w:val="20"/>
          <w:szCs w:val="20"/>
          <w:color w:val="auto"/>
        </w:rPr>
      </w:pPr>
    </w:p>
    <w:p>
      <w:pPr>
        <w:sectPr>
          <w:pgSz w:w="11900" w:h="16838" w:orient="portrait"/>
          <w:cols w:equalWidth="0" w:num="2">
            <w:col w:w="5040" w:space="20"/>
            <w:col w:w="6200"/>
          </w:cols>
          <w:pgMar w:left="320" w:top="1254" w:right="319" w:bottom="1440" w:gutter="0" w:footer="0" w:header="0"/>
          <w:type w:val="continuous"/>
        </w:sect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429260</wp:posOffset>
            </wp:positionV>
            <wp:extent cx="7174865" cy="406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type w:val="continuous"/>
        </w:sectPr>
      </w:pPr>
    </w:p>
    <w:bookmarkStart w:id="52" w:name="page53"/>
    <w:bookmarkEnd w:id="52"/>
    <w:p>
      <w:pPr>
        <w:jc w:val="both"/>
        <w:spacing w:after="0" w:line="251" w:lineRule="auto"/>
        <w:rPr>
          <w:sz w:val="20"/>
          <w:szCs w:val="20"/>
          <w:color w:val="auto"/>
        </w:rPr>
      </w:pPr>
      <w:r>
        <w:rPr>
          <w:rFonts w:ascii="Times New Roman" w:cs="Times New Roman" w:eastAsia="Times New Roman" w:hAnsi="Times New Roman"/>
          <w:sz w:val="17"/>
          <w:szCs w:val="17"/>
          <w:color w:val="auto"/>
        </w:rPr>
        <w:t>full force and effect and has not been withdrawn or terminated, or otherwise amended or modified, in any respect, and no withdrawal, termination, amendment or modification is contemplated by FBB. Each Commitment and Subscription Agreement is a legal, valid and binding obligation of FBB, enforceable against FBB in accordance with its terms subject to the Enforceability Exceptions and, to the Knowledge of FBB, is a legal, valid and binding obligation of each FBB Investor, enforceable against each FBB Investor in accordance with its terms subject to the Enforceability Exceptions. As of the date hereof, no event has occurred that, with or without notice, lapse of time or both, would constitute a default or breach on the part of FBB under any material term or condition of any Commitment and Subscription Agreement and, as of the date hereof, FBB has no reason to believe that it will be unable to satisfy in all material respects on a timely basis any term or condition of closing to be satisfied by it contained in any Commitment and Subscription Agreement. The Commitment and Subscription Agreements contain all of the conditions precedent to the obligations of the FBB Investors to purchase the shares of FBB Common Stock in the Pre-Closing Investment in the commitment amount set forth in the Commitment and Subscription Agreements on the terms therein.</w:t>
      </w:r>
    </w:p>
    <w:p>
      <w:pPr>
        <w:spacing w:after="0" w:line="157" w:lineRule="exact"/>
        <w:rPr>
          <w:sz w:val="20"/>
          <w:szCs w:val="20"/>
          <w:color w:val="auto"/>
        </w:rPr>
      </w:pPr>
    </w:p>
    <w:p>
      <w:pPr>
        <w:jc w:val="both"/>
        <w:ind w:right="20" w:firstLine="1220"/>
        <w:spacing w:after="0" w:line="287" w:lineRule="auto"/>
        <w:rPr>
          <w:sz w:val="20"/>
          <w:szCs w:val="20"/>
          <w:color w:val="auto"/>
        </w:rPr>
      </w:pPr>
      <w:r>
        <w:rPr>
          <w:rFonts w:ascii="Times New Roman" w:cs="Times New Roman" w:eastAsia="Times New Roman" w:hAnsi="Times New Roman"/>
          <w:sz w:val="17"/>
          <w:szCs w:val="17"/>
          <w:b w:val="1"/>
          <w:bCs w:val="1"/>
          <w:u w:val="single" w:color="auto"/>
          <w:color w:val="auto"/>
        </w:rPr>
        <w:t>SECTION 4.25 FBB Stockholders</w:t>
      </w:r>
      <w:r>
        <w:rPr>
          <w:rFonts w:ascii="Times New Roman" w:cs="Times New Roman" w:eastAsia="Times New Roman" w:hAnsi="Times New Roman"/>
          <w:sz w:val="17"/>
          <w:szCs w:val="17"/>
          <w:color w:val="auto"/>
        </w:rPr>
        <w:t>. As of the date hereof and as of the Closing Date, there are, and will be, less than thirty (30) FBB</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Stockholders who are not “accredited investors” as defined in Rule 501(a) of Regulation D under the Securities Act.</w:t>
      </w:r>
    </w:p>
    <w:p>
      <w:pPr>
        <w:spacing w:after="0" w:line="124" w:lineRule="exact"/>
        <w:rPr>
          <w:sz w:val="20"/>
          <w:szCs w:val="20"/>
          <w:color w:val="auto"/>
        </w:rPr>
      </w:pPr>
    </w:p>
    <w:p>
      <w:pPr>
        <w:jc w:val="both"/>
        <w:ind w:firstLine="1220"/>
        <w:spacing w:after="0" w:line="251" w:lineRule="auto"/>
        <w:rPr>
          <w:sz w:val="20"/>
          <w:szCs w:val="20"/>
          <w:color w:val="auto"/>
        </w:rPr>
      </w:pPr>
      <w:r>
        <w:rPr>
          <w:rFonts w:ascii="Times New Roman" w:cs="Times New Roman" w:eastAsia="Times New Roman" w:hAnsi="Times New Roman"/>
          <w:sz w:val="17"/>
          <w:szCs w:val="17"/>
          <w:b w:val="1"/>
          <w:bCs w:val="1"/>
          <w:u w:val="single" w:color="auto"/>
          <w:color w:val="auto"/>
        </w:rPr>
        <w:t>SECTION 4.26 No Other Representations or Warranties</w:t>
      </w:r>
      <w:r>
        <w:rPr>
          <w:rFonts w:ascii="Times New Roman" w:cs="Times New Roman" w:eastAsia="Times New Roman" w:hAnsi="Times New Roman"/>
          <w:sz w:val="17"/>
          <w:szCs w:val="17"/>
          <w:color w:val="auto"/>
        </w:rPr>
        <w:t>. Except for the express representations and warranties contained in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none of FBB, any of its Subsidiaries, FBB’s Affiliates nor any other Person makes any express or implied representation or warranty on behalf of FBB, its Subsidiaries or FBB’s Affiliates or any other Person, and each of FBB, its Subsidiaries and FBB’s Affiliates hereby disclaims any such representation or warranty whether by FBB, its Subsidiaries or its Affiliates. FBB has not relied and is not relying on any statement, representation or warranty, oral or written, express or implied, made by DXL, Merger Sub or any of their Affiliates or Representatives, except as expressly set forth in ‎Article III and those certificates delivered by DXL pursuant to this Agreement. FBB has conducted its own independent investigation, review and analysis of, and reached its own independent conclusions regarding, the business, operations, assets, condition (financial or otherwise) and prospects of DXL and its Subsidiaries. FBB acknowledges that it and its Representatives have been provided adequate access to the personnel, properties, premises, records and other documents and information of and relating to DXL and its Subsidiaries for such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-537210</wp:posOffset>
            </wp:positionV>
            <wp:extent cx="450215"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50215" cy="7620"/>
                    </a:xfrm>
                    <a:prstGeom prst="rect">
                      <a:avLst/>
                    </a:prstGeom>
                    <a:noFill/>
                  </pic:spPr>
                </pic:pic>
              </a:graphicData>
            </a:graphic>
          </wp:anchor>
        </w:drawing>
      </w:r>
    </w:p>
    <w:p>
      <w:pPr>
        <w:spacing w:after="0" w:line="1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u w:val="single" w:color="auto"/>
          <w:color w:val="auto"/>
        </w:rPr>
        <w:t>ARTICLE V</w:t>
      </w:r>
    </w:p>
    <w:p>
      <w:pPr>
        <w:spacing w:after="0" w:line="195" w:lineRule="exact"/>
        <w:rPr>
          <w:sz w:val="20"/>
          <w:szCs w:val="20"/>
          <w:color w:val="auto"/>
        </w:rPr>
      </w:pPr>
    </w:p>
    <w:p>
      <w:pPr>
        <w:jc w:val="both"/>
        <w:ind w:firstLine="1220"/>
        <w:spacing w:after="0" w:line="260" w:lineRule="auto"/>
        <w:rPr>
          <w:sz w:val="20"/>
          <w:szCs w:val="20"/>
          <w:color w:val="auto"/>
        </w:rPr>
      </w:pPr>
      <w:r>
        <w:rPr>
          <w:rFonts w:ascii="Times New Roman" w:cs="Times New Roman" w:eastAsia="Times New Roman" w:hAnsi="Times New Roman"/>
          <w:sz w:val="17"/>
          <w:szCs w:val="17"/>
          <w:b w:val="1"/>
          <w:bCs w:val="1"/>
          <w:u w:val="single" w:color="auto"/>
          <w:color w:val="auto"/>
        </w:rPr>
        <w:t>SECTION 5.01 Conduct of Businesses Prior to the Effective Time</w:t>
      </w:r>
      <w:r>
        <w:rPr>
          <w:rFonts w:ascii="Times New Roman" w:cs="Times New Roman" w:eastAsia="Times New Roman" w:hAnsi="Times New Roman"/>
          <w:sz w:val="17"/>
          <w:szCs w:val="17"/>
          <w:color w:val="auto"/>
        </w:rPr>
        <w:t>. During the period from the date of this Agreement to the Effective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Time or the earlier termination of this Agreement pursuant to ‎Section 8.01, except (i) as required by Law, (ii) as expressly contemplated or permitted by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2820670</wp:posOffset>
            </wp:positionH>
            <wp:positionV relativeFrom="paragraph">
              <wp:posOffset>-20955</wp:posOffset>
            </wp:positionV>
            <wp:extent cx="557530"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57530" cy="7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Agreement, (iii) as specifically set forth in Section‎ 5.01 of the DXL Disclosure Schedule or the FBB Disclosure Schedule, as applicable, (iv) as necessary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1966595</wp:posOffset>
            </wp:positionH>
            <wp:positionV relativeFrom="paragraph">
              <wp:posOffset>-17780</wp:posOffset>
            </wp:positionV>
            <wp:extent cx="557530"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57530" cy="7620"/>
                    </a:xfrm>
                    <a:prstGeom prst="rect">
                      <a:avLst/>
                    </a:prstGeom>
                    <a:noFill/>
                  </pic:spPr>
                </pic:pic>
              </a:graphicData>
            </a:graphic>
          </wp:anchor>
        </w:drawing>
      </w:r>
    </w:p>
    <w:p>
      <w:pPr>
        <w:jc w:val="both"/>
        <w:spacing w:after="0" w:line="246" w:lineRule="auto"/>
        <w:rPr>
          <w:sz w:val="20"/>
          <w:szCs w:val="20"/>
          <w:color w:val="auto"/>
        </w:rPr>
      </w:pPr>
      <w:r>
        <w:rPr>
          <w:rFonts w:ascii="Times New Roman" w:cs="Times New Roman" w:eastAsia="Times New Roman" w:hAnsi="Times New Roman"/>
          <w:sz w:val="17"/>
          <w:szCs w:val="17"/>
          <w:color w:val="auto"/>
        </w:rPr>
        <w:t xml:space="preserve">effectuate the items set forth in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6.19 or (v) as consented to in writing by the other party (such consent not to be unreasonably withheld, conditioned or delayed), each of DXL and FBB will, and will cause each of their respective Subsidiaries to, use commercially reasonable efforts to (a) conduct its business solely in the ordinary course of business consistent with past practice, (b) keep available the services of current officers and employees and (c) maintain and preserve intact its business organization and advantageous business relationships. Notwithstanding the foregoing provisions of this ‎Section 5.01, (i) neither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5832475</wp:posOffset>
            </wp:positionH>
            <wp:positionV relativeFrom="paragraph">
              <wp:posOffset>-19685</wp:posOffset>
            </wp:positionV>
            <wp:extent cx="549910"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49910" cy="7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will take any action prohibited by Section‎ 5.02 or Section‎ 5.03, as applicable, in order to satisfy such party’s obligations under this Section‎ 5.01 and (ii)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1558925</wp:posOffset>
            </wp:positionH>
            <wp:positionV relativeFrom="paragraph">
              <wp:posOffset>-17780</wp:posOffset>
            </wp:positionV>
            <wp:extent cx="1276985"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6985" cy="7620"/>
                    </a:xfrm>
                    <a:prstGeom prst="rect">
                      <a:avLst/>
                    </a:prstGeom>
                    <a:noFill/>
                  </pic:spPr>
                </pic:pic>
              </a:graphicData>
            </a:graphic>
          </wp:anchor>
        </w:drawing>
        <w:drawing>
          <wp:anchor simplePos="0" relativeHeight="251657728" behindDoc="1" locked="0" layoutInCell="0" allowOverlap="1">
            <wp:simplePos x="0" y="0"/>
            <wp:positionH relativeFrom="column">
              <wp:posOffset>5974715</wp:posOffset>
            </wp:positionH>
            <wp:positionV relativeFrom="paragraph">
              <wp:posOffset>-17780</wp:posOffset>
            </wp:positionV>
            <wp:extent cx="557530"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57530" cy="7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party shall be deemed not to have failed to satisfy its obligations under this Section‎ 5.01 to the extent such failure resulted, directly or indirectly, from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3495040</wp:posOffset>
            </wp:positionH>
            <wp:positionV relativeFrom="paragraph">
              <wp:posOffset>-17780</wp:posOffset>
            </wp:positionV>
            <wp:extent cx="557530"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57530" cy="7620"/>
                    </a:xfrm>
                    <a:prstGeom prst="rect">
                      <a:avLst/>
                    </a:prstGeom>
                    <a:noFill/>
                  </pic:spPr>
                </pic:pic>
              </a:graphicData>
            </a:graphic>
          </wp:anchor>
        </w:drawing>
      </w:r>
    </w:p>
    <w:p>
      <w:pPr>
        <w:jc w:val="both"/>
        <w:ind w:right="20"/>
        <w:spacing w:after="0" w:line="260" w:lineRule="auto"/>
        <w:rPr>
          <w:sz w:val="20"/>
          <w:szCs w:val="20"/>
          <w:color w:val="auto"/>
        </w:rPr>
      </w:pPr>
      <w:r>
        <w:rPr>
          <w:rFonts w:ascii="Times New Roman" w:cs="Times New Roman" w:eastAsia="Times New Roman" w:hAnsi="Times New Roman"/>
          <w:sz w:val="17"/>
          <w:szCs w:val="17"/>
          <w:color w:val="auto"/>
        </w:rPr>
        <w:t>party’s failure to take any action prohibited by Section‎ 5.02 or Section‎ 5.03, as applicable, where consent for such action hereunder was requested in writing and not given by the other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2091055</wp:posOffset>
            </wp:positionH>
            <wp:positionV relativeFrom="paragraph">
              <wp:posOffset>-162560</wp:posOffset>
            </wp:positionV>
            <wp:extent cx="1247140"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47140" cy="762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53" w:name="page54"/>
    <w:bookmarkEnd w:id="53"/>
    <w:p>
      <w:pPr>
        <w:ind w:firstLine="1220"/>
        <w:spacing w:after="0" w:line="260" w:lineRule="auto"/>
        <w:rPr>
          <w:sz w:val="20"/>
          <w:szCs w:val="20"/>
          <w:color w:val="auto"/>
        </w:rPr>
      </w:pPr>
      <w:r>
        <w:rPr>
          <w:rFonts w:ascii="Times New Roman" w:cs="Times New Roman" w:eastAsia="Times New Roman" w:hAnsi="Times New Roman"/>
          <w:sz w:val="17"/>
          <w:szCs w:val="17"/>
          <w:b w:val="1"/>
          <w:bCs w:val="1"/>
          <w:u w:val="single" w:color="auto"/>
          <w:color w:val="auto"/>
        </w:rPr>
        <w:t>SECTION 5.02 DXL Forbearances</w:t>
      </w:r>
      <w:r>
        <w:rPr>
          <w:rFonts w:ascii="Times New Roman" w:cs="Times New Roman" w:eastAsia="Times New Roman" w:hAnsi="Times New Roman"/>
          <w:sz w:val="17"/>
          <w:szCs w:val="17"/>
          <w:color w:val="auto"/>
        </w:rPr>
        <w:t>. During the period from the date of this Agreement to the Effective Time or the earlier termination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Agreement pursuant to ‎Section 8.01, except as required by Law, as expressly contemplated or permitted by this Agreement and all attachments,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1249045</wp:posOffset>
            </wp:positionH>
            <wp:positionV relativeFrom="paragraph">
              <wp:posOffset>-20955</wp:posOffset>
            </wp:positionV>
            <wp:extent cx="557530"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57530" cy="7620"/>
                    </a:xfrm>
                    <a:prstGeom prst="rect">
                      <a:avLst/>
                    </a:prstGeom>
                    <a:noFill/>
                  </pic:spPr>
                </pic:pic>
              </a:graphicData>
            </a:graphic>
          </wp:anchor>
        </w:drawing>
      </w:r>
    </w:p>
    <w:p>
      <w:pPr>
        <w:spacing w:after="0" w:line="260" w:lineRule="auto"/>
        <w:rPr>
          <w:sz w:val="20"/>
          <w:szCs w:val="20"/>
          <w:color w:val="auto"/>
        </w:rPr>
      </w:pPr>
      <w:r>
        <w:rPr>
          <w:rFonts w:ascii="Times New Roman" w:cs="Times New Roman" w:eastAsia="Times New Roman" w:hAnsi="Times New Roman"/>
          <w:sz w:val="17"/>
          <w:szCs w:val="17"/>
          <w:color w:val="auto"/>
        </w:rPr>
        <w:t>and exhibits thereto, as specifically set forth in Section‎ 5.02 of the DXL Disclosure Schedule or as consented to in writing by FBB (such consent not to be unreasonably withheld, conditioned or delayed), DXL will not, and will not permit any of the DXL Subsidiaries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-162560</wp:posOffset>
            </wp:positionV>
            <wp:extent cx="557530"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57530" cy="7620"/>
                    </a:xfrm>
                    <a:prstGeom prst="rect">
                      <a:avLst/>
                    </a:prstGeom>
                    <a:noFill/>
                  </pic:spPr>
                </pic:pic>
              </a:graphicData>
            </a:graphic>
          </wp:anchor>
        </w:drawing>
      </w:r>
    </w:p>
    <w:p>
      <w:pPr>
        <w:spacing w:after="0" w:line="128" w:lineRule="exact"/>
        <w:rPr>
          <w:sz w:val="20"/>
          <w:szCs w:val="20"/>
          <w:color w:val="auto"/>
        </w:rPr>
      </w:pPr>
    </w:p>
    <w:p>
      <w:pPr>
        <w:ind w:right="20" w:firstLine="1496"/>
        <w:spacing w:after="0" w:line="284" w:lineRule="auto"/>
        <w:tabs>
          <w:tab w:leader="none" w:pos="1848"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 any Indebtedness in excess of $250,000 in the aggregate, or make any loan or advance to any Person (other than advances of expenses to employees in the ordinary course of business) or enter into any swap or hedging transaction;</w:t>
      </w:r>
    </w:p>
    <w:p>
      <w:pPr>
        <w:spacing w:after="0" w:line="128" w:lineRule="exact"/>
        <w:rPr>
          <w:rFonts w:ascii="Times New Roman" w:cs="Times New Roman" w:eastAsia="Times New Roman" w:hAnsi="Times New Roman"/>
          <w:sz w:val="17"/>
          <w:szCs w:val="17"/>
          <w:color w:val="auto"/>
        </w:rPr>
      </w:pPr>
    </w:p>
    <w:p>
      <w:pPr>
        <w:ind w:right="20" w:firstLine="1496"/>
        <w:spacing w:after="0" w:line="284" w:lineRule="auto"/>
        <w:tabs>
          <w:tab w:leader="none" w:pos="1848"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declare or pay any dividend, or make any other distribution (including interest) on, or directly or indirectly redeem, purchase or otherwise acquire, any Equity Interests;</w:t>
      </w:r>
    </w:p>
    <w:p>
      <w:pPr>
        <w:spacing w:after="0" w:line="128" w:lineRule="exact"/>
        <w:rPr>
          <w:rFonts w:ascii="Times New Roman" w:cs="Times New Roman" w:eastAsia="Times New Roman" w:hAnsi="Times New Roman"/>
          <w:sz w:val="17"/>
          <w:szCs w:val="17"/>
          <w:color w:val="auto"/>
        </w:rPr>
      </w:pPr>
    </w:p>
    <w:p>
      <w:pPr>
        <w:jc w:val="both"/>
        <w:ind w:right="20" w:firstLine="1496"/>
        <w:spacing w:after="0" w:line="259" w:lineRule="auto"/>
        <w:tabs>
          <w:tab w:leader="none" w:pos="1848"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reclassify, combine, split, subdivide or issue, deliver, sell, grant, pledge (other than equity interests that are required to be pledged in accordance with any existing loan document) or otherwise encumber or subject to any Lien (i) any Equity Interests of DXL or any DXL Subsidiary or any DXL Voting Debt or (ii) any rights that are linked in any way to the price of any share capital of, or to the value of or of any part of, or to any dividends or distributions paid on any share capital of, DXL or any DXL Subsidiary;</w:t>
      </w:r>
    </w:p>
    <w:p>
      <w:pPr>
        <w:spacing w:after="0" w:line="149" w:lineRule="exact"/>
        <w:rPr>
          <w:rFonts w:ascii="Times New Roman" w:cs="Times New Roman" w:eastAsia="Times New Roman" w:hAnsi="Times New Roman"/>
          <w:sz w:val="17"/>
          <w:szCs w:val="17"/>
          <w:color w:val="auto"/>
        </w:rPr>
      </w:pPr>
    </w:p>
    <w:p>
      <w:pPr>
        <w:jc w:val="both"/>
        <w:ind w:firstLine="1496"/>
        <w:spacing w:after="0" w:line="249" w:lineRule="auto"/>
        <w:tabs>
          <w:tab w:leader="none" w:pos="1848"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required under the terms of any DXL Benefit Plan or Contract as in effect on the date of this Agreement (i) materially increase the compensation or benefits of any of its directors, officers or employees, other than increases to current employees and officers (x) in connection with a promotion or change in responsibilities and to a level consistent with similarly situated peer employees, (y) in the ordinary course of business consistent with past practice or (z) the payment of incentive compensation for completed performance periods based upon corporate performance, the performance of such employee and, if applicable, such employee’s business, (ii) engage any independent contractor that is a natural person; provided, however, that DXL may engage independent contractors who are natural persons who are terminable at will within fourteen (14) days notice; and provided, further, that the aggregate annualized compensation or wage rate for all such hires may not exceed $500,000, (iii) enter into, establish, adopt, amend or terminate any DXL Benefit Plan other than as required by applicable Law or pursuant to the terms of such DXL Benefit Plan as in effect on the date of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however, that DXL may amend any DXL Equity Plan solely to increase the number of shares available for issuance thereunder, subject to any required approvals, (iv) accelerate the time of payment or vesting of, or the lapsing of restrictions with respect to, or fund or otherwise secure the payment of, any compensation or benefits under any DXL Benefit Plan, (v) terminate the employment or services of any DXL Restricted Employee, other than for cause, (vi) hire or promote any individual who would be a DXL Restricted Employee, other than as a replacement hire receiving substantially similar terms of employment as the departed employee, (vii) change any actuarial or other assumptions used to calculate funding obligations with respect to any DXL Benefit Plan or change the manner in which contributions to such plans are made or the basis on which such contributions are determined, except as may be required by GAAP, (viii) pay, grant or award any DXL equity awards or other incentive awards, or (ix) loan or advance any money or other property to any current or former employee or other service provider of DXL or any DXL Subsidiary (other than advances for reimbursable employee expenses in the ordinary course of business and in accordance with DXL’s expense reimbursement policies);</w:t>
      </w:r>
    </w:p>
    <w:p>
      <w:pPr>
        <w:spacing w:after="0" w:line="362" w:lineRule="exact"/>
        <w:rPr>
          <w:rFonts w:ascii="Times New Roman" w:cs="Times New Roman" w:eastAsia="Times New Roman" w:hAnsi="Times New Roman"/>
          <w:sz w:val="17"/>
          <w:szCs w:val="17"/>
          <w:color w:val="auto"/>
        </w:rPr>
      </w:pPr>
    </w:p>
    <w:p>
      <w:pPr>
        <w:jc w:val="both"/>
        <w:ind w:right="20" w:firstLine="1496"/>
        <w:spacing w:after="0" w:line="265" w:lineRule="auto"/>
        <w:tabs>
          <w:tab w:leader="none" w:pos="1848"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recognize any union or other labor organization, certify any collective bargaining or similar contract, enter into any collective bargaining or similar Contracts, appraise or oppose any union organizing campaign, file any unfair labor practice charges, or take any other action similar to the foregoing or in anticipation of the foregoing, in each case, with respect to DXL, any DXL Subsidiary or any of their respective current or former employees;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54" w:name="page55"/>
    <w:bookmarkEnd w:id="54"/>
    <w:p>
      <w:pPr>
        <w:jc w:val="both"/>
        <w:ind w:firstLine="1496"/>
        <w:spacing w:after="0" w:line="265" w:lineRule="auto"/>
        <w:tabs>
          <w:tab w:leader="none" w:pos="1848"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effectuate (i) a “plant closing” (as defined in WARN or any similar applicable law) affecting any site of employment or one or more facilities or operating units within any site of employment or facility of DXL or any DXL Subsidiary, or (ii) a “mass layoff” or collective dismissal (as defined in WARN, or any similar applicable law) affecting any site of employment or facility of DXL or any DXL Subsidiary;</w:t>
      </w:r>
    </w:p>
    <w:p>
      <w:pPr>
        <w:spacing w:after="0" w:line="144" w:lineRule="exact"/>
        <w:rPr>
          <w:rFonts w:ascii="Times New Roman" w:cs="Times New Roman" w:eastAsia="Times New Roman" w:hAnsi="Times New Roman"/>
          <w:sz w:val="17"/>
          <w:szCs w:val="17"/>
          <w:color w:val="auto"/>
        </w:rPr>
      </w:pPr>
    </w:p>
    <w:p>
      <w:pPr>
        <w:jc w:val="both"/>
        <w:ind w:right="20" w:firstLine="1496"/>
        <w:spacing w:after="0" w:line="259" w:lineRule="auto"/>
        <w:tabs>
          <w:tab w:leader="none" w:pos="1848"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sell, transfer, mortgage, encumber or otherwise dispose of any of its tangible properties or assets in any transaction or series of transactions to any Person other than DXL or a DXL Subsidiary, other than in the ordinary course of business consistent with past practice, or (ii) cancel, release or assign to any such Person any material Indebtedness or any material claim held by DXL or any DXL Subsidiary, other than in the ordinary course of business consistent with past practice;</w:t>
      </w:r>
    </w:p>
    <w:p>
      <w:pPr>
        <w:spacing w:after="0" w:line="149" w:lineRule="exact"/>
        <w:rPr>
          <w:rFonts w:ascii="Times New Roman" w:cs="Times New Roman" w:eastAsia="Times New Roman" w:hAnsi="Times New Roman"/>
          <w:sz w:val="17"/>
          <w:szCs w:val="17"/>
          <w:color w:val="auto"/>
        </w:rPr>
      </w:pPr>
    </w:p>
    <w:p>
      <w:pPr>
        <w:jc w:val="both"/>
        <w:ind w:right="20" w:firstLine="1496"/>
        <w:spacing w:after="0" w:line="265" w:lineRule="auto"/>
        <w:tabs>
          <w:tab w:leader="none" w:pos="1848"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 transfer, assign, pledge, license, convey, subject to any Lien (other than Permitted Liens) or otherwise dispose of any DXL IP Rights, in each case, other than non-exclusive licenses of Intellectual Property Rights granted to a contractor or service provider of DXL or its Subsidiaries in the ordinary course of business;</w:t>
      </w:r>
    </w:p>
    <w:p>
      <w:pPr>
        <w:spacing w:after="0" w:line="144" w:lineRule="exact"/>
        <w:rPr>
          <w:rFonts w:ascii="Times New Roman" w:cs="Times New Roman" w:eastAsia="Times New Roman" w:hAnsi="Times New Roman"/>
          <w:sz w:val="17"/>
          <w:szCs w:val="17"/>
          <w:color w:val="auto"/>
        </w:rPr>
      </w:pPr>
    </w:p>
    <w:p>
      <w:pPr>
        <w:ind w:left="1840" w:hanging="344"/>
        <w:spacing w:after="0"/>
        <w:tabs>
          <w:tab w:leader="none" w:pos="184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or amend any data privacy or information security policies or practices of DXL or the DXL Subsidiaries, except as required by</w:t>
      </w:r>
    </w:p>
    <w:p>
      <w:pPr>
        <w:spacing w:after="0" w:line="25"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applicable Law;</w:t>
      </w:r>
    </w:p>
    <w:p>
      <w:pPr>
        <w:spacing w:after="0" w:line="174" w:lineRule="exact"/>
        <w:rPr>
          <w:rFonts w:ascii="Times New Roman" w:cs="Times New Roman" w:eastAsia="Times New Roman" w:hAnsi="Times New Roman"/>
          <w:sz w:val="17"/>
          <w:szCs w:val="17"/>
          <w:color w:val="auto"/>
        </w:rPr>
      </w:pPr>
    </w:p>
    <w:p>
      <w:pPr>
        <w:ind w:left="1840" w:hanging="344"/>
        <w:spacing w:after="0"/>
        <w:tabs>
          <w:tab w:leader="none" w:pos="184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any new line of business;</w:t>
      </w:r>
    </w:p>
    <w:p>
      <w:pPr>
        <w:spacing w:after="0" w:line="194" w:lineRule="exact"/>
        <w:rPr>
          <w:rFonts w:ascii="Times New Roman" w:cs="Times New Roman" w:eastAsia="Times New Roman" w:hAnsi="Times New Roman"/>
          <w:sz w:val="17"/>
          <w:szCs w:val="17"/>
          <w:color w:val="auto"/>
        </w:rPr>
      </w:pPr>
    </w:p>
    <w:p>
      <w:pPr>
        <w:jc w:val="both"/>
        <w:ind w:firstLine="1496"/>
        <w:spacing w:after="0" w:line="256" w:lineRule="auto"/>
        <w:tabs>
          <w:tab w:leader="none" w:pos="1848"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settle any claim, action or proceeding if such settlement would require any payment by DXL or any DXL Subsidiary of an amount in excess of $100,000 individually or $250,000 in the aggregate, or would obligate DXL or any DXL Subsidiary to admit any wrongdoing, to grant any material rights (other than agreement to pay the cash settlement amount agreed upon), to take any material action or impose any material restrictions or material liabilities on the business of DXL or any of the DXL Subsidiaries, or would not provide DXL and its Subsidiaries with a full release from any and all liability arising in connection with any such claim, action or proceeding;</w:t>
      </w:r>
    </w:p>
    <w:p>
      <w:pPr>
        <w:spacing w:after="0" w:line="151" w:lineRule="exact"/>
        <w:rPr>
          <w:rFonts w:ascii="Times New Roman" w:cs="Times New Roman" w:eastAsia="Times New Roman" w:hAnsi="Times New Roman"/>
          <w:sz w:val="17"/>
          <w:szCs w:val="17"/>
          <w:color w:val="auto"/>
        </w:rPr>
      </w:pPr>
    </w:p>
    <w:p>
      <w:pPr>
        <w:jc w:val="both"/>
        <w:ind w:right="20" w:firstLine="1496"/>
        <w:spacing w:after="0" w:line="265" w:lineRule="auto"/>
        <w:tabs>
          <w:tab w:leader="none" w:pos="1848"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than in the ordinary course of business consistent with past practice, directly or indirectly make, or agree to directly or indirectly make, any acquisition or investment whether by merger, consolidation, purchase of stock or securities, contributions to capital, property transfers, or by purchase of any property or assets of any other Person;</w:t>
      </w:r>
    </w:p>
    <w:p>
      <w:pPr>
        <w:spacing w:after="0" w:line="144" w:lineRule="exact"/>
        <w:rPr>
          <w:rFonts w:ascii="Times New Roman" w:cs="Times New Roman" w:eastAsia="Times New Roman" w:hAnsi="Times New Roman"/>
          <w:sz w:val="17"/>
          <w:szCs w:val="17"/>
          <w:color w:val="auto"/>
        </w:rPr>
      </w:pPr>
    </w:p>
    <w:p>
      <w:pPr>
        <w:ind w:left="1840" w:hanging="344"/>
        <w:spacing w:after="0"/>
        <w:tabs>
          <w:tab w:leader="none" w:pos="184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than as set forth in the DXL CapEx Budget, make any capital expenditures in excess of $1,000,000 in the aggregate;</w:t>
      </w:r>
    </w:p>
    <w:p>
      <w:pPr>
        <w:spacing w:after="0" w:line="194" w:lineRule="exact"/>
        <w:rPr>
          <w:rFonts w:ascii="Times New Roman" w:cs="Times New Roman" w:eastAsia="Times New Roman" w:hAnsi="Times New Roman"/>
          <w:sz w:val="17"/>
          <w:szCs w:val="17"/>
          <w:color w:val="auto"/>
        </w:rPr>
      </w:pPr>
    </w:p>
    <w:p>
      <w:pPr>
        <w:jc w:val="both"/>
        <w:ind w:firstLine="1496"/>
        <w:spacing w:after="0" w:line="265" w:lineRule="auto"/>
        <w:tabs>
          <w:tab w:leader="none" w:pos="1848"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amend the DXL Charter (or the organizational documents of any DXL Subsidiary), except as contemplated by Section‎ 6.09 or otherwise as specifically set forth in this Agreement, or (ii) otherwise take any action to exempt any Person (other than FBB), or any action taken by any such Person, from any Takeover Statute or similarly restrictive provisions of its organizational documents;</w:t>
      </w:r>
    </w:p>
    <w:p>
      <w:pPr>
        <w:spacing w:after="0" w:line="144" w:lineRule="exact"/>
        <w:rPr>
          <w:rFonts w:ascii="Times New Roman" w:cs="Times New Roman" w:eastAsia="Times New Roman" w:hAnsi="Times New Roman"/>
          <w:sz w:val="17"/>
          <w:szCs w:val="17"/>
          <w:color w:val="auto"/>
        </w:rPr>
      </w:pPr>
    </w:p>
    <w:p>
      <w:pPr>
        <w:jc w:val="both"/>
        <w:ind w:right="20" w:firstLine="1496"/>
        <w:spacing w:after="0" w:line="265" w:lineRule="auto"/>
        <w:tabs>
          <w:tab w:leader="none" w:pos="1848"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(x) implement or adopt any material change in its Tax accounting or financial accounting policies, practices or methods, other than as may be required by applicable Law or GAAP or regulatory guidelines or to consummate the Transactions or (y) make, change or revoke any material Tax election, except, in the case of each of clauses (x) and (y), in the ordinary course of business;</w:t>
      </w:r>
    </w:p>
    <w:p>
      <w:pPr>
        <w:spacing w:after="0" w:line="144" w:lineRule="exact"/>
        <w:rPr>
          <w:rFonts w:ascii="Times New Roman" w:cs="Times New Roman" w:eastAsia="Times New Roman" w:hAnsi="Times New Roman"/>
          <w:sz w:val="17"/>
          <w:szCs w:val="17"/>
          <w:color w:val="auto"/>
        </w:rPr>
      </w:pPr>
    </w:p>
    <w:p>
      <w:pPr>
        <w:ind w:right="20" w:firstLine="1496"/>
        <w:spacing w:after="0" w:line="284" w:lineRule="auto"/>
        <w:tabs>
          <w:tab w:leader="none" w:pos="1848"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 to keep or cause to be kept its material existing insurance policies (or substantial equivalents) in such amounts substantially as in force as of the date hereof;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-1181100</wp:posOffset>
            </wp:positionV>
            <wp:extent cx="565150"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5150" cy="762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55" w:name="page56"/>
    <w:bookmarkEnd w:id="55"/>
    <w:p>
      <w:pPr>
        <w:ind w:left="1500"/>
        <w:spacing w:after="0"/>
        <w:tabs>
          <w:tab w:leader="none" w:pos="1820" w:val="left"/>
        </w:tabs>
        <w:rPr>
          <w:sz w:val="20"/>
          <w:szCs w:val="20"/>
          <w:color w:val="auto"/>
        </w:rPr>
      </w:pPr>
      <w:r>
        <w:rPr>
          <w:rFonts w:ascii="Times New Roman" w:cs="Times New Roman" w:eastAsia="Times New Roman" w:hAnsi="Times New Roman"/>
          <w:sz w:val="17"/>
          <w:szCs w:val="17"/>
          <w:color w:val="auto"/>
        </w:rPr>
        <w:t>(q)</w:t>
        <w:tab/>
        <w:t>agree, commit, resolve or propose to take any of the actions prohibited by this Section‎ 5.02.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4629785</wp:posOffset>
            </wp:positionH>
            <wp:positionV relativeFrom="paragraph">
              <wp:posOffset>-5080</wp:posOffset>
            </wp:positionV>
            <wp:extent cx="549910"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49910" cy="7620"/>
                    </a:xfrm>
                    <a:prstGeom prst="rect">
                      <a:avLst/>
                    </a:prstGeom>
                    <a:noFill/>
                  </pic:spPr>
                </pic:pic>
              </a:graphicData>
            </a:graphic>
          </wp:anchor>
        </w:drawing>
      </w:r>
    </w:p>
    <w:p>
      <w:pPr>
        <w:spacing w:after="0" w:line="173" w:lineRule="exact"/>
        <w:rPr>
          <w:sz w:val="20"/>
          <w:szCs w:val="20"/>
          <w:color w:val="auto"/>
        </w:rPr>
      </w:pPr>
    </w:p>
    <w:p>
      <w:pPr>
        <w:jc w:val="both"/>
        <w:ind w:firstLine="1220"/>
        <w:spacing w:after="0" w:line="260" w:lineRule="auto"/>
        <w:rPr>
          <w:sz w:val="20"/>
          <w:szCs w:val="20"/>
          <w:color w:val="auto"/>
        </w:rPr>
      </w:pPr>
      <w:r>
        <w:rPr>
          <w:rFonts w:ascii="Times New Roman" w:cs="Times New Roman" w:eastAsia="Times New Roman" w:hAnsi="Times New Roman"/>
          <w:sz w:val="17"/>
          <w:szCs w:val="17"/>
          <w:b w:val="1"/>
          <w:bCs w:val="1"/>
          <w:u w:val="single" w:color="auto"/>
          <w:color w:val="auto"/>
        </w:rPr>
        <w:t>SECTION 5.03 FBB Forbearances</w:t>
      </w:r>
      <w:r>
        <w:rPr>
          <w:rFonts w:ascii="Times New Roman" w:cs="Times New Roman" w:eastAsia="Times New Roman" w:hAnsi="Times New Roman"/>
          <w:sz w:val="17"/>
          <w:szCs w:val="17"/>
          <w:color w:val="auto"/>
        </w:rPr>
        <w:t>. During the period from the date of this Agreement to the Effective Time or the earlier termination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Agreement pursuant to ‎Section 8.01, except as required by Law, as expressly contemplated or permitted by this Agreement and all attachments,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1249045</wp:posOffset>
            </wp:positionH>
            <wp:positionV relativeFrom="paragraph">
              <wp:posOffset>-20955</wp:posOffset>
            </wp:positionV>
            <wp:extent cx="557530"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57530" cy="7620"/>
                    </a:xfrm>
                    <a:prstGeom prst="rect">
                      <a:avLst/>
                    </a:prstGeom>
                    <a:noFill/>
                  </pic:spPr>
                </pic:pic>
              </a:graphicData>
            </a:graphic>
          </wp:anchor>
        </w:drawing>
      </w:r>
    </w:p>
    <w:p>
      <w:pPr>
        <w:jc w:val="both"/>
        <w:ind w:right="20"/>
        <w:spacing w:after="0" w:line="253" w:lineRule="auto"/>
        <w:rPr>
          <w:sz w:val="20"/>
          <w:szCs w:val="20"/>
          <w:color w:val="auto"/>
        </w:rPr>
      </w:pPr>
      <w:r>
        <w:rPr>
          <w:rFonts w:ascii="Times New Roman" w:cs="Times New Roman" w:eastAsia="Times New Roman" w:hAnsi="Times New Roman"/>
          <w:sz w:val="17"/>
          <w:szCs w:val="17"/>
          <w:color w:val="auto"/>
        </w:rPr>
        <w:t xml:space="preserve">and exhibits thereto, as necessary to effectuate the items set forth in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6.19, as specifically set forth in Section‎ 5.03 of the FBB Disclosure Schedule or as consented to in writing by DXL (such consent not to be unreasonably withheld, conditioned or delayed), FBB will not, and will not permit any of the FBB Subsidiaries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4854575</wp:posOffset>
            </wp:positionH>
            <wp:positionV relativeFrom="paragraph">
              <wp:posOffset>-286385</wp:posOffset>
            </wp:positionV>
            <wp:extent cx="549910"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49910" cy="7620"/>
                    </a:xfrm>
                    <a:prstGeom prst="rect">
                      <a:avLst/>
                    </a:prstGeom>
                    <a:noFill/>
                  </pic:spPr>
                </pic:pic>
              </a:graphicData>
            </a:graphic>
          </wp:anchor>
        </w:drawing>
      </w:r>
    </w:p>
    <w:p>
      <w:pPr>
        <w:spacing w:after="0" w:line="134" w:lineRule="exact"/>
        <w:rPr>
          <w:sz w:val="20"/>
          <w:szCs w:val="20"/>
          <w:color w:val="auto"/>
        </w:rPr>
      </w:pPr>
    </w:p>
    <w:p>
      <w:pPr>
        <w:jc w:val="both"/>
        <w:ind w:firstLine="1496"/>
        <w:spacing w:after="0" w:line="256" w:lineRule="auto"/>
        <w:tabs>
          <w:tab w:leader="none" w:pos="1848"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 any Indebtedness in excess of $250,000 in the aggregate, or make any loan or advance to any Person (other than advances of expenses to employees in the ordinary course of business) or enter into any swap or hedging transaction, in each case, except for (i) borrowings under credit facilities existing as of the date hereof, including that certain ABL Credit Agreement, dated as of July 30, 2019 (as amended), in accordance with the terms thereof and in the ordinary course of business for working capital management; (ii) among FBB and its wholly owned FBB Subsidiaries entered into in the ordinary course of business; and (iii) letters of credit or performance bonds entered into in connection with customer orders in the ordinary course of business;</w:t>
      </w:r>
    </w:p>
    <w:p>
      <w:pPr>
        <w:spacing w:after="0" w:line="151" w:lineRule="exact"/>
        <w:rPr>
          <w:rFonts w:ascii="Times New Roman" w:cs="Times New Roman" w:eastAsia="Times New Roman" w:hAnsi="Times New Roman"/>
          <w:sz w:val="17"/>
          <w:szCs w:val="17"/>
          <w:color w:val="auto"/>
        </w:rPr>
      </w:pPr>
    </w:p>
    <w:p>
      <w:pPr>
        <w:ind w:left="1840" w:hanging="344"/>
        <w:spacing w:after="0"/>
        <w:tabs>
          <w:tab w:leader="none" w:pos="184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declare or pay any dividend, or make any other distribution on, or directly or indirectly redeem, purchase or otherwise acquire,</w:t>
      </w:r>
    </w:p>
    <w:p>
      <w:pPr>
        <w:spacing w:after="0" w:line="25"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of its Equity Interests;</w:t>
      </w:r>
    </w:p>
    <w:p>
      <w:pPr>
        <w:spacing w:after="0" w:line="174" w:lineRule="exact"/>
        <w:rPr>
          <w:rFonts w:ascii="Times New Roman" w:cs="Times New Roman" w:eastAsia="Times New Roman" w:hAnsi="Times New Roman"/>
          <w:sz w:val="17"/>
          <w:szCs w:val="17"/>
          <w:color w:val="auto"/>
        </w:rPr>
      </w:pPr>
    </w:p>
    <w:p>
      <w:pPr>
        <w:jc w:val="both"/>
        <w:ind w:right="20" w:firstLine="1496"/>
        <w:spacing w:after="0" w:line="259" w:lineRule="auto"/>
        <w:tabs>
          <w:tab w:leader="none" w:pos="1848"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reclassify, combine, split, subdivide or issue, deliver, sell, grant, pledge (other than equity interests that are required to be pledged in accordance with any existing loan document) or otherwise encumber or subject to any Lien (i) any Equity Interests of FBB or any FBB Subsidiary or any FBB Voting Debt or (ii) any rights that are linked in any way to the price of any share capital of, or to the value of or of any part of, or to any dividends or distributions paid on any share capital of, FBB or any FBB Subsidiary;</w:t>
      </w:r>
    </w:p>
    <w:p>
      <w:pPr>
        <w:spacing w:after="0" w:line="149" w:lineRule="exact"/>
        <w:rPr>
          <w:rFonts w:ascii="Times New Roman" w:cs="Times New Roman" w:eastAsia="Times New Roman" w:hAnsi="Times New Roman"/>
          <w:sz w:val="17"/>
          <w:szCs w:val="17"/>
          <w:color w:val="auto"/>
        </w:rPr>
      </w:pPr>
    </w:p>
    <w:p>
      <w:pPr>
        <w:jc w:val="both"/>
        <w:ind w:firstLine="1496"/>
        <w:spacing w:after="0" w:line="249" w:lineRule="auto"/>
        <w:tabs>
          <w:tab w:leader="none" w:pos="1848"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required under the terms of any FBB Benefit Plan or Contract as in effect on the date of this Agreement (i) materially increase the compensation or benefits of any of its directors, officers or employees, other than increases to current employees and officers (x) in connection with a promotion or change in responsibilities and to a level consistent with similarly situated peer employees, (y) in the ordinary course of business consistent with past practice or (z) the payment of incentive compensation for completed performance periods based upon corporate performance, the performance of such employee and, if applicable, such employee’s business, (ii) engage any independent contractor that is a natural person; provided, however, that FBB may engage independent contractors who are natural persons who are terminable at will with fourteen (14) days notice; and provided, further, that the aggregate annualized compensation or wage rate for all such hires may not exceed $500,000, (iii) enter into, establish, adopt, amend or terminate any FBB Benefit Plan other than as required by applicable Law or pursuant to the terms of such FBB Benefit Plan as in effect on the date of this Agreement; provided, however, that FBB may amend any FBB Equity Plan solely to increase the number of shares available for issuance thereunder, subject to any required approvals, (iv) accelerate the time of payment or vesting of, or the lapsing of restrictions with respect to, or fund or otherwise secure the payment of, any compensation or benefits under any FBB Benefit Plan, (v) terminate the employment or services of any FBB Restricted Employee, other than for cause, (vi) hire or promote any individual who would be an FBB Restricted Employee, other than as a replacement hire receiving substantially similar terms of employment as the departed employee, (vii) change any actuarial or other assumptions used to calculate funding obligations with respect to any FBB Benefit Plan or change the manner in which contributions to such plans are made or the basis on which such contributions are determined, except as may be required by GAAP, (viii) pay, grant or award any FBB equity awards or other incentive awards, or (ix) loan or advance any money or other property to any current</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56" w:name="page57"/>
    <w:bookmarkEnd w:id="56"/>
    <w:p>
      <w:pPr>
        <w:jc w:val="both"/>
        <w:spacing w:after="0" w:line="256" w:lineRule="auto"/>
        <w:rPr>
          <w:sz w:val="20"/>
          <w:szCs w:val="20"/>
          <w:color w:val="auto"/>
        </w:rPr>
      </w:pPr>
      <w:r>
        <w:rPr>
          <w:rFonts w:ascii="Times New Roman" w:cs="Times New Roman" w:eastAsia="Times New Roman" w:hAnsi="Times New Roman"/>
          <w:sz w:val="17"/>
          <w:szCs w:val="17"/>
          <w:color w:val="auto"/>
        </w:rPr>
        <w:t>or former employee or other service provider of FBB or any FBB Subsidiary (other than advances for reimbursable employee expenses in the ordinary course of business and in accordance with FBB’s expense reimbursement policies); recognize any union or other labor organization, certify any collective bargaining or similar contract, enter into any collective bargaining or similar Contracts, appraise or oppose any union organizing campaign, file any unfair labor practice charges, or take any other action similar to the foregoing or in anticipation of the foregoing, in each case, with respect to FBB, any FBB Subsidiary or any of their respective current or former employees;</w:t>
      </w:r>
    </w:p>
    <w:p>
      <w:pPr>
        <w:spacing w:after="0" w:line="152" w:lineRule="exact"/>
        <w:rPr>
          <w:sz w:val="20"/>
          <w:szCs w:val="20"/>
          <w:color w:val="auto"/>
        </w:rPr>
      </w:pPr>
    </w:p>
    <w:p>
      <w:pPr>
        <w:jc w:val="both"/>
        <w:ind w:right="20" w:firstLine="1496"/>
        <w:spacing w:after="0" w:line="265" w:lineRule="auto"/>
        <w:tabs>
          <w:tab w:leader="none" w:pos="1848"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effectuate (i) a “plant closing” (as defined in WARN or any similar applicable law) affecting any site of employment or one or more facilities or operating units within any site of employment or facility of FBB or any FBB Subsidiary, or (ii) a “mass layoff” or collective dismissal (as defined in WARN, or any similar applicable law) affecting any site of employment or facility of FBB or any FBB Subsidiary;</w:t>
      </w:r>
    </w:p>
    <w:p>
      <w:pPr>
        <w:spacing w:after="0" w:line="144" w:lineRule="exact"/>
        <w:rPr>
          <w:rFonts w:ascii="Times New Roman" w:cs="Times New Roman" w:eastAsia="Times New Roman" w:hAnsi="Times New Roman"/>
          <w:sz w:val="17"/>
          <w:szCs w:val="17"/>
          <w:color w:val="auto"/>
        </w:rPr>
      </w:pPr>
    </w:p>
    <w:p>
      <w:pPr>
        <w:jc w:val="both"/>
        <w:ind w:right="20" w:firstLine="1496"/>
        <w:spacing w:after="0" w:line="259" w:lineRule="auto"/>
        <w:tabs>
          <w:tab w:leader="none" w:pos="1848"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sell, transfer, mortgage, encumber or otherwise dispose of any of its tangible properties or assets in any transaction or series of transactions to any Person other than FBB or an FBB Subsidiary, other than in the ordinary course of business consistent with past practice, or (ii) cancel, release or assign to any such Person any material Indebtedness or any material claim held by FBB or any FBB Subsidiary, other than in the ordinary course of business consistent with past practice;</w:t>
      </w:r>
    </w:p>
    <w:p>
      <w:pPr>
        <w:spacing w:after="0" w:line="149" w:lineRule="exact"/>
        <w:rPr>
          <w:rFonts w:ascii="Times New Roman" w:cs="Times New Roman" w:eastAsia="Times New Roman" w:hAnsi="Times New Roman"/>
          <w:sz w:val="17"/>
          <w:szCs w:val="17"/>
          <w:color w:val="auto"/>
        </w:rPr>
      </w:pPr>
    </w:p>
    <w:p>
      <w:pPr>
        <w:jc w:val="both"/>
        <w:ind w:right="20" w:firstLine="1496"/>
        <w:spacing w:after="0" w:line="265" w:lineRule="auto"/>
        <w:tabs>
          <w:tab w:leader="none" w:pos="1848"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 transfer, assign, pledge, license, convey, subject to any Lien (other than Permitted Liens) or otherwise dispose of any FBB IP Rights, in each case, other than non-exclusive licenses of Intellectual Property Rights granted to a contractor or service provider of FBB or its Subsidiaries in the ordinary course of business;</w:t>
      </w:r>
    </w:p>
    <w:p>
      <w:pPr>
        <w:spacing w:after="0" w:line="144" w:lineRule="exact"/>
        <w:rPr>
          <w:rFonts w:ascii="Times New Roman" w:cs="Times New Roman" w:eastAsia="Times New Roman" w:hAnsi="Times New Roman"/>
          <w:sz w:val="17"/>
          <w:szCs w:val="17"/>
          <w:color w:val="auto"/>
        </w:rPr>
      </w:pPr>
    </w:p>
    <w:p>
      <w:pPr>
        <w:ind w:left="1840" w:hanging="344"/>
        <w:spacing w:after="0"/>
        <w:tabs>
          <w:tab w:leader="none" w:pos="184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or amend any data privacy or information security policies or practices of FBB or the FBB Subsidiaries, except as required by</w:t>
      </w:r>
    </w:p>
    <w:p>
      <w:pPr>
        <w:spacing w:after="0" w:line="25"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applicable Law;</w:t>
      </w:r>
    </w:p>
    <w:p>
      <w:pPr>
        <w:spacing w:after="0" w:line="174" w:lineRule="exact"/>
        <w:rPr>
          <w:rFonts w:ascii="Times New Roman" w:cs="Times New Roman" w:eastAsia="Times New Roman" w:hAnsi="Times New Roman"/>
          <w:sz w:val="17"/>
          <w:szCs w:val="17"/>
          <w:color w:val="auto"/>
        </w:rPr>
      </w:pPr>
    </w:p>
    <w:p>
      <w:pPr>
        <w:ind w:left="1840" w:hanging="344"/>
        <w:spacing w:after="0"/>
        <w:tabs>
          <w:tab w:leader="none" w:pos="184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any new line of business;</w:t>
      </w:r>
    </w:p>
    <w:p>
      <w:pPr>
        <w:spacing w:after="0" w:line="194" w:lineRule="exact"/>
        <w:rPr>
          <w:rFonts w:ascii="Times New Roman" w:cs="Times New Roman" w:eastAsia="Times New Roman" w:hAnsi="Times New Roman"/>
          <w:sz w:val="17"/>
          <w:szCs w:val="17"/>
          <w:color w:val="auto"/>
        </w:rPr>
      </w:pPr>
    </w:p>
    <w:p>
      <w:pPr>
        <w:jc w:val="both"/>
        <w:ind w:firstLine="1496"/>
        <w:spacing w:after="0" w:line="256" w:lineRule="auto"/>
        <w:tabs>
          <w:tab w:leader="none" w:pos="1848"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settle any claim, action or proceeding if such settlement would require any payment by FBB or any FBB Subsidiary of an amount in excess of $100,000 individually or $250,000 in the aggregate, or would obligate FBB or any FBB Subsidiary to admit any wrongdoing, to grant any material rights (other than agreement to pay the cash settlement amount agreed upon), to take any material action or impose any material restrictions or material liabilities on the business of FBB or any of the FBB Subsidiaries, or would not provide FBB and its Subsidiaries with a full release from any and all liability arising in connection with any such claim, action or proceeding;</w:t>
      </w:r>
    </w:p>
    <w:p>
      <w:pPr>
        <w:spacing w:after="0" w:line="151" w:lineRule="exact"/>
        <w:rPr>
          <w:rFonts w:ascii="Times New Roman" w:cs="Times New Roman" w:eastAsia="Times New Roman" w:hAnsi="Times New Roman"/>
          <w:sz w:val="17"/>
          <w:szCs w:val="17"/>
          <w:color w:val="auto"/>
        </w:rPr>
      </w:pPr>
    </w:p>
    <w:p>
      <w:pPr>
        <w:jc w:val="both"/>
        <w:ind w:right="20" w:firstLine="1496"/>
        <w:spacing w:after="0" w:line="265" w:lineRule="auto"/>
        <w:tabs>
          <w:tab w:leader="none" w:pos="1848"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than in the ordinary course of business consistent with past practice, directly or indirectly make, or agree to directly or indirectly make, any acquisition or investment either by merger, consolidation, purchase of stock or securities, contributions to capital, property transfers, or by purchase of any property or assets of any other Person;</w:t>
      </w:r>
    </w:p>
    <w:p>
      <w:pPr>
        <w:spacing w:after="0" w:line="144" w:lineRule="exact"/>
        <w:rPr>
          <w:rFonts w:ascii="Times New Roman" w:cs="Times New Roman" w:eastAsia="Times New Roman" w:hAnsi="Times New Roman"/>
          <w:sz w:val="17"/>
          <w:szCs w:val="17"/>
          <w:color w:val="auto"/>
        </w:rPr>
      </w:pPr>
    </w:p>
    <w:p>
      <w:pPr>
        <w:ind w:left="1840" w:hanging="344"/>
        <w:spacing w:after="0"/>
        <w:tabs>
          <w:tab w:leader="none" w:pos="184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than as set forth in the FBB CapEx Budget, make any capital expenditures in excess of $1,000,000 in the aggregate;</w:t>
      </w:r>
    </w:p>
    <w:p>
      <w:pPr>
        <w:spacing w:after="0" w:line="194" w:lineRule="exact"/>
        <w:rPr>
          <w:rFonts w:ascii="Times New Roman" w:cs="Times New Roman" w:eastAsia="Times New Roman" w:hAnsi="Times New Roman"/>
          <w:sz w:val="17"/>
          <w:szCs w:val="17"/>
          <w:color w:val="auto"/>
        </w:rPr>
      </w:pPr>
    </w:p>
    <w:p>
      <w:pPr>
        <w:ind w:left="1840" w:hanging="344"/>
        <w:spacing w:after="0"/>
        <w:tabs>
          <w:tab w:leader="none" w:pos="184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 the FBB Charter in a manner that would reasonably be expected to prevent or hinder or delay the consummation of the</w:t>
      </w:r>
    </w:p>
    <w:p>
      <w:pPr>
        <w:spacing w:after="0" w:line="25"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Transactions;</w:t>
      </w:r>
    </w:p>
    <w:p>
      <w:pPr>
        <w:spacing w:after="0" w:line="174" w:lineRule="exact"/>
        <w:rPr>
          <w:rFonts w:ascii="Times New Roman" w:cs="Times New Roman" w:eastAsia="Times New Roman" w:hAnsi="Times New Roman"/>
          <w:sz w:val="17"/>
          <w:szCs w:val="17"/>
          <w:color w:val="auto"/>
        </w:rPr>
      </w:pPr>
    </w:p>
    <w:p>
      <w:pPr>
        <w:ind w:right="20" w:firstLine="1496"/>
        <w:spacing w:after="0" w:line="284" w:lineRule="auto"/>
        <w:tabs>
          <w:tab w:leader="none" w:pos="1848"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implement or adopt any material change in its Tax accounting or financial accounting policies, practices or methods, other than as may be required by applicable Law or GAAP or</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57" w:name="page58"/>
    <w:bookmarkEnd w:id="57"/>
    <w:p>
      <w:pPr>
        <w:ind w:left="5" w:right="20"/>
        <w:spacing w:after="0" w:line="284" w:lineRule="auto"/>
        <w:rPr>
          <w:sz w:val="20"/>
          <w:szCs w:val="20"/>
          <w:color w:val="auto"/>
        </w:rPr>
      </w:pPr>
      <w:r>
        <w:rPr>
          <w:rFonts w:ascii="Times New Roman" w:cs="Times New Roman" w:eastAsia="Times New Roman" w:hAnsi="Times New Roman"/>
          <w:sz w:val="17"/>
          <w:szCs w:val="17"/>
          <w:color w:val="auto"/>
        </w:rPr>
        <w:t>regulatory guidelines or to consummate the Transactions or (ii) make, change or revoke any material Tax election, except, in the case of each of clauses (i) and (ii), in the ordinary course of business;</w:t>
      </w:r>
    </w:p>
    <w:p>
      <w:pPr>
        <w:spacing w:after="0" w:line="129" w:lineRule="exact"/>
        <w:rPr>
          <w:sz w:val="20"/>
          <w:szCs w:val="20"/>
          <w:color w:val="auto"/>
        </w:rPr>
      </w:pPr>
    </w:p>
    <w:p>
      <w:pPr>
        <w:ind w:left="5" w:right="20" w:firstLine="1496"/>
        <w:spacing w:after="0" w:line="284" w:lineRule="auto"/>
        <w:tabs>
          <w:tab w:leader="none" w:pos="1853"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 to keep or cause to be kept its material existing insurance policies (or substantial equivalents) in such amounts substantially as in force as of the date hereof;</w:t>
      </w:r>
    </w:p>
    <w:p>
      <w:pPr>
        <w:spacing w:after="0" w:line="128" w:lineRule="exact"/>
        <w:rPr>
          <w:rFonts w:ascii="Times New Roman" w:cs="Times New Roman" w:eastAsia="Times New Roman" w:hAnsi="Times New Roman"/>
          <w:sz w:val="17"/>
          <w:szCs w:val="17"/>
          <w:color w:val="auto"/>
        </w:rPr>
      </w:pPr>
    </w:p>
    <w:p>
      <w:pPr>
        <w:ind w:left="1845" w:hanging="344"/>
        <w:spacing w:after="0"/>
        <w:tabs>
          <w:tab w:leader="none" w:pos="1845"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 commit, resolve or propose to take any of the actions prohibited by this Section‎ 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4633595</wp:posOffset>
            </wp:positionH>
            <wp:positionV relativeFrom="paragraph">
              <wp:posOffset>-5080</wp:posOffset>
            </wp:positionV>
            <wp:extent cx="549910"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49910" cy="7620"/>
                    </a:xfrm>
                    <a:prstGeom prst="rect">
                      <a:avLst/>
                    </a:prstGeom>
                    <a:noFill/>
                  </pic:spPr>
                </pic:pic>
              </a:graphicData>
            </a:graphic>
          </wp:anchor>
        </w:drawing>
      </w:r>
    </w:p>
    <w:p>
      <w:pPr>
        <w:spacing w:after="0" w:line="173" w:lineRule="exact"/>
        <w:rPr>
          <w:sz w:val="20"/>
          <w:szCs w:val="20"/>
          <w:color w:val="auto"/>
        </w:rPr>
      </w:pPr>
    </w:p>
    <w:p>
      <w:pPr>
        <w:jc w:val="both"/>
        <w:ind w:left="5" w:firstLine="1220"/>
        <w:spacing w:after="0" w:line="254" w:lineRule="auto"/>
        <w:rPr>
          <w:sz w:val="20"/>
          <w:szCs w:val="20"/>
          <w:color w:val="auto"/>
        </w:rPr>
      </w:pPr>
      <w:r>
        <w:rPr>
          <w:rFonts w:ascii="Times New Roman" w:cs="Times New Roman" w:eastAsia="Times New Roman" w:hAnsi="Times New Roman"/>
          <w:sz w:val="17"/>
          <w:szCs w:val="17"/>
          <w:b w:val="1"/>
          <w:bCs w:val="1"/>
          <w:u w:val="single" w:color="auto"/>
          <w:color w:val="auto"/>
        </w:rPr>
        <w:t>SECTION 5.04 Control of Other Party’s Business</w:t>
      </w:r>
      <w:r>
        <w:rPr>
          <w:rFonts w:ascii="Times New Roman" w:cs="Times New Roman" w:eastAsia="Times New Roman" w:hAnsi="Times New Roman"/>
          <w:sz w:val="17"/>
          <w:szCs w:val="17"/>
          <w:color w:val="auto"/>
        </w:rPr>
        <w:t>. Nothing contained in this Agreement will give DXL, directly or indirectly, the right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control FBB or direct the business or operations of FBB prior to the Effective Time. Nothing contained in this Agreement will give FBB, directly or indirectly, the right to control DXL or any of the DXL Subsidiaries or direct the business or operations of DXL or any of the DXL Subsidiaries prior to the Effective Time. Prior to the Effective Time, each of DXL and FBB will exercise, consistent with the terms and conditions of this Agreement, complete control and supervision over its operations and the operations of its Subsidiaries. Nothing in this Agreement, including any of the actions, rights or restrictions set forth herein, will be interpreted in such a way as to place FBB or DXL in violation of any rule, regulation or policy of any Regulatory Agency or applicable Law.</w:t>
      </w:r>
    </w:p>
    <w:p>
      <w:pPr>
        <w:spacing w:after="0" w:line="154" w:lineRule="exact"/>
        <w:rPr>
          <w:sz w:val="20"/>
          <w:szCs w:val="20"/>
          <w:color w:val="auto"/>
        </w:rPr>
      </w:pPr>
    </w:p>
    <w:p>
      <w:pPr>
        <w:ind w:left="1225"/>
        <w:spacing w:after="0"/>
        <w:tabs>
          <w:tab w:leader="none" w:pos="2585" w:val="left"/>
        </w:tabs>
        <w:rPr>
          <w:sz w:val="20"/>
          <w:szCs w:val="20"/>
          <w:color w:val="auto"/>
        </w:rPr>
      </w:pPr>
      <w:r>
        <w:rPr>
          <w:rFonts w:ascii="Times New Roman" w:cs="Times New Roman" w:eastAsia="Times New Roman" w:hAnsi="Times New Roman"/>
          <w:sz w:val="17"/>
          <w:szCs w:val="17"/>
          <w:b w:val="1"/>
          <w:bCs w:val="1"/>
          <w:u w:val="single" w:color="auto"/>
          <w:color w:val="auto"/>
        </w:rPr>
        <w:t>SECTION 5.05</w:t>
      </w:r>
      <w:r>
        <w:rPr>
          <w:sz w:val="20"/>
          <w:szCs w:val="20"/>
          <w:color w:val="auto"/>
        </w:rPr>
        <w:tab/>
      </w:r>
      <w:r>
        <w:rPr>
          <w:rFonts w:ascii="Times New Roman" w:cs="Times New Roman" w:eastAsia="Times New Roman" w:hAnsi="Times New Roman"/>
          <w:sz w:val="17"/>
          <w:szCs w:val="17"/>
          <w:b w:val="1"/>
          <w:bCs w:val="1"/>
          <w:u w:val="single" w:color="auto"/>
          <w:color w:val="auto"/>
        </w:rPr>
        <w:t>FBB No Solicitation</w:t>
      </w:r>
      <w:r>
        <w:rPr>
          <w:rFonts w:ascii="Times New Roman" w:cs="Times New Roman" w:eastAsia="Times New Roman" w:hAnsi="Times New Roman"/>
          <w:sz w:val="17"/>
          <w:szCs w:val="17"/>
          <w:color w:val="auto"/>
        </w:rPr>
        <w:t>.</w:t>
      </w:r>
    </w:p>
    <w:p>
      <w:pPr>
        <w:spacing w:after="0" w:line="197" w:lineRule="exact"/>
        <w:rPr>
          <w:sz w:val="20"/>
          <w:szCs w:val="20"/>
          <w:color w:val="auto"/>
        </w:rPr>
      </w:pPr>
    </w:p>
    <w:p>
      <w:pPr>
        <w:jc w:val="both"/>
        <w:ind w:left="5" w:firstLine="1496"/>
        <w:spacing w:after="0" w:line="251" w:lineRule="auto"/>
        <w:tabs>
          <w:tab w:leader="none" w:pos="1853"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FBB will not, will cause its Subsidiaries not to, and will cause each of its Representatives not to, and on becoming aware of it will use its reasonable best efforts to stop any such Person from continuing to, directly or indirectly, (i) solicit, initiate or knowingly facilitate any communications, inquiries, requests, proposals or offers that constitute, or that would reasonably be expected to lead to, an FBB Takeover Proposal, (ii) engage or otherwise participate in any communications, discussions or negotiations regarding, or furnish to any Person any non-public information in connection with, or for the purpose of facilitating, any inquiries, requests, proposals or offers that constitute, or that would reasonably be expected to lead to, an FBB Takeover Proposal or</w:t>
      </w:r>
    </w:p>
    <w:p>
      <w:pPr>
        <w:spacing w:after="0" w:line="3" w:lineRule="exact"/>
        <w:rPr>
          <w:rFonts w:ascii="Times New Roman" w:cs="Times New Roman" w:eastAsia="Times New Roman" w:hAnsi="Times New Roman"/>
          <w:sz w:val="17"/>
          <w:szCs w:val="17"/>
          <w:color w:val="auto"/>
        </w:rPr>
      </w:pPr>
    </w:p>
    <w:p>
      <w:pPr>
        <w:jc w:val="both"/>
        <w:ind w:left="5" w:hanging="5"/>
        <w:spacing w:after="0" w:line="249" w:lineRule="auto"/>
        <w:tabs>
          <w:tab w:leader="none" w:pos="325"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execute or enter into any letter of intent, memorandum of understanding, agreement in principle, acquisition agreement, merger agreement, option or any other agreement (other than an Acceptable Confidentiality Agreement) regarding, or that is intended to result in, or would reasonably be expected to lead to, any FBB Takeover Proposal. FBB will, will cause its Subsidiaries to, and will cause each of its Representatives to immediately cease any solicitation, discussions or negotiations with any Persons that may be ongoing with respect to an FBB Takeover Proposal, or any inquiry, request, proposal or offer that would reasonably be expected to lead to an FBB Takeover Proposal, request the prompt return or destruction of all confidential information previously furnished to any Person in connection with an FBB Takeover Proposal and immediately terminate all physical and electronic data room access previously granted to any such Person, its Subsidiaries or its Representatives.</w:t>
      </w:r>
    </w:p>
    <w:p>
      <w:pPr>
        <w:spacing w:after="0" w:line="156" w:lineRule="exact"/>
        <w:rPr>
          <w:rFonts w:ascii="Times New Roman" w:cs="Times New Roman" w:eastAsia="Times New Roman" w:hAnsi="Times New Roman"/>
          <w:sz w:val="17"/>
          <w:szCs w:val="17"/>
          <w:color w:val="auto"/>
        </w:rPr>
      </w:pPr>
    </w:p>
    <w:p>
      <w:pPr>
        <w:jc w:val="both"/>
        <w:ind w:left="5" w:firstLine="1496"/>
        <w:spacing w:after="0" w:line="252" w:lineRule="auto"/>
        <w:tabs>
          <w:tab w:leader="none" w:pos="1853"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used in this Agreement, an “</w:t>
      </w:r>
      <w:r>
        <w:rPr>
          <w:rFonts w:ascii="Times New Roman" w:cs="Times New Roman" w:eastAsia="Times New Roman" w:hAnsi="Times New Roman"/>
          <w:sz w:val="17"/>
          <w:szCs w:val="17"/>
          <w:u w:val="single" w:color="auto"/>
          <w:color w:val="auto"/>
        </w:rPr>
        <w:t>FBB Takeover Proposal</w:t>
      </w:r>
      <w:r>
        <w:rPr>
          <w:rFonts w:ascii="Times New Roman" w:cs="Times New Roman" w:eastAsia="Times New Roman" w:hAnsi="Times New Roman"/>
          <w:sz w:val="17"/>
          <w:szCs w:val="17"/>
          <w:color w:val="auto"/>
        </w:rPr>
        <w:t>” means, in each case other than an Excluded Transaction, any proposal or offer from any Person or group with respect to, in a single transaction or series of related transactions, any (i) direct or indirect acquisition, lease, exchange, transfer, license, sublicense, sale or disposition of 20% or more of the consolidated assets of FBB and the FBB Subsidiaries (based on the fair market value thereof), (ii) direct or indirect acquisition or sale of outstanding or newly issued FBB Common Stock or other securities of FBB (including any outstanding or newly issued options, rights or warrants to purchase, or securities convertible into or exchangeable for, FBB Common Stock or other securities representing such voting power) representing (after giving effect to such acquisition) 20% or more of the outstanding FBB Common Stock or of the outstanding voting power of FBB, or any other direct or indirect acquisition of 20% or more of the outstanding voting power of FBB, regardless of the method, form or structure of such other direct or indirect acquisition, (iii) tender offer or</w:t>
      </w:r>
    </w:p>
    <w:p>
      <w:pPr>
        <w:spacing w:after="0" w:line="200" w:lineRule="exact"/>
        <w:rPr>
          <w:sz w:val="20"/>
          <w:szCs w:val="20"/>
          <w:color w:val="auto"/>
        </w:rPr>
      </w:pPr>
    </w:p>
    <w:p>
      <w:pPr>
        <w:spacing w:after="0" w:line="338"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54" w:right="319" w:bottom="1440" w:gutter="0" w:footer="0" w:header="0"/>
        </w:sectPr>
      </w:pPr>
    </w:p>
    <w:bookmarkStart w:id="58" w:name="page59"/>
    <w:bookmarkEnd w:id="58"/>
    <w:p>
      <w:pPr>
        <w:spacing w:after="0" w:line="251" w:lineRule="auto"/>
        <w:rPr>
          <w:sz w:val="20"/>
          <w:szCs w:val="20"/>
          <w:color w:val="auto"/>
        </w:rPr>
      </w:pPr>
      <w:r>
        <w:rPr>
          <w:rFonts w:ascii="Times New Roman" w:cs="Times New Roman" w:eastAsia="Times New Roman" w:hAnsi="Times New Roman"/>
          <w:sz w:val="17"/>
          <w:szCs w:val="17"/>
          <w:color w:val="auto"/>
        </w:rPr>
        <w:t xml:space="preserve">exchange offer that if consummated would result, directly or indirectly, in any Person or group (or the stockholders of any Person or group) beneficially owning (the term or concept of “beneficial ownership” for purposes of this Agreement having the meaning assigned thereto in Section 13(d) of the Exchange Act and the rules and regulations thereunder) 20% or more of the outstanding FBB Common Stock or of the outstanding voting power of FBB or (iv) merger, consolidation, share exchange, business combination, recapitalization, liquidation, dissolution or other similar transaction involving FBB or any FBB Subsidiary which would result in any Person or group (or the stockholders of any Person or group) beneficially owning, directly or indirectly, 20% or more of the outstanding voting power of FBB or of the surviving entity in a merger involving FBB or the resulting direct or indirect parent of FBB or such surviving entity (or outstanding options, rights or warrants to purchase, or outstanding securities convertible into or exchangeable for, securities representing such voting power). For the avoidance of doubt, neither the Merger nor the other Transactions shall be deemed an FBB Takeover Proposal. Wherever the term “group” is used in this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5.05</w:t>
      </w:r>
      <w:r>
        <w:rPr>
          <w:rFonts w:ascii="Times New Roman" w:cs="Times New Roman" w:eastAsia="Times New Roman" w:hAnsi="Times New Roman"/>
          <w:sz w:val="17"/>
          <w:szCs w:val="17"/>
          <w:color w:val="auto"/>
        </w:rPr>
        <w:t>, it is used as defined in Rule 13d-3 under the Exchange Act.</w:t>
      </w:r>
    </w:p>
    <w:p>
      <w:pPr>
        <w:spacing w:after="0" w:line="159" w:lineRule="exact"/>
        <w:rPr>
          <w:sz w:val="20"/>
          <w:szCs w:val="20"/>
          <w:color w:val="auto"/>
        </w:rPr>
      </w:pPr>
    </w:p>
    <w:p>
      <w:pPr>
        <w:jc w:val="both"/>
        <w:ind w:firstLine="1496"/>
        <w:spacing w:after="0" w:line="265" w:lineRule="auto"/>
        <w:tabs>
          <w:tab w:leader="none" w:pos="1848"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used in this Agreement, an “</w:t>
      </w:r>
      <w:r>
        <w:rPr>
          <w:rFonts w:ascii="Times New Roman" w:cs="Times New Roman" w:eastAsia="Times New Roman" w:hAnsi="Times New Roman"/>
          <w:sz w:val="17"/>
          <w:szCs w:val="17"/>
          <w:u w:val="single" w:color="auto"/>
          <w:color w:val="auto"/>
        </w:rPr>
        <w:t>Excluded Transaction</w:t>
      </w:r>
      <w:r>
        <w:rPr>
          <w:rFonts w:ascii="Times New Roman" w:cs="Times New Roman" w:eastAsia="Times New Roman" w:hAnsi="Times New Roman"/>
          <w:sz w:val="17"/>
          <w:szCs w:val="17"/>
          <w:color w:val="auto"/>
        </w:rPr>
        <w:t>” means any direct or indirect acquisition or sale of outstanding or newly issued FBB Common Stock by FBB, including pursuant to the Pre-Closing Investment (and which FBB Common Stock, for the avoidance of doubt, shall be issued prior to the Merger and be converted into the Merger Consideration in connection with the Merger).</w:t>
      </w:r>
    </w:p>
    <w:p>
      <w:pPr>
        <w:spacing w:after="0" w:line="144" w:lineRule="exact"/>
        <w:rPr>
          <w:rFonts w:ascii="Times New Roman" w:cs="Times New Roman" w:eastAsia="Times New Roman" w:hAnsi="Times New Roman"/>
          <w:sz w:val="17"/>
          <w:szCs w:val="17"/>
          <w:color w:val="auto"/>
        </w:rPr>
      </w:pPr>
    </w:p>
    <w:p>
      <w:pPr>
        <w:jc w:val="both"/>
        <w:ind w:firstLine="1496"/>
        <w:spacing w:after="0" w:line="248" w:lineRule="auto"/>
        <w:tabs>
          <w:tab w:leader="none" w:pos="1848"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FBB will promptly (but in any event within forty-eight (48) hours) (i) notify DXL in writing in the event that FBB or any of its Subsidiaries or Representatives receives an FBB Takeover Proposal (including an FBB Takeover Proposal received by any FBB stockholder and forwarded to FBB or any of its Subsidiaries or Representatives) and (ii) provide to DXL (x) an unredacted copy of any such FBB Takeover Proposal made in writing (including any financing commitments or other agreements related thereto) and unredacted copies of all other material written materials constituting or containing terms or conditions with respect to such FBB Takeover Proposal exchanged between FBB (or any of its Subsidiaries or Representatives) and such Person (or any of its Affiliates or its or their Representatives) or otherwise received by FBB (or any of its Subsidiaries or Representatives or any stockholder of FBB), in each case in connection with such FBB Takeover Proposal (except for redactions of proprietary information of such Person that does not relate to the material terms or conditions of such FBB Takeover Proposal) and (y) a written summary of all material terms and conditions of any such FBB Takeover Proposal to the extent not made in writing (and in each case including the identity of the Person or group making such FBB Takeover Proposal). From and after such notification, FBB will keep DXL informed on a prompt basis (and in any event within forty-eight (48) hours) of any material developments with respect to any such FBB Takeover Proposal (including any changes to the material terms or conditions thereof) or any material substantive discussions or negotiations relating thereto. FBB will not, and will cause its Subsidiaries not to, enter into any confidentiality or similar agreement with any Person that prohibits FBB from providing to DXL any of</w:t>
      </w:r>
    </w:p>
    <w:p>
      <w:pPr>
        <w:spacing w:after="0" w:line="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required to be provided to DXL under this Section‎ 5.05 within the time periods contemplated hereby.</w:t>
      </w:r>
    </w:p>
    <w:p>
      <w:pPr>
        <w:spacing w:after="0" w:line="174" w:lineRule="exact"/>
        <w:rPr>
          <w:rFonts w:ascii="Times New Roman" w:cs="Times New Roman" w:eastAsia="Times New Roman" w:hAnsi="Times New Roman"/>
          <w:sz w:val="17"/>
          <w:szCs w:val="17"/>
          <w:color w:val="auto"/>
        </w:rPr>
      </w:pPr>
    </w:p>
    <w:p>
      <w:pPr>
        <w:ind w:left="1840" w:hanging="344"/>
        <w:spacing w:after="0"/>
        <w:tabs>
          <w:tab w:leader="none" w:pos="184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understood and agreed that any violation of this Section‎ 5.05 by any of FBB’s Representatives or Subsidiaries will be deemed to</w:t>
      </w:r>
    </w:p>
    <w:p>
      <w:pPr>
        <w:spacing w:after="0" w:line="25"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a breach of this Section‎ 5.05 by FBB.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2594610</wp:posOffset>
            </wp:positionH>
            <wp:positionV relativeFrom="paragraph">
              <wp:posOffset>-393700</wp:posOffset>
            </wp:positionV>
            <wp:extent cx="549910"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49910" cy="762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-145415</wp:posOffset>
            </wp:positionV>
            <wp:extent cx="549910"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49910" cy="7620"/>
                    </a:xfrm>
                    <a:prstGeom prst="rect">
                      <a:avLst/>
                    </a:prstGeom>
                    <a:noFill/>
                  </pic:spPr>
                </pic:pic>
              </a:graphicData>
            </a:graphic>
          </wp:anchor>
        </w:drawing>
        <w:drawing>
          <wp:anchor simplePos="0" relativeHeight="251657728" behindDoc="1" locked="0" layoutInCell="0" allowOverlap="1">
            <wp:simplePos x="0" y="0"/>
            <wp:positionH relativeFrom="column">
              <wp:posOffset>830580</wp:posOffset>
            </wp:positionH>
            <wp:positionV relativeFrom="paragraph">
              <wp:posOffset>-17780</wp:posOffset>
            </wp:positionV>
            <wp:extent cx="549910"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49910" cy="7620"/>
                    </a:xfrm>
                    <a:prstGeom prst="rect">
                      <a:avLst/>
                    </a:prstGeom>
                    <a:noFill/>
                  </pic:spPr>
                </pic:pic>
              </a:graphicData>
            </a:graphic>
          </wp:anchor>
        </w:drawing>
      </w:r>
    </w:p>
    <w:p>
      <w:pPr>
        <w:spacing w:after="0" w:line="153" w:lineRule="exact"/>
        <w:rPr>
          <w:sz w:val="20"/>
          <w:szCs w:val="20"/>
          <w:color w:val="auto"/>
        </w:rPr>
      </w:pPr>
    </w:p>
    <w:p>
      <w:pPr>
        <w:ind w:left="1220"/>
        <w:spacing w:after="0"/>
        <w:tabs>
          <w:tab w:leader="none" w:pos="2580" w:val="left"/>
        </w:tabs>
        <w:rPr>
          <w:sz w:val="20"/>
          <w:szCs w:val="20"/>
          <w:color w:val="auto"/>
        </w:rPr>
      </w:pPr>
      <w:r>
        <w:rPr>
          <w:rFonts w:ascii="Times New Roman" w:cs="Times New Roman" w:eastAsia="Times New Roman" w:hAnsi="Times New Roman"/>
          <w:sz w:val="17"/>
          <w:szCs w:val="17"/>
          <w:b w:val="1"/>
          <w:bCs w:val="1"/>
          <w:u w:val="single" w:color="auto"/>
          <w:color w:val="auto"/>
        </w:rPr>
        <w:t>SECTION 5.06</w:t>
      </w:r>
      <w:r>
        <w:rPr>
          <w:sz w:val="20"/>
          <w:szCs w:val="20"/>
          <w:color w:val="auto"/>
        </w:rPr>
        <w:tab/>
      </w:r>
      <w:r>
        <w:rPr>
          <w:rFonts w:ascii="Times New Roman" w:cs="Times New Roman" w:eastAsia="Times New Roman" w:hAnsi="Times New Roman"/>
          <w:sz w:val="17"/>
          <w:szCs w:val="17"/>
          <w:b w:val="1"/>
          <w:bCs w:val="1"/>
          <w:u w:val="single" w:color="auto"/>
          <w:color w:val="auto"/>
        </w:rPr>
        <w:t>DXL No Solicitation</w:t>
      </w:r>
      <w:r>
        <w:rPr>
          <w:rFonts w:ascii="Times New Roman" w:cs="Times New Roman" w:eastAsia="Times New Roman" w:hAnsi="Times New Roman"/>
          <w:sz w:val="17"/>
          <w:szCs w:val="17"/>
          <w:color w:val="auto"/>
        </w:rPr>
        <w:t>.</w:t>
      </w:r>
    </w:p>
    <w:p>
      <w:pPr>
        <w:spacing w:after="0" w:line="197" w:lineRule="exact"/>
        <w:rPr>
          <w:sz w:val="20"/>
          <w:szCs w:val="20"/>
          <w:color w:val="auto"/>
        </w:rPr>
      </w:pPr>
    </w:p>
    <w:p>
      <w:pPr>
        <w:jc w:val="both"/>
        <w:ind w:firstLine="1496"/>
        <w:spacing w:after="0" w:line="259" w:lineRule="auto"/>
        <w:tabs>
          <w:tab w:leader="none" w:pos="1848"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DXL will not, will cause its Subsidiaries not to, and will cause each of its Representatives not to, and on becoming aware of it will use its reasonable best efforts to stop any such Person from continuing to, directly or indirectly, (i) solicit, initiate or knowingly facilitate any communications, inquiries, requests, proposals or offers that constitute, or that would reasonably be expected to lead to, a DXL Takeover Proposal, (ii) engage or otherwise participate in any communications, discussions or negotiations regarding, or furnish to any Person any non-public information in connection</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59" w:name="page60"/>
    <w:bookmarkEnd w:id="59"/>
    <w:p>
      <w:pPr>
        <w:jc w:val="both"/>
        <w:spacing w:after="0" w:line="255" w:lineRule="auto"/>
        <w:rPr>
          <w:sz w:val="20"/>
          <w:szCs w:val="20"/>
          <w:color w:val="auto"/>
        </w:rPr>
      </w:pPr>
      <w:r>
        <w:rPr>
          <w:rFonts w:ascii="Times New Roman" w:cs="Times New Roman" w:eastAsia="Times New Roman" w:hAnsi="Times New Roman"/>
          <w:sz w:val="17"/>
          <w:szCs w:val="17"/>
          <w:color w:val="auto"/>
        </w:rPr>
        <w:t>with, or for the purpose of facilitating, any inquiries, requests, proposals or offers that constitute, or that would reasonably be expected to lead to, a DXL Takeover Proposal (other than upon receipt of a bona fide, unsolicited written DXL Takeover Proposal from any Person that did not result from a breach of this ‎Section 5.06, solely to the extent necessary to ascertain facts or clarify terms with respect to a DXL Takeover Proposal for the DXL Board to be able to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wp:posOffset>
            </wp:positionV>
            <wp:extent cx="557530"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57530" cy="7620"/>
                    </a:xfrm>
                    <a:prstGeom prst="rect">
                      <a:avLst/>
                    </a:prstGeom>
                    <a:noFill/>
                  </pic:spPr>
                </pic:pic>
              </a:graphicData>
            </a:graphic>
          </wp:anchor>
        </w:drawing>
      </w:r>
    </w:p>
    <w:p>
      <w:pPr>
        <w:jc w:val="both"/>
        <w:spacing w:after="0" w:line="249" w:lineRule="auto"/>
        <w:rPr>
          <w:sz w:val="20"/>
          <w:szCs w:val="20"/>
          <w:color w:val="auto"/>
        </w:rPr>
      </w:pPr>
      <w:r>
        <w:rPr>
          <w:rFonts w:ascii="Times New Roman" w:cs="Times New Roman" w:eastAsia="Times New Roman" w:hAnsi="Times New Roman"/>
          <w:sz w:val="17"/>
          <w:szCs w:val="17"/>
          <w:color w:val="auto"/>
        </w:rPr>
        <w:t>sufficient information to make the determination described in Section‎ 5.06(d)) or (iii) execute or enter into any letter of intent, memorandum of understanding, agreement in principle, acquisition agreement, merger agreement, option or any other agreement (other than an Acceptable Confidentiality Agreement) regarding, or that is intended to result in, or would reasonably be expected to lead to, any DXL Takeover Proposal (a “</w:t>
      </w:r>
      <w:r>
        <w:rPr>
          <w:rFonts w:ascii="Times New Roman" w:cs="Times New Roman" w:eastAsia="Times New Roman" w:hAnsi="Times New Roman"/>
          <w:sz w:val="17"/>
          <w:szCs w:val="17"/>
          <w:u w:val="single" w:color="auto"/>
          <w:color w:val="auto"/>
        </w:rPr>
        <w:t>DXL Acquisition Agreement</w:t>
      </w:r>
      <w:r>
        <w:rPr>
          <w:rFonts w:ascii="Times New Roman" w:cs="Times New Roman" w:eastAsia="Times New Roman" w:hAnsi="Times New Roman"/>
          <w:sz w:val="17"/>
          <w:szCs w:val="17"/>
          <w:color w:val="auto"/>
        </w:rPr>
        <w:t>”). DXL will, will cause its Subsidiaries to, and will cause each of its Representatives to immediately cease any solicitation, discussions or negotiations with any Persons that may be ongoing with respect to a DXL Takeover Proposal, or any inquiry, request, proposal or offer that would reasonably be expected to lead to a DXL Takeover Proposal, request the prompt return or destruction of all confidential information previously furnished to any Person in connection with a DXL Takeover Proposal and immediately terminate all physical and electronic data room access previously granted to any such Person, its Subsidiaries or its Representatives.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-795020</wp:posOffset>
            </wp:positionV>
            <wp:extent cx="685800"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0" cy="7620"/>
                    </a:xfrm>
                    <a:prstGeom prst="rect">
                      <a:avLst/>
                    </a:prstGeom>
                    <a:noFill/>
                  </pic:spPr>
                </pic:pic>
              </a:graphicData>
            </a:graphic>
          </wp:anchor>
        </w:drawing>
      </w:r>
    </w:p>
    <w:p>
      <w:pPr>
        <w:spacing w:after="0" w:line="137" w:lineRule="exact"/>
        <w:rPr>
          <w:sz w:val="20"/>
          <w:szCs w:val="20"/>
          <w:color w:val="auto"/>
        </w:rPr>
      </w:pPr>
    </w:p>
    <w:p>
      <w:pPr>
        <w:jc w:val="both"/>
        <w:ind w:firstLine="1496"/>
        <w:spacing w:after="0" w:line="249" w:lineRule="auto"/>
        <w:tabs>
          <w:tab w:leader="none" w:pos="1848"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used in this Agreement, a “</w:t>
      </w:r>
      <w:r>
        <w:rPr>
          <w:rFonts w:ascii="Times New Roman" w:cs="Times New Roman" w:eastAsia="Times New Roman" w:hAnsi="Times New Roman"/>
          <w:sz w:val="17"/>
          <w:szCs w:val="17"/>
          <w:u w:val="single" w:color="auto"/>
          <w:color w:val="auto"/>
        </w:rPr>
        <w:t>DXL Takeover Proposal</w:t>
      </w:r>
      <w:r>
        <w:rPr>
          <w:rFonts w:ascii="Times New Roman" w:cs="Times New Roman" w:eastAsia="Times New Roman" w:hAnsi="Times New Roman"/>
          <w:sz w:val="17"/>
          <w:szCs w:val="17"/>
          <w:color w:val="auto"/>
        </w:rPr>
        <w:t xml:space="preserve">” means any proposal or offer from any Person or group with respect to, in a single transaction or series of related transactions, any (i) direct or indirect acquisition, lease, exchange, transfer, license, sublicense, sale or disposition of 20% or more of the consolidated assets of DXL and the DXL Subsidiaries (based on the fair market value thereof), (ii) direct or indirect acquisition or sale of outstanding or newly issued DXL Common Stock or other securities of DXL (including any outstanding or newly issued options, rights or warrants to purchase, or securities convertible into or exchangeable for, DXL Common Stock or other securities representing such voting power) representing (after giving effect to such acquisition) 20% or more of the outstanding DXL Common Stock or of the outstanding voting power of DXL, or any other direct or indirect acquisition of 20% or more of the outstanding voting power of DXL, regardless of the method, form or structure of such other direct or indirect acquisition, (iii) tender offer or exchange offer that if consummated would result, directly or indirectly, in any Person or group (or the stockholders of any Person or group) beneficially owning (the term or concept of “beneficial ownership” for purposes of this Agreement having the meaning assigned thereto in Section 13(d) of the Exchange Act and the rules and regulations thereunder) 20% or more of the outstanding DXL Common Stock or of the outstanding voting power of DXL or (iv) merger, consolidation, share exchange, business combination, recapitalization, liquidation, dissolution or other similar transaction involving DXL or any DXL Subsidiary which would result in any Person or group (or the stockholders of any Person or group) beneficially owning, directly or indirectly, 20% or more of the outstanding voting power of DXL or of the surviving entity in a merger involving DXL or the resulting direct or indirect parent of DXL or such surviving entity (or outstanding options, rights or warrants to purchase, or outstanding securities convertible into or exchangeable for, securities representing such voting power). For the avoidance of doubt, neither the Merger nor the other Transactions shall be deemed a DXL Takeover Proposal. Wherever the term “group” is used in this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5.06</w:t>
      </w:r>
      <w:r>
        <w:rPr>
          <w:rFonts w:ascii="Times New Roman" w:cs="Times New Roman" w:eastAsia="Times New Roman" w:hAnsi="Times New Roman"/>
          <w:sz w:val="17"/>
          <w:szCs w:val="17"/>
          <w:color w:val="auto"/>
        </w:rPr>
        <w:t>, it is used as defined in Rule 13d-3 under the Exchange Act.</w:t>
      </w:r>
    </w:p>
    <w:p>
      <w:pPr>
        <w:spacing w:after="0" w:line="160" w:lineRule="exact"/>
        <w:rPr>
          <w:rFonts w:ascii="Times New Roman" w:cs="Times New Roman" w:eastAsia="Times New Roman" w:hAnsi="Times New Roman"/>
          <w:sz w:val="17"/>
          <w:szCs w:val="17"/>
          <w:color w:val="auto"/>
        </w:rPr>
      </w:pPr>
    </w:p>
    <w:p>
      <w:pPr>
        <w:jc w:val="both"/>
        <w:ind w:firstLine="1496"/>
        <w:spacing w:after="0" w:line="253" w:lineRule="auto"/>
        <w:tabs>
          <w:tab w:leader="none" w:pos="1848"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DXL will promptly (but in any event within forty-eight (48) hours) (i) notify FBB in writing in the event that DXL or any of its Subsidiaries or Representatives receives a DXL Takeover Proposal (including a DXL Takeover Proposal received by any DXL stockholder and forwarded to DXL or any of its Subsidiaries or Representatives) and (ii) provide to FBB (x) an unredacted copy of any such DXL Takeover Proposal made in writing (including any financing commitments or other agreements related thereto) and unredacted copies of all other material written materials constituting or containing terms or conditions with respect to such DXL Takeover Proposal exchanged between DXL (or any of its Subsidiaries or Representatives) and such Person (or any of its Affiliates or its or their Representatives) or otherwise received by DXL (or any of its Subsidiaries or Representatives or any stockholder of DXL), in each case in connection with such DXL Takeover Proposal (except for redactions of proprietary information of such</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60" w:name="page61"/>
    <w:bookmarkEnd w:id="60"/>
    <w:p>
      <w:pPr>
        <w:jc w:val="both"/>
        <w:spacing w:after="0" w:line="253" w:lineRule="auto"/>
        <w:rPr>
          <w:sz w:val="20"/>
          <w:szCs w:val="20"/>
          <w:color w:val="auto"/>
        </w:rPr>
      </w:pPr>
      <w:r>
        <w:rPr>
          <w:rFonts w:ascii="Times New Roman" w:cs="Times New Roman" w:eastAsia="Times New Roman" w:hAnsi="Times New Roman"/>
          <w:sz w:val="17"/>
          <w:szCs w:val="17"/>
          <w:color w:val="auto"/>
        </w:rPr>
        <w:t>Person that does not relate to the material terms or conditions of such DXL Takeover Proposal) and (y) a written summary of all material terms and conditions of any such DXL Takeover Proposal to the extent not made in writing (and in each case including the identity of the Person or group making such DXL Takeover Proposal). From and after such notification, DXL will keep FBB informed on a prompt basis (and in any event within forty-eight (48) hours) of any material developments with respect to any such DXL Takeover Proposal (including any changes to the material terms or conditions thereof) or any material substantive discussions or negotiations relating thereto. DXL will not, and will cause its Subsidiaries not to, enter into any confidentiality or similar agreement with any Person that prohibits DXL from providing to FBB any of the information required to be provided to FBB under this ‎Section 5.06 within the time periods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5457825</wp:posOffset>
            </wp:positionH>
            <wp:positionV relativeFrom="paragraph">
              <wp:posOffset>-158750</wp:posOffset>
            </wp:positionV>
            <wp:extent cx="565150"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65150" cy="7620"/>
                    </a:xfrm>
                    <a:prstGeom prst="rect">
                      <a:avLst/>
                    </a:prstGeom>
                    <a:noFill/>
                  </pic:spPr>
                </pic:pic>
              </a:graphicData>
            </a:graphic>
          </wp:anchor>
        </w:drawing>
      </w:r>
    </w:p>
    <w:p>
      <w:pPr>
        <w:spacing w:after="0" w:line="134" w:lineRule="exact"/>
        <w:rPr>
          <w:sz w:val="20"/>
          <w:szCs w:val="20"/>
          <w:color w:val="auto"/>
        </w:rPr>
      </w:pPr>
    </w:p>
    <w:p>
      <w:pPr>
        <w:jc w:val="both"/>
        <w:ind w:right="20" w:firstLine="1496"/>
        <w:spacing w:after="0" w:line="259" w:lineRule="auto"/>
        <w:tabs>
          <w:tab w:leader="none" w:pos="1883"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contained in this Section‎ 5.06 to the contrary, if at any time prior to obtaining the Required DXL Stockholder Vote, the DXL stockholders, DXL or any of its Subsidiaries or Representatives receives a bona fide written DXL Takeover Proposal, which DXL</w:t>
      </w:r>
    </w:p>
    <w:p>
      <w:pPr>
        <w:jc w:val="both"/>
        <w:spacing w:after="0" w:line="24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Takeover Proposal did not result from a breach of this Section‎ 5.06, and the DXL Board or any committee thereof determines in good faith, after consultation with its financial advisor and outside counsel, that such DXL Takeover Proposal constitutes or would reasonably likely lead to a DXL Superior Proposal and the failure to take the actions in (x) or (y) below regarding such DXL Takeover Proposal would reasonably be expected to violate the fiduciary duties of DXL’s directors under applicable Law, then DXL, its Subsidiaries and its Representatives may, following written notice to FBB, (x) enter into an Acceptable Confidentiality Agreement with the Person or group making the DXL Takeover Proposal and thereafter furnish pursuant to such Acceptable Confidentiality Agreement information (including non-public information) with respect to DXL and its Subsidiaries to the Person or group making such DXL Takeover Proposal; provided, that DXL shall promptly (but in any event within forty-eight (48) hours) provide to FBB any written information that is provided to any Person or group given such access which was not previously provided to FBB and (y) engage in or otherwise participate in discussions or negotiations with the Person or group making such DXL Takeover Proposal.</w:t>
      </w:r>
    </w:p>
    <w:p>
      <w:pPr>
        <w:spacing w:after="0" w:line="362" w:lineRule="exact"/>
        <w:rPr>
          <w:rFonts w:ascii="Times New Roman" w:cs="Times New Roman" w:eastAsia="Times New Roman" w:hAnsi="Times New Roman"/>
          <w:sz w:val="17"/>
          <w:szCs w:val="17"/>
          <w:color w:val="auto"/>
        </w:rPr>
      </w:pPr>
    </w:p>
    <w:p>
      <w:pPr>
        <w:ind w:left="1840" w:hanging="344"/>
        <w:spacing w:after="0"/>
        <w:tabs>
          <w:tab w:leader="none" w:pos="184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this Agreement, the term “</w:t>
      </w:r>
      <w:r>
        <w:rPr>
          <w:rFonts w:ascii="Times New Roman" w:cs="Times New Roman" w:eastAsia="Times New Roman" w:hAnsi="Times New Roman"/>
          <w:sz w:val="17"/>
          <w:szCs w:val="17"/>
          <w:u w:val="single" w:color="auto"/>
          <w:color w:val="auto"/>
        </w:rPr>
        <w:t>DXL Superior Proposal</w:t>
      </w:r>
      <w:r>
        <w:rPr>
          <w:rFonts w:ascii="Times New Roman" w:cs="Times New Roman" w:eastAsia="Times New Roman" w:hAnsi="Times New Roman"/>
          <w:sz w:val="17"/>
          <w:szCs w:val="17"/>
          <w:color w:val="auto"/>
        </w:rPr>
        <w:t>” means any bona fide written DXL Takeover Proposal, which DXL</w:t>
      </w:r>
    </w:p>
    <w:p>
      <w:pPr>
        <w:spacing w:after="0" w:line="25" w:lineRule="exact"/>
        <w:rPr>
          <w:rFonts w:ascii="Times New Roman" w:cs="Times New Roman" w:eastAsia="Times New Roman" w:hAnsi="Times New Roman"/>
          <w:sz w:val="17"/>
          <w:szCs w:val="17"/>
          <w:color w:val="auto"/>
        </w:rPr>
      </w:pPr>
    </w:p>
    <w:p>
      <w:pPr>
        <w:jc w:val="both"/>
        <w:spacing w:after="0" w:line="24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Takeover Proposal did not result from a breach of this Section‎ 5.06, made by a third party and which, if consummated, would result in such third party (or in the case of a direct merger between such third party or an Affiliate of such third party and DXL, the stockholders of such third party) acquiring, directly or indirectly, more than 50% of the voting power of DXL and the issued and outstanding DXL Capital Stock or more than 50% of the consolidated assets of DXL and its Subsidiaries (based on the fair market value thereof), including in any such case through the acquisition of one or more DXL Subsidiaries owning such assets, for consideration consisting of cash and/or securities that the DXL Board or any committee thereof determines in good faith (after consultation with its financial advisor and outside counsel) would be more favorable from a financial point of view to DXL’s stockholders (in their capacities as such) than the Transactions, taking into account (i) any changes to the terms of the Transactions irrevocably and timely proposed by FBB in response to such offer, (ii) all legal, regulatory, financial and other aspects of such proposal and of this Agreement deemed relevant by the DXL Board or any such committee in good faith and (iii) the obligation to pay the DXL Termination Fee.</w:t>
      </w:r>
    </w:p>
    <w:p>
      <w:pPr>
        <w:spacing w:after="0" w:line="160" w:lineRule="exact"/>
        <w:rPr>
          <w:rFonts w:ascii="Times New Roman" w:cs="Times New Roman" w:eastAsia="Times New Roman" w:hAnsi="Times New Roman"/>
          <w:sz w:val="17"/>
          <w:szCs w:val="17"/>
          <w:color w:val="auto"/>
        </w:rPr>
      </w:pPr>
    </w:p>
    <w:p>
      <w:pPr>
        <w:jc w:val="both"/>
        <w:ind w:right="20" w:firstLine="1496"/>
        <w:spacing w:after="0" w:line="254" w:lineRule="auto"/>
        <w:tabs>
          <w:tab w:leader="none" w:pos="1848"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DXL Board nor any committee thereof will (i) withhold, withdraw or modify in a manner adverse to FBB the recommendation to stockholders of DXL that they give the Required DXL Stockholder Vote, (ii) recommend or approve the approval of, or publicly propose to recommend or approve the approval of, any DXL Takeover Proposal, (iii) refrain from recommending against any DXL Takeover Proposal that is a tender offer or exchange offer within ten (10) Business Days after the commencement thereof (each such action set forth in clauses (i), (ii) and (iii) being referred to herein as a “</w:t>
      </w:r>
      <w:r>
        <w:rPr>
          <w:rFonts w:ascii="Times New Roman" w:cs="Times New Roman" w:eastAsia="Times New Roman" w:hAnsi="Times New Roman"/>
          <w:sz w:val="17"/>
          <w:szCs w:val="17"/>
          <w:u w:val="single" w:color="auto"/>
          <w:color w:val="auto"/>
        </w:rPr>
        <w:t>DXL Adverse Recommendation Change</w:t>
      </w:r>
      <w:r>
        <w:rPr>
          <w:rFonts w:ascii="Times New Roman" w:cs="Times New Roman" w:eastAsia="Times New Roman" w:hAnsi="Times New Roman"/>
          <w:sz w:val="17"/>
          <w:szCs w:val="17"/>
          <w:color w:val="auto"/>
        </w:rPr>
        <w:t>”) or (iv) enter into or propose publicly to execute or enter into (or cause or permit DXL or any of its Subsidiaries to execute or enter into or propose publicly to execute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949960</wp:posOffset>
            </wp:positionH>
            <wp:positionV relativeFrom="paragraph">
              <wp:posOffset>-3590290</wp:posOffset>
            </wp:positionV>
            <wp:extent cx="242570"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42570" cy="7620"/>
                    </a:xfrm>
                    <a:prstGeom prst="rect">
                      <a:avLst/>
                    </a:prstGeom>
                    <a:noFill/>
                  </pic:spPr>
                </pic:pic>
              </a:graphicData>
            </a:graphic>
          </wp:anchor>
        </w:drawing>
        <w:drawing>
          <wp:anchor simplePos="0" relativeHeight="251657728" behindDoc="1" locked="0" layoutInCell="0" allowOverlap="1">
            <wp:simplePos x="0" y="0"/>
            <wp:positionH relativeFrom="column">
              <wp:posOffset>949960</wp:posOffset>
            </wp:positionH>
            <wp:positionV relativeFrom="paragraph">
              <wp:posOffset>-3575685</wp:posOffset>
            </wp:positionV>
            <wp:extent cx="242570"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42570" cy="7620"/>
                    </a:xfrm>
                    <a:prstGeom prst="rect">
                      <a:avLst/>
                    </a:prstGeom>
                    <a:noFill/>
                  </pic:spPr>
                </pic:pic>
              </a:graphicData>
            </a:graphic>
          </wp:anchor>
        </w:drawing>
        <w:drawing>
          <wp:anchor simplePos="0" relativeHeight="251657728" behindDoc="1" locked="0" layoutInCell="0" allowOverlap="1">
            <wp:simplePos x="0" y="0"/>
            <wp:positionH relativeFrom="column">
              <wp:posOffset>3256280</wp:posOffset>
            </wp:positionH>
            <wp:positionV relativeFrom="paragraph">
              <wp:posOffset>-3590290</wp:posOffset>
            </wp:positionV>
            <wp:extent cx="572770"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72770" cy="7620"/>
                    </a:xfrm>
                    <a:prstGeom prst="rect">
                      <a:avLst/>
                    </a:prstGeom>
                    <a:noFill/>
                  </pic:spPr>
                </pic:pic>
              </a:graphicData>
            </a:graphic>
          </wp:anchor>
        </w:drawing>
        <w:drawing>
          <wp:anchor simplePos="0" relativeHeight="251657728" behindDoc="1" locked="0" layoutInCell="0" allowOverlap="1">
            <wp:simplePos x="0" y="0"/>
            <wp:positionH relativeFrom="column">
              <wp:posOffset>2480310</wp:posOffset>
            </wp:positionH>
            <wp:positionV relativeFrom="paragraph">
              <wp:posOffset>-3335020</wp:posOffset>
            </wp:positionV>
            <wp:extent cx="557530"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57530" cy="7620"/>
                    </a:xfrm>
                    <a:prstGeom prst="rect">
                      <a:avLst/>
                    </a:prstGeom>
                    <a:noFill/>
                  </pic:spPr>
                </pic:pic>
              </a:graphicData>
            </a:graphic>
          </wp:anchor>
        </w:drawing>
        <w:drawing>
          <wp:anchor simplePos="0" relativeHeight="251657728" behindDoc="1" locked="0" layoutInCell="0" allowOverlap="1">
            <wp:simplePos x="0" y="0"/>
            <wp:positionH relativeFrom="column">
              <wp:posOffset>2427605</wp:posOffset>
            </wp:positionH>
            <wp:positionV relativeFrom="paragraph">
              <wp:posOffset>-1938655</wp:posOffset>
            </wp:positionV>
            <wp:extent cx="549910"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49910" cy="762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61" w:name="page62"/>
    <w:bookmarkEnd w:id="61"/>
    <w:p>
      <w:pPr>
        <w:ind w:left="5"/>
        <w:spacing w:after="0"/>
        <w:rPr>
          <w:sz w:val="20"/>
          <w:szCs w:val="20"/>
          <w:color w:val="auto"/>
        </w:rPr>
      </w:pPr>
      <w:r>
        <w:rPr>
          <w:rFonts w:ascii="Times New Roman" w:cs="Times New Roman" w:eastAsia="Times New Roman" w:hAnsi="Times New Roman"/>
          <w:sz w:val="17"/>
          <w:szCs w:val="17"/>
          <w:color w:val="auto"/>
        </w:rPr>
        <w:t>or enter into) a DXL Acquisition Agreement (other than any Acceptable Confidentiality Agreement entered into in accordance with this Section‎ 5.06).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6507480</wp:posOffset>
            </wp:positionH>
            <wp:positionV relativeFrom="paragraph">
              <wp:posOffset>-5080</wp:posOffset>
            </wp:positionV>
            <wp:extent cx="572770"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72770" cy="7620"/>
                    </a:xfrm>
                    <a:prstGeom prst="rect">
                      <a:avLst/>
                    </a:prstGeom>
                    <a:noFill/>
                  </pic:spPr>
                </pic:pic>
              </a:graphicData>
            </a:graphic>
          </wp:anchor>
        </w:drawing>
      </w:r>
    </w:p>
    <w:p>
      <w:pPr>
        <w:spacing w:after="0" w:line="6" w:lineRule="exact"/>
        <w:rPr>
          <w:sz w:val="20"/>
          <w:szCs w:val="20"/>
          <w:color w:val="auto"/>
        </w:rPr>
      </w:pPr>
    </w:p>
    <w:p>
      <w:pPr>
        <w:jc w:val="both"/>
        <w:ind w:left="5"/>
        <w:spacing w:after="0" w:line="246" w:lineRule="auto"/>
        <w:rPr>
          <w:sz w:val="20"/>
          <w:szCs w:val="20"/>
          <w:color w:val="auto"/>
        </w:rPr>
      </w:pPr>
      <w:r>
        <w:rPr>
          <w:rFonts w:ascii="Times New Roman" w:cs="Times New Roman" w:eastAsia="Times New Roman" w:hAnsi="Times New Roman"/>
          <w:sz w:val="17"/>
          <w:szCs w:val="17"/>
          <w:color w:val="auto"/>
        </w:rPr>
        <w:t>Notwithstanding anything to the contrary in this ‎Section 5.06, prior to the time the Required DXL Stockholder Vote is obtained, but not after, the DXL Board or any committee thereof may (I) make a DXL Adverse Recommendation Change or (II) cause DXL to enter into a DXL Acquisition Agreement with respect to a DXL Takeover Proposal, which DXL Takeover Proposal did not result from a breach of this ‎Section 5.06 and terminate this Agreement pursuant to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8.01(j)</w:t>
      </w:r>
      <w:r>
        <w:rPr>
          <w:rFonts w:ascii="Times New Roman" w:cs="Times New Roman" w:eastAsia="Times New Roman" w:hAnsi="Times New Roman"/>
          <w:sz w:val="17"/>
          <w:szCs w:val="17"/>
          <w:color w:val="auto"/>
        </w:rPr>
        <w:t>, in either case if the DXL Board or any committee thereof determines in good faith, after consultation with its financial advisor and outside counsel,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2157730</wp:posOffset>
            </wp:positionH>
            <wp:positionV relativeFrom="paragraph">
              <wp:posOffset>-402590</wp:posOffset>
            </wp:positionV>
            <wp:extent cx="549910"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49910" cy="7620"/>
                    </a:xfrm>
                    <a:prstGeom prst="rect">
                      <a:avLst/>
                    </a:prstGeom>
                    <a:noFill/>
                  </pic:spPr>
                </pic:pic>
              </a:graphicData>
            </a:graphic>
          </wp:anchor>
        </w:drawing>
        <w:drawing>
          <wp:anchor simplePos="0" relativeHeight="251657728" behindDoc="1" locked="0" layoutInCell="0" allowOverlap="1">
            <wp:simplePos x="0" y="0"/>
            <wp:positionH relativeFrom="column">
              <wp:posOffset>4283710</wp:posOffset>
            </wp:positionH>
            <wp:positionV relativeFrom="paragraph">
              <wp:posOffset>-147320</wp:posOffset>
            </wp:positionV>
            <wp:extent cx="557530"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57530" cy="7620"/>
                    </a:xfrm>
                    <a:prstGeom prst="rect">
                      <a:avLst/>
                    </a:prstGeom>
                    <a:noFill/>
                  </pic:spPr>
                </pic:pic>
              </a:graphicData>
            </a:graphic>
          </wp:anchor>
        </w:drawing>
      </w:r>
    </w:p>
    <w:p>
      <w:pPr>
        <w:jc w:val="both"/>
        <w:ind w:left="5" w:hanging="5"/>
        <w:spacing w:after="0" w:line="246" w:lineRule="auto"/>
        <w:tabs>
          <w:tab w:leader="none" w:pos="291"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do otherwise would be reasonably expected to violate the fiduciary duties of DXL’s directors under applicable Law, and (B) in the case of clause (I) where the DXL Adverse Recommendation Change is made in response to a DXL Takeover Proposal or in the case of both clauses (I) and (II), such DXL Takeover Proposal constitutes a DXL Superior Proposal; provided, that the DXL Board (or any committee thereof) shall not, and shall cause DXL not to, take any action set forth in clause (I) or clause (II) unless (1) DXL has provided written notice to FBB (a “</w:t>
      </w:r>
      <w:r>
        <w:rPr>
          <w:rFonts w:ascii="Times New Roman" w:cs="Times New Roman" w:eastAsia="Times New Roman" w:hAnsi="Times New Roman"/>
          <w:sz w:val="17"/>
          <w:szCs w:val="17"/>
          <w:u w:val="single" w:color="auto"/>
          <w:color w:val="auto"/>
        </w:rPr>
        <w:t>Notice of DXL Adverse Recommendation Change</w:t>
      </w:r>
      <w:r>
        <w:rPr>
          <w:rFonts w:ascii="Times New Roman" w:cs="Times New Roman" w:eastAsia="Times New Roman" w:hAnsi="Times New Roman"/>
          <w:sz w:val="17"/>
          <w:szCs w:val="17"/>
          <w:color w:val="auto"/>
        </w:rPr>
        <w:t>”) advising FBB that the DXL Board (or such committee) intends to take such action and the reasons therefor, (2) in the case of any Notice of DXL Adverse Recommendation Change provided in connection with a DXL Takeover Proposal, such Notice of DXL Adverse Recommendation Change specifies the material terms and conditions of such DXL Takeover Proposal, and includes a copy of the most current version of the agreement or proposal and all material related documentation with respect to such DXL Takeover Proposal, (3) a period of at least five (5) Business Days has elapsed following FBB’s receipt of such Notice of DXL Adverse Recommendation Change (it being understood that any amendment or modification (other than an immaterial amendment or modification) to any of the terms of a DXL Takeover Proposal that is the basis for such proposed action shall require a new Notice of DXL Adverse Recommendation Change and an additional four</w:t>
      </w:r>
    </w:p>
    <w:p>
      <w:pPr>
        <w:spacing w:after="0" w:line="6" w:lineRule="exact"/>
        <w:rPr>
          <w:rFonts w:ascii="Times New Roman" w:cs="Times New Roman" w:eastAsia="Times New Roman" w:hAnsi="Times New Roman"/>
          <w:sz w:val="17"/>
          <w:szCs w:val="17"/>
          <w:color w:val="auto"/>
        </w:rPr>
      </w:pPr>
    </w:p>
    <w:p>
      <w:pPr>
        <w:jc w:val="both"/>
        <w:ind w:left="5"/>
        <w:spacing w:after="0" w:line="24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Business Day period), (4) if requested by FBB, DXL has negotiated, and has caused its Subsidiaries and Representatives to negotiate, in good faith with FBB during such five (5) Business Day period (as extended pursuant to clause (3)) with respect to any changes to the terms of this Agreement proposed by FBB during such period and (5) taking into account any changes to the terms of this Agreement irrevocably and timely proposed by FBB, the DXL Board or any committee thereof has determined in good faith, after consultation with its financial advisor and outside counsel, that the failure to take such action would continue to be reasonably expected to violate the fiduciary duties of DXL’s directors under applicable Law, and that, in the case of any Notice of DXL Adverse Recommendation Change provided in connection with a DXL Takeover Proposal, the DXL Takeover Proposal would continue to constitute a DXL Superior Proposal even if such changes irrevocably offered by FBB were to be accepted by DXL; and provided, further that any purported termination of this Agreement</w:t>
      </w:r>
    </w:p>
    <w:p>
      <w:pPr>
        <w:spacing w:after="0" w:line="4" w:lineRule="exact"/>
        <w:rPr>
          <w:rFonts w:ascii="Times New Roman" w:cs="Times New Roman" w:eastAsia="Times New Roman" w:hAnsi="Times New Roman"/>
          <w:sz w:val="17"/>
          <w:szCs w:val="17"/>
          <w:color w:val="auto"/>
        </w:rPr>
      </w:pPr>
    </w:p>
    <w:p>
      <w:pPr>
        <w:ind w:left="5" w:right="2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this sentence shall be void and of no force and effect unless the termination is in accordance with Section‎ 8.01(j) and DXL pays FBB the DXL Termination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5078095</wp:posOffset>
            </wp:positionH>
            <wp:positionV relativeFrom="paragraph">
              <wp:posOffset>-162560</wp:posOffset>
            </wp:positionV>
            <wp:extent cx="661670"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61670" cy="7620"/>
                    </a:xfrm>
                    <a:prstGeom prst="rect">
                      <a:avLst/>
                    </a:prstGeom>
                    <a:noFill/>
                  </pic:spPr>
                </pic:pic>
              </a:graphicData>
            </a:graphic>
          </wp:anchor>
        </w:drawing>
      </w:r>
    </w:p>
    <w:p>
      <w:pPr>
        <w:spacing w:after="0" w:line="128"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7"/>
          <w:szCs w:val="17"/>
          <w:color w:val="auto"/>
        </w:rPr>
        <w:t>It is understood and agreed that any violation of this Section‎ 5.06 by any of DXL’s Representatives or Subsidiaries will be deemed to be a breach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-5080</wp:posOffset>
            </wp:positionV>
            <wp:extent cx="549910"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49910" cy="7620"/>
                    </a:xfrm>
                    <a:prstGeom prst="rect">
                      <a:avLst/>
                    </a:prstGeom>
                    <a:noFill/>
                  </pic:spPr>
                </pic:pic>
              </a:graphicData>
            </a:graphic>
          </wp:anchor>
        </w:drawing>
      </w:r>
    </w:p>
    <w:p>
      <w:pPr>
        <w:spacing w:after="0" w:line="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auto"/>
        </w:rPr>
        <w:t>this Section‎ 5.06 by DXL.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-17780</wp:posOffset>
            </wp:positionV>
            <wp:extent cx="549910"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49910" cy="7620"/>
                    </a:xfrm>
                    <a:prstGeom prst="rect">
                      <a:avLst/>
                    </a:prstGeom>
                    <a:noFill/>
                  </pic:spPr>
                </pic:pic>
              </a:graphicData>
            </a:graphic>
          </wp:anchor>
        </w:drawing>
      </w:r>
    </w:p>
    <w:p>
      <w:pPr>
        <w:spacing w:after="0" w:line="153" w:lineRule="exact"/>
        <w:rPr>
          <w:sz w:val="20"/>
          <w:szCs w:val="20"/>
          <w:color w:val="auto"/>
        </w:rPr>
      </w:pPr>
    </w:p>
    <w:p>
      <w:pPr>
        <w:jc w:val="center"/>
        <w:ind w:right="-84"/>
        <w:spacing w:after="0"/>
        <w:rPr>
          <w:sz w:val="20"/>
          <w:szCs w:val="20"/>
          <w:color w:val="auto"/>
        </w:rPr>
      </w:pPr>
      <w:r>
        <w:rPr>
          <w:rFonts w:ascii="Times New Roman" w:cs="Times New Roman" w:eastAsia="Times New Roman" w:hAnsi="Times New Roman"/>
          <w:sz w:val="17"/>
          <w:szCs w:val="17"/>
          <w:b w:val="1"/>
          <w:bCs w:val="1"/>
          <w:u w:val="single" w:color="auto"/>
          <w:color w:val="auto"/>
        </w:rPr>
        <w:t>ARTICLE VI</w:t>
      </w:r>
    </w:p>
    <w:p>
      <w:pPr>
        <w:spacing w:after="0" w:line="195" w:lineRule="exact"/>
        <w:rPr>
          <w:sz w:val="20"/>
          <w:szCs w:val="20"/>
          <w:color w:val="auto"/>
        </w:rPr>
      </w:pPr>
    </w:p>
    <w:p>
      <w:pPr>
        <w:ind w:left="1225"/>
        <w:spacing w:after="0"/>
        <w:tabs>
          <w:tab w:leader="none" w:pos="2585" w:val="left"/>
        </w:tabs>
        <w:rPr>
          <w:sz w:val="20"/>
          <w:szCs w:val="20"/>
          <w:color w:val="auto"/>
        </w:rPr>
      </w:pPr>
      <w:r>
        <w:rPr>
          <w:rFonts w:ascii="Times New Roman" w:cs="Times New Roman" w:eastAsia="Times New Roman" w:hAnsi="Times New Roman"/>
          <w:sz w:val="17"/>
          <w:szCs w:val="17"/>
          <w:b w:val="1"/>
          <w:bCs w:val="1"/>
          <w:u w:val="single" w:color="auto"/>
          <w:color w:val="auto"/>
        </w:rPr>
        <w:t>SECTION 6.01</w:t>
      </w:r>
      <w:r>
        <w:rPr>
          <w:sz w:val="20"/>
          <w:szCs w:val="20"/>
          <w:color w:val="auto"/>
        </w:rPr>
        <w:tab/>
      </w:r>
      <w:r>
        <w:rPr>
          <w:rFonts w:ascii="Times New Roman" w:cs="Times New Roman" w:eastAsia="Times New Roman" w:hAnsi="Times New Roman"/>
          <w:sz w:val="17"/>
          <w:szCs w:val="17"/>
          <w:b w:val="1"/>
          <w:bCs w:val="1"/>
          <w:u w:val="single" w:color="auto"/>
          <w:color w:val="auto"/>
        </w:rPr>
        <w:t>Preparation of the Proxy Statement; Stockholder Approvals; Listing Application</w:t>
      </w:r>
      <w:r>
        <w:rPr>
          <w:rFonts w:ascii="Times New Roman" w:cs="Times New Roman" w:eastAsia="Times New Roman" w:hAnsi="Times New Roman"/>
          <w:sz w:val="17"/>
          <w:szCs w:val="17"/>
          <w:color w:val="auto"/>
        </w:rPr>
        <w:t>.</w:t>
      </w:r>
    </w:p>
    <w:p>
      <w:pPr>
        <w:spacing w:after="0" w:line="197" w:lineRule="exact"/>
        <w:rPr>
          <w:sz w:val="20"/>
          <w:szCs w:val="20"/>
          <w:color w:val="auto"/>
        </w:rPr>
      </w:pPr>
    </w:p>
    <w:p>
      <w:pPr>
        <w:jc w:val="both"/>
        <w:ind w:left="5" w:firstLine="1496"/>
        <w:spacing w:after="0" w:line="256" w:lineRule="auto"/>
        <w:tabs>
          <w:tab w:leader="none" w:pos="1853"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DXL and FBB each understand and agree that the shares of DXL Common Stock to be issued and transferred as contemplated in this Agreement to FBB Stockholders have not been registered under the securities Laws of the United States, including the Securities Act, or any other jurisdiction and will be issued and transferred pursuant to a “private placement” exemption from registration under the Securities Act by virtue of Regulation D promulgated thereunder. The shares of DXL Common Stock will be characterized as “restricted securities” under the Securities Act and may only be transferred pursuant to a registration statement or an applicable exemption under the Securities Act. Any</w:t>
      </w:r>
    </w:p>
    <w:p>
      <w:pPr>
        <w:spacing w:after="0" w:line="200" w:lineRule="exact"/>
        <w:rPr>
          <w:sz w:val="20"/>
          <w:szCs w:val="20"/>
          <w:color w:val="auto"/>
        </w:rPr>
      </w:pPr>
    </w:p>
    <w:p>
      <w:pPr>
        <w:spacing w:after="0" w:line="33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54" w:right="319" w:bottom="1440" w:gutter="0" w:footer="0" w:header="0"/>
        </w:sectPr>
      </w:pPr>
    </w:p>
    <w:bookmarkStart w:id="62" w:name="page63"/>
    <w:bookmarkEnd w:id="62"/>
    <w:p>
      <w:pPr>
        <w:ind w:right="20"/>
        <w:spacing w:after="0" w:line="284" w:lineRule="auto"/>
        <w:rPr>
          <w:sz w:val="20"/>
          <w:szCs w:val="20"/>
          <w:color w:val="auto"/>
        </w:rPr>
      </w:pPr>
      <w:r>
        <w:rPr>
          <w:rFonts w:ascii="Times New Roman" w:cs="Times New Roman" w:eastAsia="Times New Roman" w:hAnsi="Times New Roman"/>
          <w:sz w:val="17"/>
          <w:szCs w:val="17"/>
          <w:color w:val="auto"/>
        </w:rPr>
        <w:t>book entries recording the record ownership of shares of DXL Common Stock shall bear such annotations as DXL may reasonably deem necessary in connection therewith.</w:t>
      </w:r>
    </w:p>
    <w:p>
      <w:pPr>
        <w:spacing w:after="0" w:line="129" w:lineRule="exact"/>
        <w:rPr>
          <w:sz w:val="20"/>
          <w:szCs w:val="20"/>
          <w:color w:val="auto"/>
        </w:rPr>
      </w:pPr>
    </w:p>
    <w:p>
      <w:pPr>
        <w:jc w:val="both"/>
        <w:ind w:firstLine="1496"/>
        <w:spacing w:after="0" w:line="248" w:lineRule="auto"/>
        <w:tabs>
          <w:tab w:leader="none" w:pos="1848"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DXL and FBB shall prepare, and DXL shall file with the SEC, as promptly as practicable after the date of this Agreement, a proxy statement in preliminary form relating to the DXL Stockholders Meeting (such proxy statement, including any amendment or supplement thereto, the “</w:t>
      </w:r>
      <w:r>
        <w:rPr>
          <w:rFonts w:ascii="Times New Roman" w:cs="Times New Roman" w:eastAsia="Times New Roman" w:hAnsi="Times New Roman"/>
          <w:sz w:val="17"/>
          <w:szCs w:val="17"/>
          <w:u w:val="single" w:color="auto"/>
          <w:color w:val="auto"/>
        </w:rPr>
        <w:t>Proxy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Statement</w:t>
      </w:r>
      <w:r>
        <w:rPr>
          <w:rFonts w:ascii="Times New Roman" w:cs="Times New Roman" w:eastAsia="Times New Roman" w:hAnsi="Times New Roman"/>
          <w:sz w:val="17"/>
          <w:szCs w:val="17"/>
          <w:color w:val="auto"/>
        </w:rPr>
        <w:t>”). DXL covenants and agrees that the Proxy Statement will comply in all material respects with the applicable provisions of the Exchange Act and the rules and regulations thereunder. Each of DXL and FBB agrees, as to itself and its Affiliates, that none of the information supplied by it or any of its Affiliates for inclusion or incorporation by reference in the Proxy Statement will, at the date of mailing to stockholders of DXL or at the time of the DXL Stockholders Meeting, contain any untrue statement of a material fact or omit to state any material fact required to be stated therein or necessary in order to make the statements therein, in light of the circumstances under which they were made, not misleading. DXL shall promptly notify FBB of the receipt of all comments of the SEC with respect to the Proxy Statement and of any request by the SEC for any amendment or supplement thereto or for additional information and shall promptly provide to FBB copies of all written correspondence between DXL and/or any of its Representatives, on the one hand, and the SEC, on the other hand, with respect to the Proxy Statement. DXL and FBB shall each use their respective reasonable best efforts to promptly provide responses to the SEC with respect to all comments received on the Proxy Statement by the SEC and DXL shall cause the definitive Proxy Statement to be mailed as promptly as possible after the date that the Proxy Statement is cleared by the SEC for mailing to DXL’s stockholders (the “</w:t>
      </w:r>
      <w:r>
        <w:rPr>
          <w:rFonts w:ascii="Times New Roman" w:cs="Times New Roman" w:eastAsia="Times New Roman" w:hAnsi="Times New Roman"/>
          <w:sz w:val="17"/>
          <w:szCs w:val="17"/>
          <w:u w:val="single" w:color="auto"/>
          <w:color w:val="auto"/>
        </w:rPr>
        <w:t>Clearance Date</w:t>
      </w:r>
      <w:r>
        <w:rPr>
          <w:rFonts w:ascii="Times New Roman" w:cs="Times New Roman" w:eastAsia="Times New Roman" w:hAnsi="Times New Roman"/>
          <w:sz w:val="17"/>
          <w:szCs w:val="17"/>
          <w:color w:val="auto"/>
        </w:rPr>
        <w:t>”). Notwithstanding the foregoing, prior to filing or distributing the Proxy Statement (or any amendment or supplement thereto) or responding to any comments from the SEC or the staff of the SEC with respect thereto, DXL (A) shall provide FBB with a reasonable opportunity to review and comment on such document or response, including the proposed final version of such document or response (unless, in the case of responding to comments from the SEC or the staff of the SEC, pursuant to a telephone call initiated by the SEC), (B) shall in good faith consider for inclusion in such document or response all comments reasonably proposed by FBB and (C) shall not file or distribute such document or respond to the SEC prior to receiving the approval of FBB, which approval shall not be unreasonably withheld, conditioned or delayed; provided</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 xml:space="preserve"> that with respect to documents filed by DXL that are incorporated by reference in the Proxy Statement, this right of approval shall apply only with respect to information relating to FBB or its business, financial condition or results of operations, or the combined entity. Each of FBB and DXL shall also take any other action (other than qualifying to do business in any jurisdiction in which it is not now so qualified) required to be taken under the Securities Act, the Exchange Act, any applicable state securities or “blue sky” laws and the rules and regulations thereunder in connection with the Transactions.</w:t>
      </w:r>
    </w:p>
    <w:p>
      <w:pPr>
        <w:spacing w:after="0" w:line="169" w:lineRule="exact"/>
        <w:rPr>
          <w:rFonts w:ascii="Times New Roman" w:cs="Times New Roman" w:eastAsia="Times New Roman" w:hAnsi="Times New Roman"/>
          <w:sz w:val="17"/>
          <w:szCs w:val="17"/>
          <w:color w:val="auto"/>
        </w:rPr>
      </w:pPr>
    </w:p>
    <w:p>
      <w:pPr>
        <w:jc w:val="both"/>
        <w:ind w:right="20" w:firstLine="1496"/>
        <w:spacing w:after="0" w:line="265" w:lineRule="auto"/>
        <w:tabs>
          <w:tab w:leader="none" w:pos="1848"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FBB shall use its reasonable best efforts to obtain the FBB Stockholder Approval and deliver a written consent of holders of FBB Capital Stock representing the FBB Stockholder Approval (the “</w:t>
      </w:r>
      <w:r>
        <w:rPr>
          <w:rFonts w:ascii="Times New Roman" w:cs="Times New Roman" w:eastAsia="Times New Roman" w:hAnsi="Times New Roman"/>
          <w:sz w:val="17"/>
          <w:szCs w:val="17"/>
          <w:u w:val="single" w:color="auto"/>
          <w:color w:val="auto"/>
        </w:rPr>
        <w:t>FBB Written Consent</w:t>
      </w:r>
      <w:r>
        <w:rPr>
          <w:rFonts w:ascii="Times New Roman" w:cs="Times New Roman" w:eastAsia="Times New Roman" w:hAnsi="Times New Roman"/>
          <w:sz w:val="17"/>
          <w:szCs w:val="17"/>
          <w:color w:val="auto"/>
        </w:rPr>
        <w:t>”) as soon as reasonably practicable following the execution of this Agreement, but in no event more than forty-eight (48) hours following such execution.</w:t>
      </w:r>
    </w:p>
    <w:p>
      <w:pPr>
        <w:spacing w:after="0" w:line="144" w:lineRule="exact"/>
        <w:rPr>
          <w:rFonts w:ascii="Times New Roman" w:cs="Times New Roman" w:eastAsia="Times New Roman" w:hAnsi="Times New Roman"/>
          <w:sz w:val="17"/>
          <w:szCs w:val="17"/>
          <w:color w:val="auto"/>
        </w:rPr>
      </w:pPr>
    </w:p>
    <w:p>
      <w:pPr>
        <w:jc w:val="both"/>
        <w:ind w:firstLine="1496"/>
        <w:spacing w:after="0" w:line="253" w:lineRule="auto"/>
        <w:tabs>
          <w:tab w:leader="none" w:pos="1848"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Promptly following the date of the FBB Stockholder Approval, FBB shall mail a notice (the “ </w:t>
      </w:r>
      <w:r>
        <w:rPr>
          <w:rFonts w:ascii="Times New Roman" w:cs="Times New Roman" w:eastAsia="Times New Roman" w:hAnsi="Times New Roman"/>
          <w:sz w:val="17"/>
          <w:szCs w:val="17"/>
          <w:u w:val="single" w:color="auto"/>
          <w:color w:val="auto"/>
        </w:rPr>
        <w:t>FBB Stockholder Notice</w:t>
      </w:r>
      <w:r>
        <w:rPr>
          <w:rFonts w:ascii="Times New Roman" w:cs="Times New Roman" w:eastAsia="Times New Roman" w:hAnsi="Times New Roman"/>
          <w:sz w:val="17"/>
          <w:szCs w:val="17"/>
          <w:color w:val="auto"/>
        </w:rPr>
        <w:t>”) to every holder of shares of FBB Capital Stock that did not execute the FBB Written Consent. The FBB Stockholder Notice shall (i) be a statement to the effect that the FBB Board unanimously determined that the Merger is advisable in accordance with Section 251(b) of the DGCL and in the best interests of the stockholders of FBB and unanimously approved and adopted this Agreement, the Merger, the FBB Charter Amendment, the COD Amendment and the other Transactions, (ii) provide the stockholders of FBB to whom it is sent with notice of the actions taken in the FBB Written Consent, including the approval and adoption of this Agreement, the Merger, the FBB Charter Amendment, the COD Amendment and the other Transactions in accordance with Section 228(e) of the DGCL and the FBB Charter and (iii) notify such stockholders of their appraisal rights pursuant to Section 262 of the DGCL.</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63" w:name="page64"/>
    <w:bookmarkEnd w:id="63"/>
    <w:p>
      <w:pPr>
        <w:jc w:val="both"/>
        <w:ind w:left="5"/>
        <w:spacing w:after="0" w:line="259" w:lineRule="auto"/>
        <w:rPr>
          <w:sz w:val="20"/>
          <w:szCs w:val="20"/>
          <w:color w:val="auto"/>
        </w:rPr>
      </w:pPr>
      <w:r>
        <w:rPr>
          <w:rFonts w:ascii="Times New Roman" w:cs="Times New Roman" w:eastAsia="Times New Roman" w:hAnsi="Times New Roman"/>
          <w:sz w:val="17"/>
          <w:szCs w:val="17"/>
          <w:color w:val="auto"/>
        </w:rPr>
        <w:t>The FBB Stockholder Notice shall include therewith a copy of, or hyperlink to, Section 262 of the DGCL and all such material information and other information as DXL shall reasonably request, and the date on which the FBB Stockholder Notice is given shall be the start of the twenty (20) day period during which a stockholder of FBB must demand appraisal of such stockholder’s FBB Common Stock as contemplated by Section 262(d)(2) of the DGCL. All materials submitted to the stockholders of FBB in accordance with this ‎Section 6.01(d) shall be subject to DXL’s advance review and reasonable approval, which approval shall not be unreasonably withheld or delayed.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2735580</wp:posOffset>
            </wp:positionH>
            <wp:positionV relativeFrom="paragraph">
              <wp:posOffset>-160655</wp:posOffset>
            </wp:positionV>
            <wp:extent cx="641985"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41985" cy="7620"/>
                    </a:xfrm>
                    <a:prstGeom prst="rect">
                      <a:avLst/>
                    </a:prstGeom>
                    <a:noFill/>
                  </pic:spPr>
                </pic:pic>
              </a:graphicData>
            </a:graphic>
          </wp:anchor>
        </w:drawing>
      </w:r>
    </w:p>
    <w:p>
      <w:pPr>
        <w:spacing w:after="0" w:line="132" w:lineRule="exact"/>
        <w:rPr>
          <w:sz w:val="20"/>
          <w:szCs w:val="20"/>
          <w:color w:val="auto"/>
        </w:rPr>
      </w:pPr>
    </w:p>
    <w:p>
      <w:pPr>
        <w:jc w:val="both"/>
        <w:ind w:left="5" w:firstLine="1496"/>
        <w:spacing w:after="0" w:line="253" w:lineRule="auto"/>
        <w:tabs>
          <w:tab w:leader="none" w:pos="1853"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soon as reasonably practicable following the execution of this Agreement, FBB and DXL shall jointly prepare and deliver to all holders of FBB Common Stock who are not “accredited investors” as defined in Rule 501(a) of Regulation D under the Securities Act an information statement (“</w:t>
      </w:r>
      <w:r>
        <w:rPr>
          <w:rFonts w:ascii="Times New Roman" w:cs="Times New Roman" w:eastAsia="Times New Roman" w:hAnsi="Times New Roman"/>
          <w:sz w:val="17"/>
          <w:szCs w:val="17"/>
          <w:u w:val="single" w:color="auto"/>
          <w:color w:val="auto"/>
        </w:rPr>
        <w:t>Information Statement</w:t>
      </w:r>
      <w:r>
        <w:rPr>
          <w:rFonts w:ascii="Times New Roman" w:cs="Times New Roman" w:eastAsia="Times New Roman" w:hAnsi="Times New Roman"/>
          <w:sz w:val="17"/>
          <w:szCs w:val="17"/>
          <w:color w:val="auto"/>
        </w:rPr>
        <w:t>”) containing the information with respect to the DXL Common Stock required to comply with the information and disclosure requirements set forth in Rules 502 and 506 of Regulation D promulgated under the Securities Act. Each of DXL and FBB shall furnish all information (including financial statements) concerning such Person and its Affiliates to the other, and provide such other assistance, as may be reasonably requested in connection with the preparation and delivery of the Information Statement. DXL shall provide a draft of the Information Statement and related materials to FBB within a reasonable period of time prior to the dispatch thereof and will consider in good faith any comments proposed by FBB.</w:t>
      </w:r>
    </w:p>
    <w:p>
      <w:pPr>
        <w:spacing w:after="0" w:line="154" w:lineRule="exact"/>
        <w:rPr>
          <w:rFonts w:ascii="Times New Roman" w:cs="Times New Roman" w:eastAsia="Times New Roman" w:hAnsi="Times New Roman"/>
          <w:sz w:val="17"/>
          <w:szCs w:val="17"/>
          <w:color w:val="auto"/>
        </w:rPr>
      </w:pPr>
    </w:p>
    <w:p>
      <w:pPr>
        <w:jc w:val="both"/>
        <w:ind w:left="5" w:firstLine="1496"/>
        <w:spacing w:after="0" w:line="265" w:lineRule="auto"/>
        <w:tabs>
          <w:tab w:leader="none" w:pos="1853"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soon as reasonably practicable following the execution of this Agreement, DXL shall provide and FBB shall distribute to each FBB Stockholder an investor questionnaire in form and substance reasonably satisfactory to FBB regarding whether such FBB Stockholder is an “accredited investor” as defined in Rule 501(a) of Regulation D under the Securities Act. FBB shall use commercially reasonable efforts to cause each FBB Stockholder to return the investor questionnaires by the tenth (10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7"/>
          <w:szCs w:val="17"/>
          <w:color w:val="auto"/>
        </w:rPr>
        <w:t>) Business Day following the date on which the investor questionnaire form was delivered.</w:t>
      </w:r>
    </w:p>
    <w:p>
      <w:pPr>
        <w:spacing w:after="0" w:line="65" w:lineRule="exact"/>
        <w:rPr>
          <w:rFonts w:ascii="Times New Roman" w:cs="Times New Roman" w:eastAsia="Times New Roman" w:hAnsi="Times New Roman"/>
          <w:sz w:val="17"/>
          <w:szCs w:val="17"/>
          <w:color w:val="auto"/>
        </w:rPr>
      </w:pPr>
    </w:p>
    <w:p>
      <w:pPr>
        <w:jc w:val="both"/>
        <w:ind w:left="5" w:right="20" w:firstLine="1496"/>
        <w:spacing w:after="0" w:line="265" w:lineRule="auto"/>
        <w:tabs>
          <w:tab w:leader="none" w:pos="1853"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Simultaneously with the execution of this Agreement, DXL, as the sole stockholder of Merger Sub, has executed and delivered a written consent approving this Agreement effective after the execution and delivery of this Agreement in accordance with the DGCL and provided a copy of such written consent to FBB.</w:t>
      </w:r>
    </w:p>
    <w:p>
      <w:pPr>
        <w:spacing w:after="0" w:line="144" w:lineRule="exact"/>
        <w:rPr>
          <w:rFonts w:ascii="Times New Roman" w:cs="Times New Roman" w:eastAsia="Times New Roman" w:hAnsi="Times New Roman"/>
          <w:sz w:val="17"/>
          <w:szCs w:val="17"/>
          <w:color w:val="auto"/>
        </w:rPr>
      </w:pPr>
    </w:p>
    <w:p>
      <w:pPr>
        <w:jc w:val="both"/>
        <w:ind w:left="5" w:firstLine="1496"/>
        <w:spacing w:after="0" w:line="251" w:lineRule="auto"/>
        <w:tabs>
          <w:tab w:leader="none" w:pos="1853"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DXL shall (i) as soon as reasonably practicable (but in any event within seven (7) Business Days) following the Clearance Date, establish a record date for, duly call and give notice of, and commence mailing (if required by applicable law) of the Proxy Statement to the DXL stockholders as of the record date established for, the DXL Stockholders Meeting and (ii) as soon as reasonably practicable (but in any event within twenty-five (25) Business Days) following the furnishing of the Proxy Statement to the SEC, convene and hold the DXL Stockholders Meeting; provided that DXL may adjourn or postpone the DXL Stockholders Meeting to a later date to the extent DXL believes in good faith that such adjournment or postponement is reasonably necessary</w:t>
      </w:r>
    </w:p>
    <w:p>
      <w:pPr>
        <w:spacing w:after="0" w:line="3" w:lineRule="exact"/>
        <w:rPr>
          <w:rFonts w:ascii="Times New Roman" w:cs="Times New Roman" w:eastAsia="Times New Roman" w:hAnsi="Times New Roman"/>
          <w:sz w:val="17"/>
          <w:szCs w:val="17"/>
          <w:color w:val="auto"/>
        </w:rPr>
      </w:pPr>
    </w:p>
    <w:p>
      <w:pPr>
        <w:jc w:val="both"/>
        <w:ind w:left="5" w:hanging="5"/>
        <w:spacing w:after="0" w:line="248" w:lineRule="auto"/>
        <w:tabs>
          <w:tab w:leader="none" w:pos="23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ensure that any required supplement or amendment to the Proxy Statement is provided to the DXL stockholders within a reasonable amount of time in advance of the DXL Stockholders Meeting, (ii) to allow reasonable additional time to solicit additional proxies necessary to obtain the Required DXL Stockholder Vote, (iii) to ensure that there are sufficient shares of DXL Capital Stock represented (either in person or by proxy) to constitute a quorum necessary to conduct the business of the DXL Stockholders Meeting or (iv) otherwise to comply with applicable Law (provided, that, unless agreed in writing by DXL and FBB, all such adjournments, recesses or postponements shall be for periods of no more than twenty (20) Business Days each (not to exceed twenty (20) Business Days in the aggregate without FBB’s written consent)). DXL shall use its reasonable best efforts to solicit the Required DXL Stockholder Vote and shall, through the DXL Board, recommend to its stockholders that they give the Required DXL Stockholder Vote and shall include such recommendation in the Proxy Statement.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54" w:right="319" w:bottom="1440" w:gutter="0" w:footer="0" w:header="0"/>
        </w:sectPr>
      </w:pPr>
    </w:p>
    <w:bookmarkStart w:id="64" w:name="page65"/>
    <w:bookmarkEnd w:id="64"/>
    <w:p>
      <w:pPr>
        <w:ind w:left="1225"/>
        <w:spacing w:after="0"/>
        <w:tabs>
          <w:tab w:leader="none" w:pos="2585" w:val="left"/>
        </w:tabs>
        <w:rPr>
          <w:sz w:val="20"/>
          <w:szCs w:val="20"/>
          <w:color w:val="auto"/>
        </w:rPr>
      </w:pPr>
      <w:r>
        <w:rPr>
          <w:rFonts w:ascii="Times New Roman" w:cs="Times New Roman" w:eastAsia="Times New Roman" w:hAnsi="Times New Roman"/>
          <w:sz w:val="17"/>
          <w:szCs w:val="17"/>
          <w:b w:val="1"/>
          <w:bCs w:val="1"/>
          <w:u w:val="single" w:color="auto"/>
          <w:color w:val="auto"/>
        </w:rPr>
        <w:t>SECTION 6.02</w:t>
      </w:r>
      <w:r>
        <w:rPr>
          <w:sz w:val="20"/>
          <w:szCs w:val="20"/>
          <w:color w:val="auto"/>
        </w:rPr>
        <w:tab/>
      </w:r>
      <w:r>
        <w:rPr>
          <w:rFonts w:ascii="Times New Roman" w:cs="Times New Roman" w:eastAsia="Times New Roman" w:hAnsi="Times New Roman"/>
          <w:sz w:val="17"/>
          <w:szCs w:val="17"/>
          <w:b w:val="1"/>
          <w:bCs w:val="1"/>
          <w:u w:val="single" w:color="auto"/>
          <w:color w:val="auto"/>
        </w:rPr>
        <w:t>Resale Registration Statement</w:t>
      </w:r>
      <w:r>
        <w:rPr>
          <w:rFonts w:ascii="Times New Roman" w:cs="Times New Roman" w:eastAsia="Times New Roman" w:hAnsi="Times New Roman"/>
          <w:sz w:val="17"/>
          <w:szCs w:val="17"/>
          <w:color w:val="auto"/>
        </w:rPr>
        <w:t>.</w:t>
      </w:r>
    </w:p>
    <w:p>
      <w:pPr>
        <w:spacing w:after="0" w:line="197" w:lineRule="exact"/>
        <w:rPr>
          <w:sz w:val="20"/>
          <w:szCs w:val="20"/>
          <w:color w:val="auto"/>
        </w:rPr>
      </w:pPr>
    </w:p>
    <w:p>
      <w:pPr>
        <w:jc w:val="both"/>
        <w:ind w:left="5" w:firstLine="1496"/>
        <w:spacing w:after="0" w:line="256" w:lineRule="auto"/>
        <w:tabs>
          <w:tab w:leader="none" w:pos="1853" w:val="left"/>
        </w:tabs>
        <w:numPr>
          <w:ilvl w:val="1"/>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DXL shall use reasonable best efforts to prepare and file with the SEC within thirty (30) calendar days of the Closing a registration statement of DXL (the “</w:t>
      </w:r>
      <w:r>
        <w:rPr>
          <w:rFonts w:ascii="Times New Roman" w:cs="Times New Roman" w:eastAsia="Times New Roman" w:hAnsi="Times New Roman"/>
          <w:sz w:val="17"/>
          <w:szCs w:val="17"/>
          <w:u w:val="single" w:color="auto"/>
          <w:color w:val="auto"/>
        </w:rPr>
        <w:t>Resale Registration Statement</w:t>
      </w:r>
      <w:r>
        <w:rPr>
          <w:rFonts w:ascii="Times New Roman" w:cs="Times New Roman" w:eastAsia="Times New Roman" w:hAnsi="Times New Roman"/>
          <w:sz w:val="17"/>
          <w:szCs w:val="17"/>
          <w:color w:val="auto"/>
        </w:rPr>
        <w:t>”) registering the resale by the FBB Stockholders (the “</w:t>
      </w:r>
      <w:r>
        <w:rPr>
          <w:rFonts w:ascii="Times New Roman" w:cs="Times New Roman" w:eastAsia="Times New Roman" w:hAnsi="Times New Roman"/>
          <w:sz w:val="17"/>
          <w:szCs w:val="17"/>
          <w:u w:val="single" w:color="auto"/>
          <w:color w:val="auto"/>
        </w:rPr>
        <w:t>FBB Selling Stockholders</w:t>
      </w:r>
      <w:r>
        <w:rPr>
          <w:rFonts w:ascii="Times New Roman" w:cs="Times New Roman" w:eastAsia="Times New Roman" w:hAnsi="Times New Roman"/>
          <w:sz w:val="17"/>
          <w:szCs w:val="17"/>
          <w:color w:val="auto"/>
        </w:rPr>
        <w:t>”) of the Merger Consideration issued in connection with this Agreement and the Transactions. DXL will use its reasonable best efforts to ensure that the Resale Registration Statement, together with the documents incorporated by reference therein, complies as to form in all material respects with the applicable provisions of the Securities Act and the Exchange Act, as applicable.</w:t>
      </w:r>
    </w:p>
    <w:p>
      <w:pPr>
        <w:spacing w:after="0" w:line="151" w:lineRule="exact"/>
        <w:rPr>
          <w:rFonts w:ascii="Times New Roman" w:cs="Times New Roman" w:eastAsia="Times New Roman" w:hAnsi="Times New Roman"/>
          <w:sz w:val="17"/>
          <w:szCs w:val="17"/>
          <w:color w:val="auto"/>
        </w:rPr>
      </w:pPr>
    </w:p>
    <w:p>
      <w:pPr>
        <w:jc w:val="both"/>
        <w:ind w:left="5" w:firstLine="1496"/>
        <w:spacing w:after="0" w:line="250" w:lineRule="auto"/>
        <w:tabs>
          <w:tab w:leader="none" w:pos="1853" w:val="left"/>
        </w:tabs>
        <w:numPr>
          <w:ilvl w:val="1"/>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Resale Registration Statement is not an Automatic Shelf Registration Statement, DXL shall use its reasonable best efforts to have the Resale Registration Statement declared effective under the Securities Act as soon as practicable after such Resale Registration Statement is filed. Once declared effective, or, if DXL is eligible to file the Resale Registration Statement on Form S-3 pursuant to Rule 462(e) under the Securities Act (an “</w:t>
      </w:r>
      <w:r>
        <w:rPr>
          <w:rFonts w:ascii="Times New Roman" w:cs="Times New Roman" w:eastAsia="Times New Roman" w:hAnsi="Times New Roman"/>
          <w:sz w:val="17"/>
          <w:szCs w:val="17"/>
          <w:u w:val="single" w:color="auto"/>
          <w:color w:val="auto"/>
        </w:rPr>
        <w:t>Automatic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Shelf Registration Statement</w:t>
      </w:r>
      <w:r>
        <w:rPr>
          <w:rFonts w:ascii="Times New Roman" w:cs="Times New Roman" w:eastAsia="Times New Roman" w:hAnsi="Times New Roman"/>
          <w:sz w:val="17"/>
          <w:szCs w:val="17"/>
          <w:color w:val="auto"/>
        </w:rPr>
        <w:t>”), and such Resale Registration Statement is an Automatic Shelf Registration Statement, once the Resale Registration Statement is filed, DXL shall, subject to the other applicable provisions of this Agreement, use reasonable best efforts to cause the Resale Registration Statement to be continuously effective and usable until the date that is the 36-month anniversary of the Closing Date, or such earlier time as (i) all shares of DXL Common Stock</w:t>
      </w:r>
    </w:p>
    <w:p>
      <w:pPr>
        <w:spacing w:after="0" w:line="4" w:lineRule="exact"/>
        <w:rPr>
          <w:rFonts w:ascii="Times New Roman" w:cs="Times New Roman" w:eastAsia="Times New Roman" w:hAnsi="Times New Roman"/>
          <w:sz w:val="17"/>
          <w:szCs w:val="17"/>
          <w:color w:val="auto"/>
        </w:rPr>
      </w:pPr>
    </w:p>
    <w:p>
      <w:pPr>
        <w:jc w:val="both"/>
        <w:ind w:left="5" w:right="20"/>
        <w:spacing w:after="0" w:line="24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covered by such Resale Registration Statement (as used in this Section‎ 6.02, “</w:t>
      </w:r>
      <w:r>
        <w:rPr>
          <w:rFonts w:ascii="Times New Roman" w:cs="Times New Roman" w:eastAsia="Times New Roman" w:hAnsi="Times New Roman"/>
          <w:sz w:val="17"/>
          <w:szCs w:val="17"/>
          <w:u w:val="single" w:color="auto"/>
          <w:color w:val="auto"/>
        </w:rPr>
        <w:t>Registrable Securities</w:t>
      </w:r>
      <w:r>
        <w:rPr>
          <w:rFonts w:ascii="Times New Roman" w:cs="Times New Roman" w:eastAsia="Times New Roman" w:hAnsi="Times New Roman"/>
          <w:sz w:val="17"/>
          <w:szCs w:val="17"/>
          <w:color w:val="auto"/>
        </w:rPr>
        <w:t>”) have been sold pursuant to such Resale Registration Statement or otherwise or (ii) no FBB Significant Stockholder is an “affiliate” of DXL or owns at least 1% of the total DXL Common Stock then outstanding; provided, that if, during the period between (1) the 36-month anniversary and (2) the first date that no FBB Significant Stockholder (A) on an individual basis, directly holds five percent (5%) or more of the total DXL Common Stock then outstanding and (B) is an Affiliate of DXL (regardless of ownership percentage),</w:t>
      </w:r>
    </w:p>
    <w:p>
      <w:pPr>
        <w:spacing w:after="0" w:line="2" w:lineRule="exact"/>
        <w:rPr>
          <w:rFonts w:ascii="Times New Roman" w:cs="Times New Roman" w:eastAsia="Times New Roman" w:hAnsi="Times New Roman"/>
          <w:sz w:val="17"/>
          <w:szCs w:val="17"/>
          <w:color w:val="auto"/>
        </w:rPr>
      </w:pPr>
    </w:p>
    <w:p>
      <w:pPr>
        <w:jc w:val="both"/>
        <w:ind w:left="5" w:right="20"/>
        <w:spacing w:after="0" w:line="24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DXL has not yet completed the Maximum Number of Takedowns at the request of any FBB Significant Stockholder permitted pursuant to Section‎ 6.02(d) hereof, DXL shall, upon receipt of a valid Demand Notice delivered at least ten (10) Business Days in advance by any FBB Significant Stockholder requesting</w:t>
      </w:r>
    </w:p>
    <w:p>
      <w:pPr>
        <w:spacing w:after="0" w:line="1" w:lineRule="exact"/>
        <w:rPr>
          <w:rFonts w:ascii="Times New Roman" w:cs="Times New Roman" w:eastAsia="Times New Roman" w:hAnsi="Times New Roman"/>
          <w:sz w:val="17"/>
          <w:szCs w:val="17"/>
          <w:color w:val="auto"/>
        </w:rPr>
      </w:pPr>
    </w:p>
    <w:p>
      <w:pPr>
        <w:jc w:val="both"/>
        <w:ind w:left="5" w:right="20"/>
        <w:spacing w:after="0" w:line="24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DXL facilitate a takedown pursuant to Section‎ 6.02(d) hereof, again file a Resale Registration Statement (or a registration statement on any such other form as DXL deems appropriate), which may be an Automatic Shelf Registration Statement, if DXL is so eligible, and facilitate a “takedown” (which may include</w:t>
      </w:r>
    </w:p>
    <w:p>
      <w:pPr>
        <w:spacing w:after="0" w:line="1" w:lineRule="exact"/>
        <w:rPr>
          <w:rFonts w:ascii="Times New Roman" w:cs="Times New Roman" w:eastAsia="Times New Roman" w:hAnsi="Times New Roman"/>
          <w:sz w:val="17"/>
          <w:szCs w:val="17"/>
          <w:color w:val="auto"/>
        </w:rPr>
      </w:pPr>
    </w:p>
    <w:p>
      <w:pPr>
        <w:jc w:val="both"/>
        <w:ind w:left="5"/>
        <w:spacing w:after="0" w:line="24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Underwritten Offerings) pursuant to this Section‎ 6.02, and shall have no further obligation to cause such Resale Registration Statement (or such other form) to be effective and usable beyond the completion of such takedown; provided, further, however, that DXL shall not be deemed to have breached its obligations under</w:t>
      </w:r>
    </w:p>
    <w:p>
      <w:pPr>
        <w:spacing w:after="0" w:line="1" w:lineRule="exact"/>
        <w:rPr>
          <w:rFonts w:ascii="Times New Roman" w:cs="Times New Roman" w:eastAsia="Times New Roman" w:hAnsi="Times New Roman"/>
          <w:sz w:val="17"/>
          <w:szCs w:val="17"/>
          <w:color w:val="auto"/>
        </w:rPr>
      </w:pPr>
    </w:p>
    <w:p>
      <w:pPr>
        <w:jc w:val="both"/>
        <w:ind w:left="5" w:right="20"/>
        <w:spacing w:after="0" w:line="24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Section‎ 6.02, (x) if DXL shall fail to fulfill its obligations under this Section‎ 6.02 at a time when trading of DXL Common Stock has been suspended under DXL’s insider trading policies, including if DXL reasonably believes that it is in possession of material nonpublic information involving DXL, the failure of which to be disclosed in the prospectus included in the Resale Registration Statement could result in a violation of applicable Law or (y) if FBB has failed to</w:t>
      </w:r>
    </w:p>
    <w:p>
      <w:pPr>
        <w:spacing w:after="0" w:line="2" w:lineRule="exact"/>
        <w:rPr>
          <w:rFonts w:ascii="Times New Roman" w:cs="Times New Roman" w:eastAsia="Times New Roman" w:hAnsi="Times New Roman"/>
          <w:sz w:val="17"/>
          <w:szCs w:val="17"/>
          <w:color w:val="auto"/>
        </w:rPr>
      </w:pPr>
    </w:p>
    <w:p>
      <w:pPr>
        <w:jc w:val="both"/>
        <w:ind w:left="5"/>
        <w:spacing w:after="0" w:line="24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 or comply with its covenants in this Section‎ 6.02; provided, that the number of such suspensions or delays under this Section‎ 6.02(b) shall not exceed two in any twelve (12) month period following the Closing Date (and in total the suspensions or delays shall not exceed a suspension or delay of more than ninety</w:t>
      </w:r>
    </w:p>
    <w:p>
      <w:pPr>
        <w:spacing w:after="0" w:line="1" w:lineRule="exact"/>
        <w:rPr>
          <w:rFonts w:ascii="Times New Roman" w:cs="Times New Roman" w:eastAsia="Times New Roman" w:hAnsi="Times New Roman"/>
          <w:sz w:val="17"/>
          <w:szCs w:val="17"/>
          <w:color w:val="auto"/>
        </w:rPr>
      </w:pPr>
    </w:p>
    <w:p>
      <w:pPr>
        <w:ind w:left="325" w:hanging="325"/>
        <w:spacing w:after="0"/>
        <w:tabs>
          <w:tab w:leader="none" w:pos="325"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calendar days during any such twelve (12) month period).</w:t>
      </w:r>
    </w:p>
    <w:p>
      <w:pPr>
        <w:spacing w:after="0" w:line="174" w:lineRule="exact"/>
        <w:rPr>
          <w:rFonts w:ascii="Times New Roman" w:cs="Times New Roman" w:eastAsia="Times New Roman" w:hAnsi="Times New Roman"/>
          <w:sz w:val="17"/>
          <w:szCs w:val="17"/>
          <w:color w:val="auto"/>
        </w:rPr>
      </w:pPr>
    </w:p>
    <w:p>
      <w:pPr>
        <w:jc w:val="both"/>
        <w:ind w:left="5" w:firstLine="1496"/>
        <w:spacing w:after="0" w:line="256" w:lineRule="auto"/>
        <w:tabs>
          <w:tab w:leader="none" w:pos="1853"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the Effective Time, FBB shall cooperate (and use its reasonable best efforts to cause its Representatives to cooperate) with DXL, and use reasonable best efforts to promptly furnish to DXL (and use its reasonable best efforts to cause its Representatives to furnish) all information concerning it as is required by the SEC to be included in the Resale Registration Statement (including any financial statements required to be included therein or incorporated therein by reference) or in connection with DXL’s SEC reporting obligations related to this Agreement or the Transactions. Without limiting the foregoing, prior to the Effective Time, FBB shall use reasonable best efforts to provide (and use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2947035</wp:posOffset>
            </wp:positionH>
            <wp:positionV relativeFrom="paragraph">
              <wp:posOffset>-2705735</wp:posOffset>
            </wp:positionV>
            <wp:extent cx="593090"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93090" cy="7620"/>
                    </a:xfrm>
                    <a:prstGeom prst="rect">
                      <a:avLst/>
                    </a:prstGeom>
                    <a:noFill/>
                  </pic:spPr>
                </pic:pic>
              </a:graphicData>
            </a:graphic>
          </wp:anchor>
        </w:drawing>
        <w:drawing>
          <wp:anchor simplePos="0" relativeHeight="251657728" behindDoc="1" locked="0" layoutInCell="0" allowOverlap="1">
            <wp:simplePos x="0" y="0"/>
            <wp:positionH relativeFrom="column">
              <wp:posOffset>6456680</wp:posOffset>
            </wp:positionH>
            <wp:positionV relativeFrom="paragraph">
              <wp:posOffset>-2195195</wp:posOffset>
            </wp:positionV>
            <wp:extent cx="685800"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0" cy="7620"/>
                    </a:xfrm>
                    <a:prstGeom prst="rect">
                      <a:avLst/>
                    </a:prstGeom>
                    <a:noFill/>
                  </pic:spPr>
                </pic:pic>
              </a:graphicData>
            </a:graphic>
          </wp:anchor>
        </w:drawing>
        <w:drawing>
          <wp:anchor simplePos="0" relativeHeight="251657728" behindDoc="1" locked="0" layoutInCell="0" allowOverlap="1">
            <wp:simplePos x="0" y="0"/>
            <wp:positionH relativeFrom="column">
              <wp:posOffset>1932940</wp:posOffset>
            </wp:positionH>
            <wp:positionV relativeFrom="paragraph">
              <wp:posOffset>-1939925</wp:posOffset>
            </wp:positionV>
            <wp:extent cx="641985"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41985" cy="7620"/>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-1684655</wp:posOffset>
            </wp:positionV>
            <wp:extent cx="549910"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49910" cy="7620"/>
                    </a:xfrm>
                    <a:prstGeom prst="rect">
                      <a:avLst/>
                    </a:prstGeom>
                    <a:noFill/>
                  </pic:spPr>
                </pic:pic>
              </a:graphicData>
            </a:graphic>
          </wp:anchor>
        </w:drawing>
        <w:drawing>
          <wp:anchor simplePos="0" relativeHeight="251657728" behindDoc="1" locked="0" layoutInCell="0" allowOverlap="1">
            <wp:simplePos x="0" y="0"/>
            <wp:positionH relativeFrom="column">
              <wp:posOffset>186690</wp:posOffset>
            </wp:positionH>
            <wp:positionV relativeFrom="paragraph">
              <wp:posOffset>-1429385</wp:posOffset>
            </wp:positionV>
            <wp:extent cx="549910"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49910" cy="762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-1429385</wp:posOffset>
            </wp:positionV>
            <wp:extent cx="549910"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49910" cy="7620"/>
                    </a:xfrm>
                    <a:prstGeom prst="rect">
                      <a:avLst/>
                    </a:prstGeom>
                    <a:noFill/>
                  </pic:spPr>
                </pic:pic>
              </a:graphicData>
            </a:graphic>
          </wp:anchor>
        </w:drawing>
        <w:drawing>
          <wp:anchor simplePos="0" relativeHeight="251657728" behindDoc="1" locked="0" layoutInCell="0" allowOverlap="1">
            <wp:simplePos x="0" y="0"/>
            <wp:positionH relativeFrom="column">
              <wp:posOffset>2033270</wp:posOffset>
            </wp:positionH>
            <wp:positionV relativeFrom="paragraph">
              <wp:posOffset>-1046480</wp:posOffset>
            </wp:positionV>
            <wp:extent cx="557530"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57530" cy="7620"/>
                    </a:xfrm>
                    <a:prstGeom prst="rect">
                      <a:avLst/>
                    </a:prstGeom>
                    <a:noFill/>
                  </pic:spPr>
                </pic:pic>
              </a:graphicData>
            </a:graphic>
          </wp:anchor>
        </w:drawing>
        <w:drawing>
          <wp:anchor simplePos="0" relativeHeight="251657728" behindDoc="1" locked="0" layoutInCell="0" allowOverlap="1">
            <wp:simplePos x="0" y="0"/>
            <wp:positionH relativeFrom="column">
              <wp:posOffset>5698490</wp:posOffset>
            </wp:positionH>
            <wp:positionV relativeFrom="paragraph">
              <wp:posOffset>-1046480</wp:posOffset>
            </wp:positionV>
            <wp:extent cx="649605"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49605" cy="762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52" w:right="319" w:bottom="1440" w:gutter="0" w:footer="0" w:header="0"/>
        </w:sectPr>
      </w:pPr>
    </w:p>
    <w:bookmarkStart w:id="65" w:name="page66"/>
    <w:bookmarkEnd w:id="65"/>
    <w:p>
      <w:pPr>
        <w:jc w:val="both"/>
        <w:ind w:left="5"/>
        <w:spacing w:after="0" w:line="259" w:lineRule="auto"/>
        <w:rPr>
          <w:sz w:val="20"/>
          <w:szCs w:val="20"/>
          <w:color w:val="auto"/>
        </w:rPr>
      </w:pPr>
      <w:r>
        <w:rPr>
          <w:rFonts w:ascii="Times New Roman" w:cs="Times New Roman" w:eastAsia="Times New Roman" w:hAnsi="Times New Roman"/>
          <w:sz w:val="17"/>
          <w:szCs w:val="17"/>
          <w:color w:val="auto"/>
        </w:rPr>
        <w:t>reasonable best efforts to cause its Representatives to provide, as applicable) (i) audited annual and unaudited interim financial statements (including footnotes) that are timely reviewed by FBB’s independent auditor for the periods required to be included or incorporated by reference in the Resale Registration Statement,</w:t>
      </w:r>
    </w:p>
    <w:p>
      <w:pPr>
        <w:jc w:val="both"/>
        <w:ind w:left="5" w:hanging="5"/>
        <w:spacing w:after="0" w:line="249" w:lineRule="auto"/>
        <w:tabs>
          <w:tab w:leader="none" w:pos="265"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consent of FBB’s independent auditor to include or incorporate by reference audited financial statement reports in the Resale Registration Statement, (iii) information necessary to enable DXL to prepare required pro forma financial statements and related footnotes and (iv) any other information required to be included or incorporated by reference in the Resale Registration Statement, or in connection with DXL’s SEC reporting obligations related to this Agreement or the Transactions. FBB shall use its commercially reasonable efforts to cause each FBB Stockholder, no later than thirty (30) calendar days prior to the Closing, to deliver all documentation, in form and substance reasonably acceptable to DXL, necessary to determine whether or not such FBB Stockholder is an “accredited investor” (as such term is defined in Rule 501(a) under the Securities Act). Notwithstanding the foregoing, DXL may determine in its reasonable discretion that any such FBB Stockholder is an “accredited investor” (as such term is defined in Rule 501(a) under the Securities Act).</w:t>
      </w:r>
    </w:p>
    <w:p>
      <w:pPr>
        <w:spacing w:after="0" w:line="156" w:lineRule="exact"/>
        <w:rPr>
          <w:rFonts w:ascii="Times New Roman" w:cs="Times New Roman" w:eastAsia="Times New Roman" w:hAnsi="Times New Roman"/>
          <w:sz w:val="17"/>
          <w:szCs w:val="17"/>
          <w:color w:val="auto"/>
        </w:rPr>
      </w:pPr>
    </w:p>
    <w:p>
      <w:pPr>
        <w:jc w:val="both"/>
        <w:ind w:left="5" w:firstLine="1496"/>
        <w:spacing w:after="0" w:line="249" w:lineRule="auto"/>
        <w:tabs>
          <w:tab w:leader="none" w:pos="1853"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Upon the written request (each, a “ </w:t>
      </w:r>
      <w:r>
        <w:rPr>
          <w:rFonts w:ascii="Times New Roman" w:cs="Times New Roman" w:eastAsia="Times New Roman" w:hAnsi="Times New Roman"/>
          <w:sz w:val="17"/>
          <w:szCs w:val="17"/>
          <w:u w:val="single" w:color="auto"/>
          <w:color w:val="auto"/>
        </w:rPr>
        <w:t>Demand Notice</w:t>
      </w:r>
      <w:r>
        <w:rPr>
          <w:rFonts w:ascii="Times New Roman" w:cs="Times New Roman" w:eastAsia="Times New Roman" w:hAnsi="Times New Roman"/>
          <w:sz w:val="17"/>
          <w:szCs w:val="17"/>
          <w:color w:val="auto"/>
        </w:rPr>
        <w:t>”) delivered at least ten (10) Business Days in advance by any FBB Significant Stockholder who (x) on an individual basis, directly holds five percent (5%) or more of the total DXL Common Stock then outstanding, or (y) is an Affiliate of DXL (regardless of ownership percentage), at any time and from time to time that the Resale Registration Statement is effective, DXL shall use commercially reasonable efforts to facilitate a “takedown” (which may include Underwritten Offerings) of all or any portion of such FBB Significant Stockholder’s Registrable Securities off of such Resale Registration Statement, based on the dollar amount or number of Registrable Securities specified in writing by such FBB Significant Stockholder to DXL. Notwithstanding the foregoing, DXL shall not be obligated to facilitate (i) a takedown unless such takedown shall include Registrable Securities proposed to be sold by such FBB Significant Stockholder with a total offering price reasonably expected to equal or exceed, in the aggregate, $10,000,000 (or, if less, 33% of the total number of Registrable Securities received by the FBB Significant Stockholder which submitted the Demand Notice) or</w:t>
      </w:r>
    </w:p>
    <w:p>
      <w:pPr>
        <w:spacing w:after="0" w:line="5" w:lineRule="exact"/>
        <w:rPr>
          <w:rFonts w:ascii="Times New Roman" w:cs="Times New Roman" w:eastAsia="Times New Roman" w:hAnsi="Times New Roman"/>
          <w:sz w:val="17"/>
          <w:szCs w:val="17"/>
          <w:color w:val="auto"/>
        </w:rPr>
      </w:pPr>
    </w:p>
    <w:p>
      <w:pPr>
        <w:ind w:left="265" w:hanging="265"/>
        <w:spacing w:after="0"/>
        <w:tabs>
          <w:tab w:leader="none" w:pos="265"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than the Maximum Number of Takedowns per such FBB Significant Stockholder under this Section‎ 6.02(d) and, in any event, shall not be obligated to</w:t>
      </w:r>
    </w:p>
    <w:p>
      <w:pPr>
        <w:spacing w:after="0" w:line="5" w:lineRule="exact"/>
        <w:rPr>
          <w:rFonts w:ascii="Times New Roman" w:cs="Times New Roman" w:eastAsia="Times New Roman" w:hAnsi="Times New Roman"/>
          <w:sz w:val="17"/>
          <w:szCs w:val="17"/>
          <w:color w:val="auto"/>
        </w:rPr>
      </w:pPr>
    </w:p>
    <w:p>
      <w:pPr>
        <w:jc w:val="both"/>
        <w:ind w:left="5"/>
        <w:spacing w:after="0" w:line="23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facilitate a takedown under this Section‎ 6.02(d) during a closed trading window period or if DXL reasonably believes that it is or may be in possession of material nonpublic information involving DXL, the failure of which to be disclosed in the prospectus included in the Resale Registration Statement or the documents incorporated by reference therein could result in a violation of applicable Law, in which case the filing of the applicable prospectus or prospectus supplement may be delayed until the earlier of the second Business Day after DXL ceases to be in such possession and the ninetieth (90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7"/>
          <w:szCs w:val="17"/>
          <w:color w:val="auto"/>
        </w:rPr>
        <w:t>) calendar day after receipt by DXL of the</w:t>
      </w:r>
    </w:p>
    <w:p>
      <w:pPr>
        <w:ind w:left="5"/>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written request from such FBB Significant Stockholder to effect a takedown under this Section‎ 6.02(d); provided, that the number of any such delays or any delay</w:t>
      </w:r>
    </w:p>
    <w:p>
      <w:pPr>
        <w:spacing w:after="0" w:line="5" w:lineRule="exact"/>
        <w:rPr>
          <w:rFonts w:ascii="Times New Roman" w:cs="Times New Roman" w:eastAsia="Times New Roman" w:hAnsi="Times New Roman"/>
          <w:sz w:val="17"/>
          <w:szCs w:val="17"/>
          <w:color w:val="auto"/>
        </w:rPr>
      </w:pPr>
    </w:p>
    <w:p>
      <w:pPr>
        <w:ind w:left="5"/>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Section‎ 6.02‎(b) shall not exceed two in any twelve (12) month period following the Closing Date (and no more than ninety (90) calendar days in any</w:t>
      </w:r>
    </w:p>
    <w:p>
      <w:pPr>
        <w:spacing w:after="0" w:line="5" w:lineRule="exact"/>
        <w:rPr>
          <w:rFonts w:ascii="Times New Roman" w:cs="Times New Roman" w:eastAsia="Times New Roman" w:hAnsi="Times New Roman"/>
          <w:sz w:val="17"/>
          <w:szCs w:val="17"/>
          <w:color w:val="auto"/>
        </w:rPr>
      </w:pPr>
    </w:p>
    <w:p>
      <w:pPr>
        <w:jc w:val="both"/>
        <w:ind w:left="5"/>
        <w:spacing w:after="0" w:line="24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twelve (12) month period). In connection with any takedown pursuant to this Section‎ 6.02(d), DXL will as expeditiously as possible enter into such customary agreements (including an underwriting agreement in customary form with underwriters selected by such FBB Significant Stockholder and reasonably agreeable to DXL that shall consist of reputable nationally recognized investment banks), which shall include (x) customary indemnification provisions and procedures and</w:t>
      </w:r>
    </w:p>
    <w:p>
      <w:pPr>
        <w:spacing w:after="0" w:line="2" w:lineRule="exact"/>
        <w:rPr>
          <w:rFonts w:ascii="Times New Roman" w:cs="Times New Roman" w:eastAsia="Times New Roman" w:hAnsi="Times New Roman"/>
          <w:sz w:val="17"/>
          <w:szCs w:val="17"/>
          <w:color w:val="auto"/>
        </w:rPr>
      </w:pPr>
    </w:p>
    <w:p>
      <w:pPr>
        <w:jc w:val="both"/>
        <w:ind w:left="5" w:hanging="5"/>
        <w:spacing w:after="0" w:line="246" w:lineRule="auto"/>
        <w:tabs>
          <w:tab w:leader="none" w:pos="26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customary representations and warranties to the underwriters, with respect to the business of DXL and its Subsidiaries, in each case, in form, substance and scope as are customarily made by issuers to underwriters in underwritten offerings, and take such other actions as the underwriters, if any, reasonably request in order to expedite or facilitate the disposition of such Registrable Securities. A FBB Significant Stockholder that delivers a Demand Notice shall have the right to</w:t>
      </w:r>
    </w:p>
    <w:p>
      <w:pPr>
        <w:spacing w:after="0" w:line="2" w:lineRule="exact"/>
        <w:rPr>
          <w:rFonts w:ascii="Times New Roman" w:cs="Times New Roman" w:eastAsia="Times New Roman" w:hAnsi="Times New Roman"/>
          <w:sz w:val="17"/>
          <w:szCs w:val="17"/>
          <w:color w:val="auto"/>
        </w:rPr>
      </w:pPr>
    </w:p>
    <w:p>
      <w:pPr>
        <w:ind w:left="5"/>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terminate (x) on a reasonable basis, any takedown pursuant to Section‎ 6.02 at least two (2) Business Days prior to the “launch” of any marketing efforts of such</w:t>
      </w:r>
    </w:p>
    <w:p>
      <w:pPr>
        <w:spacing w:after="0" w:line="5" w:lineRule="exact"/>
        <w:rPr>
          <w:rFonts w:ascii="Times New Roman" w:cs="Times New Roman" w:eastAsia="Times New Roman" w:hAnsi="Times New Roman"/>
          <w:sz w:val="17"/>
          <w:szCs w:val="17"/>
          <w:color w:val="auto"/>
        </w:rPr>
      </w:pPr>
    </w:p>
    <w:p>
      <w:pPr>
        <w:ind w:left="5"/>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takedown, and DXL shall not be deemed to have facilitated a takedown pursuant to Section‎ 6.02 (i.e., it will not count as one of the Maximum Number of Takedowns to which such FBB Significant Stockholder is entitled); and (y) one takedown in any twelve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4542790</wp:posOffset>
            </wp:positionH>
            <wp:positionV relativeFrom="paragraph">
              <wp:posOffset>-1957705</wp:posOffset>
            </wp:positionV>
            <wp:extent cx="641985"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41985" cy="7620"/>
                    </a:xfrm>
                    <a:prstGeom prst="rect">
                      <a:avLst/>
                    </a:prstGeom>
                    <a:noFill/>
                  </pic:spPr>
                </pic:pic>
              </a:graphicData>
            </a:graphic>
          </wp:anchor>
        </w:drawing>
        <w:drawing>
          <wp:anchor simplePos="0" relativeHeight="251657728" behindDoc="1" locked="0" layoutInCell="0" allowOverlap="1">
            <wp:simplePos x="0" y="0"/>
            <wp:positionH relativeFrom="column">
              <wp:posOffset>1409065</wp:posOffset>
            </wp:positionH>
            <wp:positionV relativeFrom="paragraph">
              <wp:posOffset>-1830070</wp:posOffset>
            </wp:positionV>
            <wp:extent cx="641985"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41985" cy="7620"/>
                    </a:xfrm>
                    <a:prstGeom prst="rect">
                      <a:avLst/>
                    </a:prstGeom>
                    <a:noFill/>
                  </pic:spPr>
                </pic:pic>
              </a:graphicData>
            </a:graphic>
          </wp:anchor>
        </w:drawing>
        <w:drawing>
          <wp:anchor simplePos="0" relativeHeight="251657728" behindDoc="1" locked="0" layoutInCell="0" allowOverlap="1">
            <wp:simplePos x="0" y="0"/>
            <wp:positionH relativeFrom="column">
              <wp:posOffset>3848100</wp:posOffset>
            </wp:positionH>
            <wp:positionV relativeFrom="paragraph">
              <wp:posOffset>-1311910</wp:posOffset>
            </wp:positionV>
            <wp:extent cx="641985"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41985" cy="762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-1184275</wp:posOffset>
            </wp:positionV>
            <wp:extent cx="678815"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78815" cy="7620"/>
                    </a:xfrm>
                    <a:prstGeom prst="rect">
                      <a:avLst/>
                    </a:prstGeom>
                    <a:noFill/>
                  </pic:spPr>
                </pic:pic>
              </a:graphicData>
            </a:graphic>
          </wp:anchor>
        </w:drawing>
        <w:drawing>
          <wp:anchor simplePos="0" relativeHeight="251657728" behindDoc="1" locked="0" layoutInCell="0" allowOverlap="1">
            <wp:simplePos x="0" y="0"/>
            <wp:positionH relativeFrom="column">
              <wp:posOffset>3496945</wp:posOffset>
            </wp:positionH>
            <wp:positionV relativeFrom="paragraph">
              <wp:posOffset>-1056640</wp:posOffset>
            </wp:positionV>
            <wp:extent cx="685800"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0" cy="7620"/>
                    </a:xfrm>
                    <a:prstGeom prst="rect">
                      <a:avLst/>
                    </a:prstGeom>
                    <a:noFill/>
                  </pic:spPr>
                </pic:pic>
              </a:graphicData>
            </a:graphic>
          </wp:anchor>
        </w:drawing>
        <w:drawing>
          <wp:anchor simplePos="0" relativeHeight="251657728" behindDoc="1" locked="0" layoutInCell="0" allowOverlap="1">
            <wp:simplePos x="0" y="0"/>
            <wp:positionH relativeFrom="column">
              <wp:posOffset>2785110</wp:posOffset>
            </wp:positionH>
            <wp:positionV relativeFrom="paragraph">
              <wp:posOffset>-290195</wp:posOffset>
            </wp:positionV>
            <wp:extent cx="549910"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49910" cy="7620"/>
                    </a:xfrm>
                    <a:prstGeom prst="rect">
                      <a:avLst/>
                    </a:prstGeom>
                    <a:noFill/>
                  </pic:spPr>
                </pic:pic>
              </a:graphicData>
            </a:graphic>
          </wp:anchor>
        </w:drawing>
        <w:drawing>
          <wp:anchor simplePos="0" relativeHeight="251657728" behindDoc="1" locked="0" layoutInCell="0" allowOverlap="1">
            <wp:simplePos x="0" y="0"/>
            <wp:positionH relativeFrom="column">
              <wp:posOffset>3883025</wp:posOffset>
            </wp:positionH>
            <wp:positionV relativeFrom="paragraph">
              <wp:posOffset>-162560</wp:posOffset>
            </wp:positionV>
            <wp:extent cx="557530"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57530" cy="762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54"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color w:val="auto"/>
        </w:rPr>
        <w:t>(12)-month period pursuant to Section‎ 6.02 after the “launch” of any marketing efforts of such takedown but before completion of such takedown, and DXL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1353820</wp:posOffset>
            </wp:positionH>
            <wp:positionV relativeFrom="paragraph">
              <wp:posOffset>-5080</wp:posOffset>
            </wp:positionV>
            <wp:extent cx="549910"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49910" cy="7620"/>
                    </a:xfrm>
                    <a:prstGeom prst="rect">
                      <a:avLst/>
                    </a:prstGeom>
                    <a:noFill/>
                  </pic:spPr>
                </pic:pic>
              </a:graphicData>
            </a:graphic>
          </wp:anchor>
        </w:drawing>
      </w:r>
    </w:p>
    <w:p>
      <w:pPr>
        <w:spacing w:after="0" w:line="6"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7"/>
          <w:szCs w:val="17"/>
          <w:color w:val="auto"/>
        </w:rPr>
        <w:t xml:space="preserve">not be deemed to have facilitated a takedown pursuant to Section‎ 6.02 (i.e., it will not count as one of the Maximum Number of Takedowns to which such FBB Significant Stockholder is entitled); in both cases, whether or not any other FBB Significant Stockholder or DXL has elected to include Registrable Securities in such takedown as provided in </w:t>
      </w:r>
      <w:r>
        <w:rPr>
          <w:rFonts w:ascii="Times New Roman" w:cs="Times New Roman" w:eastAsia="Times New Roman" w:hAnsi="Times New Roman"/>
          <w:sz w:val="17"/>
          <w:szCs w:val="17"/>
          <w:u w:val="single" w:color="auto"/>
          <w:color w:val="auto"/>
        </w:rPr>
        <w:t>Section 6.02(e)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in both cases, any Registration Expenses in connection with any such terminated takedown shall be borne by such FBB Significant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2570480</wp:posOffset>
            </wp:positionH>
            <wp:positionV relativeFrom="paragraph">
              <wp:posOffset>-412750</wp:posOffset>
            </wp:positionV>
            <wp:extent cx="549910"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49910" cy="7620"/>
                    </a:xfrm>
                    <a:prstGeom prst="rect">
                      <a:avLst/>
                    </a:prstGeom>
                    <a:noFill/>
                  </pic:spPr>
                </pic:pic>
              </a:graphicData>
            </a:graphic>
          </wp:anchor>
        </w:drawing>
      </w:r>
    </w:p>
    <w:p>
      <w:pPr>
        <w:spacing w:after="0" w:line="136" w:lineRule="exact"/>
        <w:rPr>
          <w:sz w:val="20"/>
          <w:szCs w:val="20"/>
          <w:color w:val="auto"/>
        </w:rPr>
      </w:pPr>
    </w:p>
    <w:p>
      <w:pPr>
        <w:jc w:val="both"/>
        <w:ind w:firstLine="1496"/>
        <w:spacing w:after="0" w:line="249" w:lineRule="auto"/>
        <w:tabs>
          <w:tab w:leader="none" w:pos="1848"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receipt of a validly submitted Demand Notice or upon DXL’s initiation of any registration of DXL Common Stock for its own account or for the account of any other stockholder (other than a registration relating solely to employee benefit plans or a registration relating solely to a transaction under Rule 145 of the Securities Act) (“</w:t>
      </w:r>
      <w:r>
        <w:rPr>
          <w:rFonts w:ascii="Times New Roman" w:cs="Times New Roman" w:eastAsia="Times New Roman" w:hAnsi="Times New Roman"/>
          <w:sz w:val="17"/>
          <w:szCs w:val="17"/>
          <w:u w:val="single" w:color="auto"/>
          <w:color w:val="auto"/>
        </w:rPr>
        <w:t>DXL Initiated Registration</w:t>
      </w:r>
      <w:r>
        <w:rPr>
          <w:rFonts w:ascii="Times New Roman" w:cs="Times New Roman" w:eastAsia="Times New Roman" w:hAnsi="Times New Roman"/>
          <w:sz w:val="17"/>
          <w:szCs w:val="17"/>
          <w:color w:val="auto"/>
        </w:rPr>
        <w:t>”), DXL shall give written notice (each, a “</w:t>
      </w:r>
      <w:r>
        <w:rPr>
          <w:rFonts w:ascii="Times New Roman" w:cs="Times New Roman" w:eastAsia="Times New Roman" w:hAnsi="Times New Roman"/>
          <w:sz w:val="17"/>
          <w:szCs w:val="17"/>
          <w:u w:val="single" w:color="auto"/>
          <w:color w:val="auto"/>
        </w:rPr>
        <w:t>Piggyback Notice</w:t>
      </w:r>
      <w:r>
        <w:rPr>
          <w:rFonts w:ascii="Times New Roman" w:cs="Times New Roman" w:eastAsia="Times New Roman" w:hAnsi="Times New Roman"/>
          <w:sz w:val="17"/>
          <w:szCs w:val="17"/>
          <w:color w:val="auto"/>
        </w:rPr>
        <w:t>”) of its proposed registration to all FBB Significant Stockholders who are holders of Registrable Securities as soon as practicable, which notice shall (x) describe the amount of DXL Common Stock to be included in such registration, the intended method(s) of distribution, and the name of the proposed managing underwriter or underwriters, if any, in such registration, and (y) offer to such FBB Significant Stockholders the opportunity to include in such registration such number of Registrable Securities as such FBB Significant Stockholders may request in writing within five (5) calendar days after receipt of such Piggyback Notice (such registered takedown, a “</w:t>
      </w:r>
      <w:r>
        <w:rPr>
          <w:rFonts w:ascii="Times New Roman" w:cs="Times New Roman" w:eastAsia="Times New Roman" w:hAnsi="Times New Roman"/>
          <w:sz w:val="17"/>
          <w:szCs w:val="17"/>
          <w:u w:val="single" w:color="auto"/>
          <w:color w:val="auto"/>
        </w:rPr>
        <w:t>Piggyback Registration</w:t>
      </w:r>
      <w:r>
        <w:rPr>
          <w:rFonts w:ascii="Times New Roman" w:cs="Times New Roman" w:eastAsia="Times New Roman" w:hAnsi="Times New Roman"/>
          <w:sz w:val="17"/>
          <w:szCs w:val="17"/>
          <w:color w:val="auto"/>
        </w:rPr>
        <w:t>”). DXL shall, in good faith, cause such Registrable Securities to be included in such Piggyback Registration and, if applicable, shall use its commercially reasonable efforts to cause the managing underwriter or underwriters of such Piggyback Registration to permit the</w:t>
      </w:r>
    </w:p>
    <w:p>
      <w:pPr>
        <w:spacing w:after="0" w:line="4" w:lineRule="exact"/>
        <w:rPr>
          <w:rFonts w:ascii="Times New Roman" w:cs="Times New Roman" w:eastAsia="Times New Roman" w:hAnsi="Times New Roman"/>
          <w:sz w:val="17"/>
          <w:szCs w:val="17"/>
          <w:color w:val="auto"/>
        </w:rPr>
      </w:pPr>
    </w:p>
    <w:p>
      <w:pPr>
        <w:jc w:val="both"/>
        <w:spacing w:after="0" w:line="24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Registrable Securities requested by such FBB Significant Stockholders pursuant to this Section‎ 6.02(e) to be included therein on the same terms and conditions as any other Registrable Securities included in such registration and to permit the sale or other disposition of such Registrable Securities in accordance with the intended method(s) of distribution thereof. The inclusion of any FBB Significant Stockholder’s Registrable Securities in a Piggyback Registration shall be subject to such FBB Significant Stockholder’s agreement to enter into an underwriting agreement in customary form with the underwriter(s) selected for such registration</w:t>
      </w:r>
    </w:p>
    <w:p>
      <w:pPr>
        <w:spacing w:after="0" w:line="2" w:lineRule="exact"/>
        <w:rPr>
          <w:rFonts w:ascii="Times New Roman" w:cs="Times New Roman" w:eastAsia="Times New Roman" w:hAnsi="Times New Roman"/>
          <w:sz w:val="17"/>
          <w:szCs w:val="17"/>
          <w:color w:val="auto"/>
        </w:rPr>
      </w:pPr>
    </w:p>
    <w:p>
      <w:pPr>
        <w:jc w:val="both"/>
        <w:spacing w:after="0" w:line="24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Section‎ 6.02(d) hereof, as negotiated in good faith and agreed upon among DXL, the FBB Significant Stockholder participating in such registration and such underwriter(s). Notwithstanding the foregoing, if the managing underwriter or underwriters in a registration that is to be a Piggyback Registration, in good faith, advise DXL and the FBB Significant Stockholders participating in the Piggyback Registration in writing that the dollar amount or number of shares of Registrable Securities exceeds the number of Registrable Securities which can reasonably be expected to be sold in such registration without adversely affecting the success of the registration (including the price, timing or distribution of the Registrable Securities to be sold in such registration), DXL shall include in such Piggyback Registration: (i) in the case of a Piggyback Registration initiated pursuant to a Demand Notice, (1) first, the Registrable Securities that the holder that submitted the Demand Notice proposes to sell in such registration, (2) second, any Registrable Securities requested to be included therein by any other FBB Significant Stockholder, allocated pro rata among such FBB Significant Stockholders on the basis of the number of Registrable Securities initially proposed to be included by each such holder in such registration, up to the number of Registrable Securities, if any, that the managing underwriters determine can be included in the registration without reasonably being expected to adversely affect the success of the registration (including the price, timing or distribution of the securities to be offered in such registration), and (3) third, if applicable, any shares of DXL Common Stock proposed to be sold for the account of DXL or any other stockholder in such registration not otherwise included pursuant to a DXL Initiated Registration; and (ii) in the case of a Piggyback Registration initiated pursuant to a DXL Initiated Registration, (1) first, shares of DXL Common Stock proposed to be sold pursuant to such DXL Initiated Registration, (2) second, any Registrable Securities requested to be included therein by any FBB Significant Stockholder, allocated pro rata among such FBB Significant Stockholders, up to the number of Registrable Securities, if any, that the managing underwriters determine can be included in the registration without reasonably being expected to adversely affect the success of the takedown (including the price, timing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3857625</wp:posOffset>
            </wp:positionH>
            <wp:positionV relativeFrom="paragraph">
              <wp:posOffset>-2448560</wp:posOffset>
            </wp:positionV>
            <wp:extent cx="635635"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35635" cy="7620"/>
                    </a:xfrm>
                    <a:prstGeom prst="rect">
                      <a:avLst/>
                    </a:prstGeom>
                    <a:noFill/>
                  </pic:spPr>
                </pic:pic>
              </a:graphicData>
            </a:graphic>
          </wp:anchor>
        </w:drawing>
        <w:drawing>
          <wp:anchor simplePos="0" relativeHeight="251657728" behindDoc="1" locked="0" layoutInCell="0" allowOverlap="1">
            <wp:simplePos x="0" y="0"/>
            <wp:positionH relativeFrom="column">
              <wp:posOffset>523875</wp:posOffset>
            </wp:positionH>
            <wp:positionV relativeFrom="paragraph">
              <wp:posOffset>-1938020</wp:posOffset>
            </wp:positionV>
            <wp:extent cx="678815"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78815" cy="762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67" w:name="page68"/>
    <w:bookmarkEnd w:id="67"/>
    <w:p>
      <w:pPr>
        <w:jc w:val="both"/>
        <w:ind w:left="5"/>
        <w:spacing w:after="0" w:line="251" w:lineRule="auto"/>
        <w:rPr>
          <w:sz w:val="20"/>
          <w:szCs w:val="20"/>
          <w:color w:val="auto"/>
        </w:rPr>
      </w:pPr>
      <w:r>
        <w:rPr>
          <w:rFonts w:ascii="Times New Roman" w:cs="Times New Roman" w:eastAsia="Times New Roman" w:hAnsi="Times New Roman"/>
          <w:sz w:val="17"/>
          <w:szCs w:val="17"/>
          <w:color w:val="auto"/>
        </w:rPr>
        <w:t>distribution of the securities to be offered in such registration), and (3) third, if applicable, any shares of DXL Common Stock proposed to be sold for the account of DXL or any other stockholder in such registration not otherwise included pursuant to a DXL Initiated Registration. Each FBB Significant Stockholder that holds Registrable Securities agrees that in connection with any underwritten registration pursuant to ‎Section 6.02(d) or this ‎Section 6.02(e), and upon written request from the managing underwriter(s) for such registration, such holder shall not, without the prior written consent of such managing underwriter(s), during such period as is reasonably requested by the managing underwriter(s) (which period shall in no event be longer than seven (7) calendar days prior to and sixty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4571365</wp:posOffset>
            </wp:positionH>
            <wp:positionV relativeFrom="paragraph">
              <wp:posOffset>-274955</wp:posOffset>
            </wp:positionV>
            <wp:extent cx="1692910"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692910" cy="7620"/>
                    </a:xfrm>
                    <a:prstGeom prst="rect">
                      <a:avLst/>
                    </a:prstGeom>
                    <a:noFill/>
                  </pic:spPr>
                </pic:pic>
              </a:graphicData>
            </a:graphic>
          </wp:anchor>
        </w:drawing>
      </w:r>
    </w:p>
    <w:p>
      <w:pPr>
        <w:jc w:val="both"/>
        <w:ind w:left="5" w:hanging="5"/>
        <w:spacing w:after="0" w:line="246" w:lineRule="auto"/>
        <w:tabs>
          <w:tab w:leader="none" w:pos="347"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calendar days after the pricing of such offering), effect any public sale or distribution of any similar securities to those being registered, including any sale under Rule 144. Beginning one (1) year after the Closing Date, the Piggyback Notice contemplated herein shall not be required to be delivered to any FBB Significant Stockholder who is able to sell all of its Registrable Securities without restriction pursuant to Rule 144. In addition, to the extent the offering contemplated by the party submitting a Demand Notice or by DXL or any other stockholder is an overnight or one-day block trade or bought deal, the Piggyback</w:t>
      </w:r>
    </w:p>
    <w:p>
      <w:pPr>
        <w:spacing w:after="0" w:line="2" w:lineRule="exact"/>
        <w:rPr>
          <w:rFonts w:ascii="Times New Roman" w:cs="Times New Roman" w:eastAsia="Times New Roman" w:hAnsi="Times New Roman"/>
          <w:sz w:val="17"/>
          <w:szCs w:val="17"/>
          <w:color w:val="auto"/>
        </w:rPr>
      </w:pPr>
    </w:p>
    <w:p>
      <w:pPr>
        <w:ind w:left="5"/>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Notice and other provisions contained in this Section‎ 6.02(e) shall not be applicable.</w:t>
      </w:r>
    </w:p>
    <w:p>
      <w:pPr>
        <w:spacing w:after="0" w:line="174" w:lineRule="exact"/>
        <w:rPr>
          <w:rFonts w:ascii="Times New Roman" w:cs="Times New Roman" w:eastAsia="Times New Roman" w:hAnsi="Times New Roman"/>
          <w:sz w:val="17"/>
          <w:szCs w:val="17"/>
          <w:color w:val="auto"/>
        </w:rPr>
      </w:pPr>
    </w:p>
    <w:p>
      <w:pPr>
        <w:jc w:val="both"/>
        <w:ind w:left="5" w:right="20" w:firstLine="1496"/>
        <w:spacing w:after="0" w:line="252" w:lineRule="auto"/>
        <w:tabs>
          <w:tab w:leader="none" w:pos="1853"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a takedown, DXL agrees to (i) provide counsel to the applicable FBB Significant Stockholder and the lead managing underwriters, if any, commercially reasonable opportunity to review each prospectus (including any prospectus supplement) and such other opportunities to conduct a customary and reasonable due diligence investigation (in the context of a Underwritten Offering) of DXL, including reasonable access to (including responses to any reasonable inquiries by the lead managing underwriters and their counsel) DXL’s books and records, officers, accountants and other advisors; (ii) use commercially reasonable efforts to negotiate in good faith and execute all customary indemnities, underwriting agreements and other documents reasonably required under the terms of such underwriting arrangements, including using commercially reasonable efforts to procure customary legal opinions and auditor “comfort” letters and (iii) where the takedown contemplates marketing efforts, use commercially reasonable efforts to cooperate and make its senior officers available for participation in such marketing efforts.</w:t>
      </w:r>
    </w:p>
    <w:p>
      <w:pPr>
        <w:spacing w:after="0" w:line="155" w:lineRule="exact"/>
        <w:rPr>
          <w:rFonts w:ascii="Times New Roman" w:cs="Times New Roman" w:eastAsia="Times New Roman" w:hAnsi="Times New Roman"/>
          <w:sz w:val="17"/>
          <w:szCs w:val="17"/>
          <w:color w:val="auto"/>
        </w:rPr>
      </w:pPr>
    </w:p>
    <w:p>
      <w:pPr>
        <w:jc w:val="both"/>
        <w:ind w:left="5" w:firstLine="1496"/>
        <w:spacing w:after="0" w:line="249" w:lineRule="auto"/>
        <w:tabs>
          <w:tab w:leader="none" w:pos="1853"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DXL hereby agrees to indemnify and hold harmless, to the fullest extent permitted by Law, each FBB Selling Stockholder, and their respective Affiliates, directors, officers, employees, partners, equityholders, managers and each other Person, if any, who controls such FBB Selling Stockholder within the meaning of the Securities Act (each, an “</w:t>
      </w:r>
      <w:r>
        <w:rPr>
          <w:rFonts w:ascii="Times New Roman" w:cs="Times New Roman" w:eastAsia="Times New Roman" w:hAnsi="Times New Roman"/>
          <w:sz w:val="17"/>
          <w:szCs w:val="17"/>
          <w:u w:val="single" w:color="auto"/>
          <w:color w:val="auto"/>
        </w:rPr>
        <w:t>Indemnified Party</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u w:val="single" w:color="auto"/>
          <w:color w:val="auto"/>
        </w:rPr>
        <w:t>Indemnified Parties</w:t>
      </w:r>
      <w:r>
        <w:rPr>
          <w:rFonts w:ascii="Times New Roman" w:cs="Times New Roman" w:eastAsia="Times New Roman" w:hAnsi="Times New Roman"/>
          <w:sz w:val="17"/>
          <w:szCs w:val="17"/>
          <w:color w:val="auto"/>
        </w:rPr>
        <w:t>”), against any and all losses, claims, damages or liabilities, joint or several, actions or proceedings and reasonable and documented expenses to which such Indemnified Party may become subject under the Securities Act, common law or otherwise, insofar as such losses, claims, damages or liabilities (or actions or proceedings in respect thereof, whether or not such Indemnified Party is a party thereto) arise out of or are based upon: (x) any untrue statement or alleged untrue statement of any material fact contained in the Resale Registration Statement or, in the light of the circumstances under which such statements were made, in any preliminary, final or summary prospectus contained therein, or any amendment or supplement thereto, or any document incorporated by reference therein, any other such disclosure document (including reports and other documents filed under the Exchange Act and any document incorporated by reference therein) or related document or report, or any issuer free writing prospectus; or (y) any omission or alleged omission to state therein a material fact required to be stated therein or necessary to make the statements therein not misleading, in the case of a prospectus or issuer free writing prospectus, in the light of the circumstances under which such statements were made; and DXL shall reimburse such Indemnified Party for any reasonable out of pocket legal fees or other reasonable and documented expenses incurred by it in connection with investigating or defending any such loss, claim, liability, action or proceeding; provided, that DXL shall not be liable to any Indemnified Party in any such case to the extent that any such loss, claim, damage, liability (or action or proceeding in respect thereof) or expense arises out of or is based upon any untrue statement or alleged untrue statement or omission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-3202305</wp:posOffset>
            </wp:positionV>
            <wp:extent cx="672465"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72465" cy="762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54" w:right="319" w:bottom="1440" w:gutter="0" w:footer="0" w:header="0"/>
        </w:sectPr>
      </w:pPr>
    </w:p>
    <w:bookmarkStart w:id="68" w:name="page69"/>
    <w:bookmarkEnd w:id="68"/>
    <w:p>
      <w:pPr>
        <w:jc w:val="both"/>
        <w:ind w:left="5"/>
        <w:spacing w:after="0" w:line="265" w:lineRule="auto"/>
        <w:rPr>
          <w:sz w:val="20"/>
          <w:szCs w:val="20"/>
          <w:color w:val="auto"/>
        </w:rPr>
      </w:pPr>
      <w:r>
        <w:rPr>
          <w:rFonts w:ascii="Times New Roman" w:cs="Times New Roman" w:eastAsia="Times New Roman" w:hAnsi="Times New Roman"/>
          <w:sz w:val="17"/>
          <w:szCs w:val="17"/>
          <w:color w:val="auto"/>
        </w:rPr>
        <w:t>alleged omission made in such registration statement or, in the light of the circumstances under which such statements were made, in any such preliminary, final or summary prospectus, or any amendment or supplement thereto, or any issuer free writing prospectus, in reliance upon and in conformity with written information with respect to such Indemnified Party furnished to DXL or FBB by such Indemnified Party expressly for use in the preparation thereof.</w:t>
      </w:r>
    </w:p>
    <w:p>
      <w:pPr>
        <w:spacing w:after="0" w:line="145" w:lineRule="exact"/>
        <w:rPr>
          <w:sz w:val="20"/>
          <w:szCs w:val="20"/>
          <w:color w:val="auto"/>
        </w:rPr>
      </w:pPr>
    </w:p>
    <w:p>
      <w:pPr>
        <w:jc w:val="both"/>
        <w:ind w:left="5" w:right="20" w:firstLine="1496"/>
        <w:spacing w:after="0" w:line="259" w:lineRule="auto"/>
        <w:tabs>
          <w:tab w:leader="none" w:pos="1853" w:val="left"/>
        </w:tabs>
        <w:numPr>
          <w:ilvl w:val="1"/>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indemnification provided for hereunder from the indemnifying party is insufficient or unavailable to an Indemnified Party hereunder in respect of any losses, claims, damages, liabilities or expenses referred to herein for reasons other than those described in the proviso in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w:t>
      </w:r>
    </w:p>
    <w:p>
      <w:pPr>
        <w:jc w:val="both"/>
        <w:ind w:left="5"/>
        <w:spacing w:after="0" w:line="24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6.02(g)</w:t>
      </w:r>
      <w:r>
        <w:rPr>
          <w:rFonts w:ascii="Times New Roman" w:cs="Times New Roman" w:eastAsia="Times New Roman" w:hAnsi="Times New Roman"/>
          <w:sz w:val="17"/>
          <w:szCs w:val="17"/>
          <w:color w:val="auto"/>
        </w:rPr>
        <w:t>, then the indemnifying party, in lieu of indemnifying such Indemnified Party, shall contribute to the amount paid or payable by such Indemnified Party as a result of such losses, claims, damages, liabilities or expenses in such proportion as is appropriate to reflect the relative fault of the indemnifying party and Indemnified Parties in connection with the actions which resulted in such losses, claims, damages, liabilities or expenses, as well as any other relevant equitable considerations. The relative fault of such indemnifying party and Indemnified Parties shall be determined by reference to, among other things, whether any action in question, including any untrue or alleged untrue statement of a material fact or omission or alleged omission to state a material fact, has been made by, or relates to information supplied by, such indemnifying party or Indemnified Parties, and the parties’ relative intent, knowledge, access to information and</w:t>
      </w:r>
    </w:p>
    <w:p>
      <w:pPr>
        <w:spacing w:after="0" w:line="4" w:lineRule="exact"/>
        <w:rPr>
          <w:rFonts w:ascii="Times New Roman" w:cs="Times New Roman" w:eastAsia="Times New Roman" w:hAnsi="Times New Roman"/>
          <w:sz w:val="17"/>
          <w:szCs w:val="17"/>
          <w:color w:val="auto"/>
        </w:rPr>
      </w:pPr>
    </w:p>
    <w:p>
      <w:pPr>
        <w:jc w:val="both"/>
        <w:ind w:left="5" w:right="20"/>
        <w:spacing w:after="0" w:line="24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opportunity to correct or prevent such action. The amount paid or payable by a party under this Section‎ 6.02(h) as a result of the losses, claims, damages, liabilities and expenses referred to above shall be deemed to include any reasonable out of pocket legal fees or other reasonable an documented expenses incurred</w:t>
      </w:r>
    </w:p>
    <w:p>
      <w:pPr>
        <w:spacing w:after="0" w:line="1" w:lineRule="exact"/>
        <w:rPr>
          <w:rFonts w:ascii="Times New Roman" w:cs="Times New Roman" w:eastAsia="Times New Roman" w:hAnsi="Times New Roman"/>
          <w:sz w:val="17"/>
          <w:szCs w:val="17"/>
          <w:color w:val="auto"/>
        </w:rPr>
      </w:pPr>
    </w:p>
    <w:p>
      <w:pPr>
        <w:jc w:val="both"/>
        <w:ind w:left="5"/>
        <w:spacing w:after="0" w:line="24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such party in connection with any investigation or proceeding. Any obligation of FBB Selling Stockholders to contribute pursuant to this Section‎ 6.02(h) shall be several in the same proportion that the dollar amount of the proceeds actually received by each such FBB Selling Stockholder bears to the total dollar amount of the proceeds received by all FBB Selling Stockholders and not joint. The parties hereto agree that it would not be just and equitable if contribution pursuant to</w:t>
      </w:r>
    </w:p>
    <w:p>
      <w:pPr>
        <w:spacing w:after="0" w:line="2" w:lineRule="exact"/>
        <w:rPr>
          <w:rFonts w:ascii="Times New Roman" w:cs="Times New Roman" w:eastAsia="Times New Roman" w:hAnsi="Times New Roman"/>
          <w:sz w:val="17"/>
          <w:szCs w:val="17"/>
          <w:color w:val="auto"/>
        </w:rPr>
      </w:pPr>
    </w:p>
    <w:p>
      <w:pPr>
        <w:ind w:left="5"/>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Section‎ 6.02(h) were determined by pro rata allocation or by any other method of allocation which does not take account of the equitable considerations</w:t>
      </w:r>
    </w:p>
    <w:p>
      <w:pPr>
        <w:spacing w:after="0" w:line="5" w:lineRule="exact"/>
        <w:rPr>
          <w:rFonts w:ascii="Times New Roman" w:cs="Times New Roman" w:eastAsia="Times New Roman" w:hAnsi="Times New Roman"/>
          <w:sz w:val="17"/>
          <w:szCs w:val="17"/>
          <w:color w:val="auto"/>
        </w:rPr>
      </w:pPr>
    </w:p>
    <w:p>
      <w:pPr>
        <w:ind w:left="5"/>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referred to in this Section‎ 6.02(h). No Person guilty of fraudulent misrepresentation (within the meaning of Section 11(f) of the Securities Act) shall be entitled to contribution from any Person who was not guilty of such fraudulent misrepresentation.</w:t>
      </w:r>
    </w:p>
    <w:p>
      <w:pPr>
        <w:spacing w:after="0" w:line="147" w:lineRule="exact"/>
        <w:rPr>
          <w:rFonts w:ascii="Times New Roman" w:cs="Times New Roman" w:eastAsia="Times New Roman" w:hAnsi="Times New Roman"/>
          <w:sz w:val="17"/>
          <w:szCs w:val="17"/>
          <w:color w:val="auto"/>
        </w:rPr>
      </w:pPr>
    </w:p>
    <w:p>
      <w:pPr>
        <w:ind w:left="5" w:right="20" w:firstLine="1496"/>
        <w:spacing w:after="0" w:line="284" w:lineRule="auto"/>
        <w:tabs>
          <w:tab w:leader="none" w:pos="1853" w:val="left"/>
        </w:tabs>
        <w:numPr>
          <w:ilvl w:val="1"/>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a view to making available the benefits of certain rules and regulations of the SEC which may at any time permit the sale of Registrable Securities of DXL to the public without registration, DXL agrees:</w:t>
      </w:r>
    </w:p>
    <w:p>
      <w:pPr>
        <w:spacing w:after="0" w:line="128" w:lineRule="exact"/>
        <w:rPr>
          <w:rFonts w:ascii="Times New Roman" w:cs="Times New Roman" w:eastAsia="Times New Roman" w:hAnsi="Times New Roman"/>
          <w:sz w:val="17"/>
          <w:szCs w:val="17"/>
          <w:color w:val="auto"/>
        </w:rPr>
      </w:pPr>
    </w:p>
    <w:p>
      <w:pPr>
        <w:ind w:left="5" w:right="20" w:firstLine="2246"/>
        <w:spacing w:after="0" w:line="284" w:lineRule="auto"/>
        <w:tabs>
          <w:tab w:leader="none" w:pos="2604" w:val="left"/>
        </w:tabs>
        <w:numPr>
          <w:ilvl w:val="2"/>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use its commercially reasonable efforts to file with the SEC in a timely manner all reports and other documents required of DXL under the Securities Act and the Exchange Act (at any time after it has become subject to such reporting requirements); and</w:t>
      </w:r>
    </w:p>
    <w:p>
      <w:pPr>
        <w:spacing w:after="0" w:line="128" w:lineRule="exact"/>
        <w:rPr>
          <w:rFonts w:ascii="Times New Roman" w:cs="Times New Roman" w:eastAsia="Times New Roman" w:hAnsi="Times New Roman"/>
          <w:sz w:val="17"/>
          <w:szCs w:val="17"/>
          <w:color w:val="auto"/>
        </w:rPr>
      </w:pPr>
    </w:p>
    <w:p>
      <w:pPr>
        <w:jc w:val="both"/>
        <w:ind w:left="5" w:right="20" w:firstLine="2246"/>
        <w:spacing w:after="0" w:line="259" w:lineRule="auto"/>
        <w:tabs>
          <w:tab w:leader="none" w:pos="2604" w:val="left"/>
        </w:tabs>
        <w:numPr>
          <w:ilvl w:val="2"/>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receipt by DXL of customary representations and other documentation reasonably acceptable to DXL in connection therewith, upon the earlier of such time as the Registrable Securities (x) have been sold or transferred pursuant to an effective registration statement,</w:t>
      </w:r>
    </w:p>
    <w:p>
      <w:pPr>
        <w:jc w:val="both"/>
        <w:ind w:left="5" w:hanging="5"/>
        <w:spacing w:after="0" w:line="253" w:lineRule="auto"/>
        <w:tabs>
          <w:tab w:leader="none" w:pos="259"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been sold pursuant to Rule 144 or (z) are eligible for resale under Rule 144(b)(1) or any successor provision, to take any actions reasonably requested, and to use commercially reasonable efforts to cause its transfer agent to take any actions reasonably requested, including delivery of customary instructions and certificates and legal opinions of DXL’s counsel, in order to facilitate the removal of restrictive legends from the Registrable Securities;</w:t>
      </w:r>
    </w:p>
    <w:p>
      <w:pPr>
        <w:spacing w:after="0" w:line="154" w:lineRule="exact"/>
        <w:rPr>
          <w:rFonts w:ascii="Times New Roman" w:cs="Times New Roman" w:eastAsia="Times New Roman" w:hAnsi="Times New Roman"/>
          <w:sz w:val="17"/>
          <w:szCs w:val="17"/>
          <w:color w:val="auto"/>
        </w:rPr>
      </w:pPr>
    </w:p>
    <w:p>
      <w:pPr>
        <w:ind w:left="1845" w:hanging="344"/>
        <w:spacing w:after="0"/>
        <w:tabs>
          <w:tab w:leader="none" w:pos="1845" w:val="left"/>
        </w:tabs>
        <w:numPr>
          <w:ilvl w:val="1"/>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DXL shall pay all Registration Expenses and the FBB Significant Stockholder who has sent the Demand Notice, together with each</w:t>
      </w:r>
    </w:p>
    <w:p>
      <w:pPr>
        <w:spacing w:after="0" w:line="25" w:lineRule="exact"/>
        <w:rPr>
          <w:rFonts w:ascii="Times New Roman" w:cs="Times New Roman" w:eastAsia="Times New Roman" w:hAnsi="Times New Roman"/>
          <w:sz w:val="17"/>
          <w:szCs w:val="17"/>
          <w:color w:val="auto"/>
        </w:rPr>
      </w:pPr>
    </w:p>
    <w:p>
      <w:pPr>
        <w:ind w:left="5" w:right="2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FBB Significant Stockholder participating in a Piggyback Registration, as applicable, shall pay all Selling Expenses in connection with this Section‎ 6.02;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4474845</wp:posOffset>
            </wp:positionH>
            <wp:positionV relativeFrom="paragraph">
              <wp:posOffset>-2801620</wp:posOffset>
            </wp:positionV>
            <wp:extent cx="693420"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3420" cy="7620"/>
                    </a:xfrm>
                    <a:prstGeom prst="rect">
                      <a:avLst/>
                    </a:prstGeom>
                    <a:noFill/>
                  </pic:spPr>
                </pic:pic>
              </a:graphicData>
            </a:graphic>
          </wp:anchor>
        </w:drawing>
        <w:drawing>
          <wp:anchor simplePos="0" relativeHeight="251657728" behindDoc="1" locked="0" layoutInCell="0" allowOverlap="1">
            <wp:simplePos x="0" y="0"/>
            <wp:positionH relativeFrom="column">
              <wp:posOffset>6230620</wp:posOffset>
            </wp:positionH>
            <wp:positionV relativeFrom="paragraph">
              <wp:posOffset>-2546350</wp:posOffset>
            </wp:positionV>
            <wp:extent cx="678815"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78815" cy="762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-2163445</wp:posOffset>
            </wp:positionV>
            <wp:extent cx="685800"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0" cy="7620"/>
                    </a:xfrm>
                    <a:prstGeom prst="rect">
                      <a:avLst/>
                    </a:prstGeom>
                    <a:noFill/>
                  </pic:spPr>
                </pic:pic>
              </a:graphicData>
            </a:graphic>
          </wp:anchor>
        </w:drawing>
        <w:drawing>
          <wp:anchor simplePos="0" relativeHeight="251657728" behindDoc="1" locked="0" layoutInCell="0" allowOverlap="1">
            <wp:simplePos x="0" y="0"/>
            <wp:positionH relativeFrom="column">
              <wp:posOffset>788670</wp:posOffset>
            </wp:positionH>
            <wp:positionV relativeFrom="paragraph">
              <wp:posOffset>-2035810</wp:posOffset>
            </wp:positionV>
            <wp:extent cx="678815"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78815" cy="7620"/>
                    </a:xfrm>
                    <a:prstGeom prst="rect">
                      <a:avLst/>
                    </a:prstGeom>
                    <a:noFill/>
                  </pic:spPr>
                </pic:pic>
              </a:graphicData>
            </a:graphic>
          </wp:anchor>
        </w:drawing>
        <w:drawing>
          <wp:anchor simplePos="0" relativeHeight="251657728" behindDoc="1" locked="0" layoutInCell="0" allowOverlap="1">
            <wp:simplePos x="0" y="0"/>
            <wp:positionH relativeFrom="column">
              <wp:posOffset>6541135</wp:posOffset>
            </wp:positionH>
            <wp:positionV relativeFrom="paragraph">
              <wp:posOffset>-22860</wp:posOffset>
            </wp:positionV>
            <wp:extent cx="572770"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7277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54" w:right="319" w:bottom="1440" w:gutter="0" w:footer="0" w:header="0"/>
        </w:sectPr>
      </w:pPr>
    </w:p>
    <w:bookmarkStart w:id="69" w:name="page70"/>
    <w:bookmarkEnd w:id="69"/>
    <w:p>
      <w:pPr>
        <w:jc w:val="both"/>
        <w:spacing w:after="0" w:line="265" w:lineRule="auto"/>
        <w:rPr>
          <w:sz w:val="20"/>
          <w:szCs w:val="20"/>
          <w:color w:val="auto"/>
        </w:rPr>
      </w:pPr>
      <w:r>
        <w:rPr>
          <w:rFonts w:ascii="Times New Roman" w:cs="Times New Roman" w:eastAsia="Times New Roman" w:hAnsi="Times New Roman"/>
          <w:sz w:val="17"/>
          <w:szCs w:val="17"/>
          <w:color w:val="auto"/>
        </w:rPr>
        <w:t>for the avoidance of doubt, that any holder of Registrable Securities participating in an offering shall pay the fees and expenses of its own legal counsel and any applicable underwriting fees, discounts, selling commissions, agency fees, brokers’ commissions and transfer taxes, if any, on the Registrable Securities sold by such holder and similar charges.</w:t>
      </w:r>
    </w:p>
    <w:p>
      <w:pPr>
        <w:spacing w:after="0" w:line="145" w:lineRule="exact"/>
        <w:rPr>
          <w:sz w:val="20"/>
          <w:szCs w:val="20"/>
          <w:color w:val="auto"/>
        </w:rPr>
      </w:pPr>
    </w:p>
    <w:p>
      <w:pPr>
        <w:jc w:val="both"/>
        <w:ind w:firstLine="1496"/>
        <w:spacing w:after="0" w:line="259" w:lineRule="auto"/>
        <w:tabs>
          <w:tab w:leader="none" w:pos="1848"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DXL covenants and agrees that it shall not, without the prior written consent of each FBB Significant Stockholder (such consent not to be unreasonably withheld, conditioned or delayed), grant, issue or enter into any agreement to grant or issue any registration rights to any person or entity that are</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senior or superior to the registration rights granted to the FBB Significant Stockholders under this Section‎ 6.02.</w:t>
      </w:r>
    </w:p>
    <w:p>
      <w:pPr>
        <w:spacing w:after="0" w:line="174" w:lineRule="exact"/>
        <w:rPr>
          <w:rFonts w:ascii="Times New Roman" w:cs="Times New Roman" w:eastAsia="Times New Roman" w:hAnsi="Times New Roman"/>
          <w:sz w:val="17"/>
          <w:szCs w:val="17"/>
          <w:color w:val="auto"/>
        </w:rPr>
      </w:pPr>
    </w:p>
    <w:p>
      <w:pPr>
        <w:jc w:val="both"/>
        <w:ind w:firstLine="1496"/>
        <w:spacing w:after="0" w:line="265" w:lineRule="auto"/>
        <w:tabs>
          <w:tab w:leader="none" w:pos="1848"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covenants contained in this </w:t>
      </w:r>
      <w:r>
        <w:rPr>
          <w:rFonts w:ascii="Times New Roman" w:cs="Times New Roman" w:eastAsia="Times New Roman" w:hAnsi="Times New Roman"/>
          <w:sz w:val="17"/>
          <w:szCs w:val="17"/>
          <w:u w:val="single" w:color="auto"/>
          <w:color w:val="auto"/>
        </w:rPr>
        <w:t>Section 6.02</w:t>
      </w:r>
      <w:r>
        <w:rPr>
          <w:rFonts w:ascii="Times New Roman" w:cs="Times New Roman" w:eastAsia="Times New Roman" w:hAnsi="Times New Roman"/>
          <w:sz w:val="17"/>
          <w:szCs w:val="17"/>
          <w:color w:val="auto"/>
        </w:rPr>
        <w:t xml:space="preserve"> shall survive the consummation of the Merger and are intended to be for the benefit of, and shall be enforceable by, each of the FBB Selling Stockholders and their respective heirs and assigns (from and after Closing) and shall not be deemed exclusive of any other rights to which any such Person is entitled, whether pursuant to Law, contract or otherwise.</w:t>
      </w:r>
    </w:p>
    <w:p>
      <w:pPr>
        <w:spacing w:after="0" w:line="144" w:lineRule="exact"/>
        <w:rPr>
          <w:rFonts w:ascii="Times New Roman" w:cs="Times New Roman" w:eastAsia="Times New Roman" w:hAnsi="Times New Roman"/>
          <w:sz w:val="17"/>
          <w:szCs w:val="17"/>
          <w:color w:val="auto"/>
        </w:rPr>
      </w:pPr>
    </w:p>
    <w:p>
      <w:pPr>
        <w:jc w:val="both"/>
        <w:ind w:right="20" w:firstLine="1496"/>
        <w:spacing w:after="0" w:line="252" w:lineRule="auto"/>
        <w:tabs>
          <w:tab w:leader="none" w:pos="1848"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DXL or the Surviving Company or any of their respective successors or assigns (i) consolidates with or merges into any other Person and shall not be the continuing or surviving corporation or entity of such consolidation or merger, or engages in any division transaction, conversion or redomestication or (ii) transfers or conveys all or substantially all of its properties and assets to any Person, then, in each such case, DXL shall take commercially reasonable efforts to ensure that the successors or assigns or transferees of DXL or the Surviving Company, as the case may be, shall assume the</w:t>
      </w:r>
    </w:p>
    <w:p>
      <w:pPr>
        <w:spacing w:after="0" w:line="3"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obligations with respect to indemnification and contribution of the FBB Selling Stockholders as set forth in this Section‎ 6.02.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4328160</wp:posOffset>
            </wp:positionH>
            <wp:positionV relativeFrom="paragraph">
              <wp:posOffset>-1279525</wp:posOffset>
            </wp:positionV>
            <wp:extent cx="549910"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49910" cy="7620"/>
                    </a:xfrm>
                    <a:prstGeom prst="rect">
                      <a:avLst/>
                    </a:prstGeom>
                    <a:noFill/>
                  </pic:spPr>
                </pic:pic>
              </a:graphicData>
            </a:graphic>
          </wp:anchor>
        </w:drawing>
        <w:drawing>
          <wp:anchor simplePos="0" relativeHeight="251657728" behindDoc="1" locked="0" layoutInCell="0" allowOverlap="1">
            <wp:simplePos x="0" y="0"/>
            <wp:positionH relativeFrom="column">
              <wp:posOffset>4933315</wp:posOffset>
            </wp:positionH>
            <wp:positionV relativeFrom="paragraph">
              <wp:posOffset>-17780</wp:posOffset>
            </wp:positionV>
            <wp:extent cx="549910"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49910" cy="7620"/>
                    </a:xfrm>
                    <a:prstGeom prst="rect">
                      <a:avLst/>
                    </a:prstGeom>
                    <a:noFill/>
                  </pic:spPr>
                </pic:pic>
              </a:graphicData>
            </a:graphic>
          </wp:anchor>
        </w:drawing>
      </w:r>
    </w:p>
    <w:p>
      <w:pPr>
        <w:spacing w:after="0" w:line="153" w:lineRule="exact"/>
        <w:rPr>
          <w:sz w:val="20"/>
          <w:szCs w:val="20"/>
          <w:color w:val="auto"/>
        </w:rPr>
      </w:pPr>
    </w:p>
    <w:p>
      <w:pPr>
        <w:jc w:val="both"/>
        <w:ind w:firstLine="1220"/>
        <w:spacing w:after="0" w:line="251" w:lineRule="auto"/>
        <w:rPr>
          <w:sz w:val="20"/>
          <w:szCs w:val="20"/>
          <w:color w:val="auto"/>
        </w:rPr>
      </w:pPr>
      <w:r>
        <w:rPr>
          <w:rFonts w:ascii="Times New Roman" w:cs="Times New Roman" w:eastAsia="Times New Roman" w:hAnsi="Times New Roman"/>
          <w:sz w:val="17"/>
          <w:szCs w:val="17"/>
          <w:b w:val="1"/>
          <w:bCs w:val="1"/>
          <w:u w:val="single" w:color="auto"/>
          <w:color w:val="auto"/>
        </w:rPr>
        <w:t>SECTION 6.03 Access to Information; Confidentiality</w:t>
      </w:r>
      <w:r>
        <w:rPr>
          <w:rFonts w:ascii="Times New Roman" w:cs="Times New Roman" w:eastAsia="Times New Roman" w:hAnsi="Times New Roman"/>
          <w:sz w:val="17"/>
          <w:szCs w:val="17"/>
          <w:color w:val="auto"/>
        </w:rPr>
        <w:t>. From the date of this Agreement until the Effective Time, upon reasonable notice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subject to applicable Law, each of FBB and DXL shall, and shall cause each of their respective Subsidiaries to, afford to the other party and such other party’s Subsidiaries and their Representatives reasonable access to all their respective properties, books, Contracts, senior management and records and, during such period, each of FBB and DXL shall, and shall cause each of their respective Subsidiaries to, furnish promptly to the other party information concerning their respective businesses, finances, properties and personnel, in each case, as such other party may reasonably request solely for the purposes of integration planning or the consummation of the Transactions; provided that in any event such access shall not include (i) employee personnel files or (ii) any requested books and</w:t>
      </w:r>
    </w:p>
    <w:p>
      <w:pPr>
        <w:spacing w:after="0" w:line="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records that are stored in an offsite archive location pursuant to the ordinary course document storage policies. Any access pursuant to this Section‎ 6.03 shall be coordinated through the respective General Counsels of DXL and FBB or their respective designees thereof, and shall be conducted under the supervision of appropriate personnel of each of DXL and FBB and in such manner as not to unreasonably interfere with the conduct of the business of DXL or FBB. No investigation or access permitted or granted pursuant to this ‎Section 6.03 shall affect or be deemed to modify any representation, warranty, covenant or agreement contained herein, the conditions to the obligations of the parties to consummate the Transactions in accordance with the terms and provisions hereof or otherwise limit, prejudice or affect in any way the rights and remedies available to DXL and FBB, nor shall any such information, knowledge or investigation be deemed to affect or modify DXL and FBB’s reliance on the representations, warranties, covenants and agreements made by the other in this Agreement. Notwithstanding the foregoing, either party may withhold any document or information (a) that is subject to the terms of a confidentiality agreement with a third party entered into prior to the date of this Agreement or entered into after the date of this Agreement in the ordinary course of business (provided that, in any case, the withholding party shall use its reasonable best efforts to obtain the required consent of such third party to such access or disclosure), (b) the disclosure of which would violate any Law (provided that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6213475</wp:posOffset>
            </wp:positionH>
            <wp:positionV relativeFrom="paragraph">
              <wp:posOffset>-1304925</wp:posOffset>
            </wp:positionV>
            <wp:extent cx="549910"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49910" cy="7620"/>
                    </a:xfrm>
                    <a:prstGeom prst="rect">
                      <a:avLst/>
                    </a:prstGeom>
                    <a:noFill/>
                  </pic:spPr>
                </pic:pic>
              </a:graphicData>
            </a:graphic>
          </wp:anchor>
        </w:drawing>
        <w:drawing>
          <wp:anchor simplePos="0" relativeHeight="251657728" behindDoc="1" locked="0" layoutInCell="0" allowOverlap="1">
            <wp:simplePos x="0" y="0"/>
            <wp:positionH relativeFrom="column">
              <wp:posOffset>2652395</wp:posOffset>
            </wp:positionH>
            <wp:positionV relativeFrom="paragraph">
              <wp:posOffset>-922020</wp:posOffset>
            </wp:positionV>
            <wp:extent cx="549910"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49910" cy="762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70" w:name="page71"/>
    <w:bookmarkEnd w:id="70"/>
    <w:p>
      <w:pPr>
        <w:ind w:left="5"/>
        <w:spacing w:after="0"/>
        <w:rPr>
          <w:sz w:val="20"/>
          <w:szCs w:val="20"/>
          <w:color w:val="auto"/>
        </w:rPr>
      </w:pPr>
      <w:r>
        <w:rPr>
          <w:rFonts w:ascii="Times New Roman" w:cs="Times New Roman" w:eastAsia="Times New Roman" w:hAnsi="Times New Roman"/>
          <w:sz w:val="17"/>
          <w:szCs w:val="17"/>
          <w:color w:val="auto"/>
        </w:rPr>
        <w:t>withholding party shall use its reasonable best efforts to make appropriate substitute arrangements to permit reasonable disclosure not in violation of any Law) or</w:t>
      </w:r>
    </w:p>
    <w:p>
      <w:pPr>
        <w:spacing w:after="0" w:line="26" w:lineRule="exact"/>
        <w:rPr>
          <w:sz w:val="20"/>
          <w:szCs w:val="20"/>
          <w:color w:val="auto"/>
        </w:rPr>
      </w:pPr>
    </w:p>
    <w:p>
      <w:pPr>
        <w:jc w:val="both"/>
        <w:ind w:left="5" w:hanging="5"/>
        <w:spacing w:after="0" w:line="248" w:lineRule="auto"/>
        <w:tabs>
          <w:tab w:leader="none" w:pos="243"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that is subject to any attorney-client privilege (provided that the withholding party shall use its reasonable best efforts to allow for such access or disclosure to the maximum extent that does not result in a loss of attorney-client privilege). If any material is withheld by any party as permitted by the immediately preceding sentence, then such party shall inform the other party as to the general nature of what is being withheld. Notwithstanding anything to the contrary contained herein, prior to the Closing, without the prior written consent of the other party (which consent may be withheld for any reason), (x) neither party shall, and shall cause its Affiliates and its representatives not to, contact any vendor, supplier or customer of the other party regarding such other party’s business, operations, or prospects or this Agreement or the Transactions, and (y) neither party shall have the right to perform invasive or subsurface investigations of the properties or facilities of the other party. All information exchanged pursuant to this </w:t>
      </w:r>
      <w:r>
        <w:rPr>
          <w:rFonts w:ascii="Times New Roman" w:cs="Times New Roman" w:eastAsia="Times New Roman" w:hAnsi="Times New Roman"/>
          <w:sz w:val="17"/>
          <w:szCs w:val="17"/>
          <w:u w:val="single" w:color="auto"/>
          <w:color w:val="auto"/>
        </w:rPr>
        <w:t>Section 6.03</w:t>
      </w:r>
      <w:r>
        <w:rPr>
          <w:rFonts w:ascii="Times New Roman" w:cs="Times New Roman" w:eastAsia="Times New Roman" w:hAnsi="Times New Roman"/>
          <w:sz w:val="17"/>
          <w:szCs w:val="17"/>
          <w:color w:val="auto"/>
        </w:rPr>
        <w:t xml:space="preserve"> shall be subject to that certain Mutual Confidentiality and Non-Disclosure Agreement, dated as of February 12, 2024, by and among DXL, FULLBEAUTY Brands, Inc., Oaktree Opportunities Fund Xb Holdings (Delaware), L.P., Oaktree Opportunities Fund XI Holdings (Delaware), L.P., and Goldman Sachs Specialty Lending Group, L.P., as amended by that certain First Amendment to Mutual Confidentiality and Non-Disclosure Agreement, dated as of October 18, 2024 (as amended, the “</w:t>
      </w:r>
      <w:r>
        <w:rPr>
          <w:rFonts w:ascii="Times New Roman" w:cs="Times New Roman" w:eastAsia="Times New Roman" w:hAnsi="Times New Roman"/>
          <w:sz w:val="17"/>
          <w:szCs w:val="17"/>
          <w:u w:val="single" w:color="auto"/>
          <w:color w:val="auto"/>
        </w:rPr>
        <w:t>Confidentiality Agreement</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1225"/>
        <w:spacing w:after="0"/>
        <w:tabs>
          <w:tab w:leader="none" w:pos="2585" w:val="left"/>
        </w:tabs>
        <w:rPr>
          <w:sz w:val="20"/>
          <w:szCs w:val="20"/>
          <w:color w:val="auto"/>
        </w:rPr>
      </w:pPr>
      <w:r>
        <w:rPr>
          <w:rFonts w:ascii="Times New Roman" w:cs="Times New Roman" w:eastAsia="Times New Roman" w:hAnsi="Times New Roman"/>
          <w:sz w:val="17"/>
          <w:szCs w:val="17"/>
          <w:b w:val="1"/>
          <w:bCs w:val="1"/>
          <w:u w:val="single" w:color="auto"/>
          <w:color w:val="auto"/>
        </w:rPr>
        <w:t>SECTION 6.04</w:t>
      </w:r>
      <w:r>
        <w:rPr>
          <w:sz w:val="20"/>
          <w:szCs w:val="20"/>
          <w:color w:val="auto"/>
        </w:rPr>
        <w:tab/>
      </w:r>
      <w:r>
        <w:rPr>
          <w:rFonts w:ascii="Times New Roman" w:cs="Times New Roman" w:eastAsia="Times New Roman" w:hAnsi="Times New Roman"/>
          <w:sz w:val="17"/>
          <w:szCs w:val="17"/>
          <w:b w:val="1"/>
          <w:bCs w:val="1"/>
          <w:u w:val="single" w:color="auto"/>
          <w:color w:val="auto"/>
        </w:rPr>
        <w:t>Required Actions</w:t>
      </w:r>
      <w:r>
        <w:rPr>
          <w:rFonts w:ascii="Times New Roman" w:cs="Times New Roman" w:eastAsia="Times New Roman" w:hAnsi="Times New Roman"/>
          <w:sz w:val="17"/>
          <w:szCs w:val="17"/>
          <w:color w:val="auto"/>
        </w:rPr>
        <w:t>.</w:t>
      </w:r>
    </w:p>
    <w:p>
      <w:pPr>
        <w:spacing w:after="0" w:line="197" w:lineRule="exact"/>
        <w:rPr>
          <w:sz w:val="20"/>
          <w:szCs w:val="20"/>
          <w:color w:val="auto"/>
        </w:rPr>
      </w:pPr>
    </w:p>
    <w:p>
      <w:pPr>
        <w:jc w:val="both"/>
        <w:ind w:left="5" w:firstLine="1496"/>
        <w:spacing w:after="0" w:line="251" w:lineRule="auto"/>
        <w:tabs>
          <w:tab w:leader="none" w:pos="1853"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terms and subject to the conditions set forth in this Agreement, each of the parties agrees to use their respective commercially reasonable efforts to take, and cause their respective Affiliates to take, all actions that are necessary, proper or advisable to consummate and make effective, in the most expeditious manner practicable, the Transactions, including using commercially reasonable efforts to accomplish the following: (i) obtain all required consents, permits, waivers, approvals, clearances and authorizations orders of, or non-actions by (collectively, “</w:t>
      </w:r>
      <w:r>
        <w:rPr>
          <w:rFonts w:ascii="Times New Roman" w:cs="Times New Roman" w:eastAsia="Times New Roman" w:hAnsi="Times New Roman"/>
          <w:sz w:val="17"/>
          <w:szCs w:val="17"/>
          <w:u w:val="single" w:color="auto"/>
          <w:color w:val="auto"/>
        </w:rPr>
        <w:t>Consents</w:t>
      </w:r>
      <w:r>
        <w:rPr>
          <w:rFonts w:ascii="Times New Roman" w:cs="Times New Roman" w:eastAsia="Times New Roman" w:hAnsi="Times New Roman"/>
          <w:sz w:val="17"/>
          <w:szCs w:val="17"/>
          <w:color w:val="auto"/>
        </w:rPr>
        <w:t>”) from, or participation in other discussions or negotiations with, third parties, including as required under any DXL Material Contract or FBB Material Contract, and (ii) execute and deliver any additional instruments necessary to consummate the Transactions and to fully carry out the purposes of this Agreement; provided, however, that neither the DXL, FBB nor any of their respective Subsidiaries shall commit to the payment of any fee, penalty or other consideration or make any other concession, waiver or amendment under any Contract in connection with obtaining any consent without the prior written consent of the other party (not to be unreasonably withheld, conditioned or delayed).</w:t>
      </w:r>
    </w:p>
    <w:p>
      <w:pPr>
        <w:spacing w:after="0" w:line="363" w:lineRule="exact"/>
        <w:rPr>
          <w:rFonts w:ascii="Times New Roman" w:cs="Times New Roman" w:eastAsia="Times New Roman" w:hAnsi="Times New Roman"/>
          <w:sz w:val="17"/>
          <w:szCs w:val="17"/>
          <w:color w:val="auto"/>
        </w:rPr>
      </w:pPr>
    </w:p>
    <w:p>
      <w:pPr>
        <w:jc w:val="both"/>
        <w:ind w:left="5" w:firstLine="1496"/>
        <w:spacing w:after="0" w:line="259" w:lineRule="auto"/>
        <w:tabs>
          <w:tab w:leader="none" w:pos="1853"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limiting the generality of Section‎ 6.04(a), each of DXL and FBB shall use commercially reasonable efforts to (i) take all action necessary to ensure that no Takeover Statute or similar statute or regulation is or becomes applicable to this Agreement or any Transaction and (ii) if any Takeover Statute or similar statute or regulation becomes applicable to this Agreement or any Transaction, take all action necessary to ensure that the Merger and the other Transactions may be consummated as promptly as practicable on the terms contemplated by this Agreement.</w:t>
      </w:r>
    </w:p>
    <w:p>
      <w:pPr>
        <w:spacing w:after="0" w:line="149" w:lineRule="exact"/>
        <w:rPr>
          <w:rFonts w:ascii="Times New Roman" w:cs="Times New Roman" w:eastAsia="Times New Roman" w:hAnsi="Times New Roman"/>
          <w:sz w:val="17"/>
          <w:szCs w:val="17"/>
          <w:color w:val="auto"/>
        </w:rPr>
      </w:pPr>
    </w:p>
    <w:p>
      <w:pPr>
        <w:jc w:val="both"/>
        <w:ind w:left="5" w:firstLine="1496"/>
        <w:spacing w:after="0" w:line="253" w:lineRule="auto"/>
        <w:tabs>
          <w:tab w:leader="none" w:pos="1853"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limiting the generality of Section‎ 6.04(a), each of DXL and FBB shall use commercially reasonable efforts to, and, to the extent any of DXL’s Affiliates are required to under applicable Laws, DXL shall use commercially reasonable efforts to cause such Affiliates to, (i) provide all necessary notices, reports, registrations, submissions of information, applications and other filings, and obtain as promptly as practicable all Consents from any Governmental Entity and any other Person that are required to be effected or obtained by DXL, Merger Sub or FBB, or any of their respective Subsidiaries, in connection with the consummation of the Transactions, and take all necessary actions to obtain any such Consents from any Governmental Entity that are required to be so effected or obtained, (ii) to prosecute all such filings and Consents with all appropriate diligence, (iii) furnish all information required to be furnished in connection with the Consents of or filings with any Governmental Entity, and promptly cooperate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2768600</wp:posOffset>
            </wp:positionH>
            <wp:positionV relativeFrom="paragraph">
              <wp:posOffset>-1428115</wp:posOffset>
            </wp:positionV>
            <wp:extent cx="680085"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0085" cy="7620"/>
                    </a:xfrm>
                    <a:prstGeom prst="rect">
                      <a:avLst/>
                    </a:prstGeom>
                    <a:noFill/>
                  </pic:spPr>
                </pic:pic>
              </a:graphicData>
            </a:graphic>
          </wp:anchor>
        </w:drawing>
        <w:drawing>
          <wp:anchor simplePos="0" relativeHeight="251657728" behindDoc="1" locked="0" layoutInCell="0" allowOverlap="1">
            <wp:simplePos x="0" y="0"/>
            <wp:positionH relativeFrom="column">
              <wp:posOffset>2753995</wp:posOffset>
            </wp:positionH>
            <wp:positionV relativeFrom="paragraph">
              <wp:posOffset>-796925</wp:posOffset>
            </wp:positionV>
            <wp:extent cx="680085"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0085" cy="762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54" w:right="319" w:bottom="1440" w:gutter="0" w:footer="0" w:header="0"/>
        </w:sectPr>
      </w:pPr>
    </w:p>
    <w:bookmarkStart w:id="71" w:name="page72"/>
    <w:bookmarkEnd w:id="71"/>
    <w:p>
      <w:pPr>
        <w:jc w:val="both"/>
        <w:spacing w:after="0" w:line="251" w:lineRule="auto"/>
        <w:rPr>
          <w:sz w:val="20"/>
          <w:szCs w:val="20"/>
          <w:color w:val="auto"/>
        </w:rPr>
      </w:pPr>
      <w:r>
        <w:rPr>
          <w:rFonts w:ascii="Times New Roman" w:cs="Times New Roman" w:eastAsia="Times New Roman" w:hAnsi="Times New Roman"/>
          <w:sz w:val="17"/>
          <w:szCs w:val="17"/>
          <w:color w:val="auto"/>
        </w:rPr>
        <w:t>and furnish information in connection with any such requirements imposed upon either of them or any of their respective Subsidiaries in connection with this Agreement and the Transactions, (iv) execute and deliver any additional instruments necessary to consummate the Transactions and to fully carry out the purposes of this Agreement, (v) facilitate obtaining any final order, writ, judgment or decree approving the Transactions consistent with this Agreement, and (vi) take, or cause to be taken, all actions, and do, or cause to be done, and assist and cooperate with the other in doing, all things necessary to avoid or eliminate each and every legal impediment asserted by any Governmental Entity so as to enable the parties hereto to consummate and make effective, as promptly as practicable, the Merger and the other Transactions in accordance with the terms hereof; provided, that notwithstanding anything to the contrary in this Agreement, nothing in this Agreement shall require DXL or FBB or any of their respective Affiliates to (or permit DXL and its Affiliates, on the one hand, or FBB and its Affiliates, on the other hand, without the consent of the other of DXL or FBB, as applicable, to agree or accept), any action or remedy that would be material and adverse to DXL and its Subsidiaries (including FBB) following the Merger.</w:t>
      </w:r>
    </w:p>
    <w:p>
      <w:pPr>
        <w:spacing w:after="0" w:line="159" w:lineRule="exact"/>
        <w:rPr>
          <w:sz w:val="20"/>
          <w:szCs w:val="20"/>
          <w:color w:val="auto"/>
        </w:rPr>
      </w:pPr>
    </w:p>
    <w:p>
      <w:pPr>
        <w:jc w:val="both"/>
        <w:ind w:firstLine="1496"/>
        <w:spacing w:after="0" w:line="249" w:lineRule="auto"/>
        <w:tabs>
          <w:tab w:leader="none" w:pos="1848"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applicable Law and the instructions of any Governmental Entity, DXL and FBB shall each advise the other promptly, but in any event within two (2) Business Days, of (and shall promptly furnish the other with copies of) any notice or other communication received by such party or any of its Affiliates from any Governmental Entity regarding any of the Transactions, and of any understandings, undertakings or agreements (oral or written) such party proposes to make or enter into with any Governmental Entity in connection with the Transactions, and each party shall generally keep the other apprised of the status of matters relating to completion of the Transactions. Subject to applicable Law, neither DXL nor FBB shall, and each shall not permit any of its Subsidiaries or Representatives to, participate in any substantive or material meeting, telephone conversation or other communication with any Governmental Entity in respect of any filings, investigation or other inquiry or proceeding with respect to the Transactions, unless, to the extent reasonably practicable under the circumstances, it consults with the other party in advance and, to the extent permitted by such Governmental Entity, gives the other party the opportunity to attend and participate in such meeting, conversation or other communication. Each of DXL and FBB shall (i) cooperate in the filing of any substantive memoranda, white papers, filings, correspondence or other written communications explaining or defending this Agreement or any of the Transactions, articulating any regulatory or competitive argument or responding to requests or objections made by any Governmental Entity and (ii) subject to applicable Law, furnish the other party with copies of all filings, submissions, correspondence and communications (and memoranda setting forth the substance thereof) between it and their respective Subsidiaries and Representatives, on the one hand, and any Governmental Entity or members of any Governmental Entity’s staff, on the other hand, with respect to this Agreement and the Transactions.</w:t>
      </w:r>
    </w:p>
    <w:p>
      <w:pPr>
        <w:spacing w:after="0" w:line="163" w:lineRule="exact"/>
        <w:rPr>
          <w:sz w:val="20"/>
          <w:szCs w:val="20"/>
          <w:color w:val="auto"/>
        </w:rPr>
      </w:pPr>
    </w:p>
    <w:p>
      <w:pPr>
        <w:jc w:val="both"/>
        <w:ind w:firstLine="1220"/>
        <w:spacing w:after="0" w:line="253" w:lineRule="auto"/>
        <w:rPr>
          <w:sz w:val="20"/>
          <w:szCs w:val="20"/>
          <w:color w:val="auto"/>
        </w:rPr>
      </w:pPr>
      <w:r>
        <w:rPr>
          <w:rFonts w:ascii="Times New Roman" w:cs="Times New Roman" w:eastAsia="Times New Roman" w:hAnsi="Times New Roman"/>
          <w:sz w:val="17"/>
          <w:szCs w:val="17"/>
          <w:b w:val="1"/>
          <w:bCs w:val="1"/>
          <w:u w:val="single" w:color="auto"/>
          <w:color w:val="auto"/>
        </w:rPr>
        <w:t>SECTION 6.05 Stockholder Litigation</w:t>
      </w:r>
      <w:r>
        <w:rPr>
          <w:rFonts w:ascii="Times New Roman" w:cs="Times New Roman" w:eastAsia="Times New Roman" w:hAnsi="Times New Roman"/>
          <w:sz w:val="17"/>
          <w:szCs w:val="17"/>
          <w:color w:val="auto"/>
        </w:rPr>
        <w:t>. Each party shall give each other party prompt notice of any stockholder litigation against such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party or its directors or officers relating to the Transactions contemplated by this Agreement, and shall give each other party the opportunity to participate (at such other’s party’s expense) in the defense or settlement of any such litigation. Each party shall give the other the right to review and comment on all filings or responses to be made by such party in connection with any such litigation, and will in good faith take such comments into account. No party shall agree to settle any such litigation without the other party’s prior written consent, which consent shall not be unreasonably withheld, conditioned or delayed; provided, that each other party shall not be obligated to consent to any settlement which does not include a full release of such other party and its affiliates or which imposes an injunction or other equitable relief after the Effective Time upon the Surviving Company or any of its affiliates.</w:t>
      </w:r>
    </w:p>
    <w:p>
      <w:pPr>
        <w:spacing w:after="0" w:line="154" w:lineRule="exact"/>
        <w:rPr>
          <w:sz w:val="20"/>
          <w:szCs w:val="20"/>
          <w:color w:val="auto"/>
        </w:rPr>
      </w:pPr>
    </w:p>
    <w:p>
      <w:pPr>
        <w:ind w:left="1220"/>
        <w:spacing w:after="0"/>
        <w:tabs>
          <w:tab w:leader="none" w:pos="2580" w:val="left"/>
        </w:tabs>
        <w:rPr>
          <w:sz w:val="20"/>
          <w:szCs w:val="20"/>
          <w:color w:val="auto"/>
        </w:rPr>
      </w:pPr>
      <w:r>
        <w:rPr>
          <w:rFonts w:ascii="Times New Roman" w:cs="Times New Roman" w:eastAsia="Times New Roman" w:hAnsi="Times New Roman"/>
          <w:sz w:val="17"/>
          <w:szCs w:val="17"/>
          <w:b w:val="1"/>
          <w:bCs w:val="1"/>
          <w:u w:val="single" w:color="auto"/>
          <w:color w:val="auto"/>
        </w:rPr>
        <w:t>SECTION 6.06</w:t>
      </w:r>
      <w:r>
        <w:rPr>
          <w:sz w:val="20"/>
          <w:szCs w:val="20"/>
          <w:color w:val="auto"/>
        </w:rPr>
        <w:tab/>
      </w:r>
      <w:r>
        <w:rPr>
          <w:rFonts w:ascii="Times New Roman" w:cs="Times New Roman" w:eastAsia="Times New Roman" w:hAnsi="Times New Roman"/>
          <w:sz w:val="17"/>
          <w:szCs w:val="17"/>
          <w:b w:val="1"/>
          <w:bCs w:val="1"/>
          <w:u w:val="single" w:color="auto"/>
          <w:color w:val="auto"/>
        </w:rPr>
        <w:t>DXL Stockholders Meeting</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72" w:name="page73"/>
    <w:bookmarkEnd w:id="72"/>
    <w:p>
      <w:pPr>
        <w:jc w:val="both"/>
        <w:ind w:firstLine="1496"/>
        <w:spacing w:after="0" w:line="252" w:lineRule="auto"/>
        <w:tabs>
          <w:tab w:leader="none" w:pos="1848"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limiting anything contained in, and subject to, Section‎ 6.01(a), DXL shall take all action necessary under all applicable Laws to set a record date for, call, give notice of and hold the DXL Stockholders Meeting for purposes of seeking the Required DXL Stockholder Vote. Subject to the notice requirements under all applicable Laws and under the DXL Charter, the DXL Stockholders Meeting shall be held (on a date selected by DXL and consented to by FBB (such consent not to be unreasonably withheld, conditioned or delayed)) as promptly as practicable after the date hereof and no later than the</w:t>
      </w:r>
    </w:p>
    <w:p>
      <w:pPr>
        <w:spacing w:after="0" w:line="3" w:lineRule="exact"/>
        <w:rPr>
          <w:rFonts w:ascii="Times New Roman" w:cs="Times New Roman" w:eastAsia="Times New Roman" w:hAnsi="Times New Roman"/>
          <w:sz w:val="17"/>
          <w:szCs w:val="17"/>
          <w:color w:val="auto"/>
        </w:rPr>
      </w:pPr>
    </w:p>
    <w:p>
      <w:pPr>
        <w:jc w:val="both"/>
        <w:ind w:right="2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date that the DXL Stockholders Meeting is required to be held in accordance with Section‎ 6.01(h). DXL shall use reasonable best efforts to solicit from its stockholders proxies for voting on the matters to be voted on at the DXL Stockholders Meeting as contemplated under this Agreement, including the issuance of the DXL Common Stock to be issued in respect of the Merger Consideration. DXL shall call, notice, convene, hold, conduct and solicit all proxies in connection with the DXL Stockholders Meeting in compliance with all applicable Laws, including the DGCL and the DXL Charter.</w:t>
      </w:r>
    </w:p>
    <w:p>
      <w:pPr>
        <w:spacing w:after="0" w:line="155" w:lineRule="exact"/>
        <w:rPr>
          <w:rFonts w:ascii="Times New Roman" w:cs="Times New Roman" w:eastAsia="Times New Roman" w:hAnsi="Times New Roman"/>
          <w:sz w:val="17"/>
          <w:szCs w:val="17"/>
          <w:color w:val="auto"/>
        </w:rPr>
      </w:pPr>
    </w:p>
    <w:p>
      <w:pPr>
        <w:jc w:val="both"/>
        <w:ind w:right="20" w:firstLine="1496"/>
        <w:spacing w:after="0" w:line="259" w:lineRule="auto"/>
        <w:tabs>
          <w:tab w:leader="none" w:pos="1848"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DXL Board shall recommend without reservation that DXL’s stockholders provide the Required DXL Stockholder Vote; and neither the DXL Board nor any committee thereof shall withhold, withdraw, amend, modify, change or propose or resolve to withhold, withdraw, amend, modify or change, in each case in a manner materially adverse to FBB or which would prevent or delay consummation of the Merger, the recommendation of the DXL Board that DXL’s stockholders provide the Required DXL Stockholder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3646805</wp:posOffset>
            </wp:positionH>
            <wp:positionV relativeFrom="paragraph">
              <wp:posOffset>-1558290</wp:posOffset>
            </wp:positionV>
            <wp:extent cx="672465"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72465" cy="7620"/>
                    </a:xfrm>
                    <a:prstGeom prst="rect">
                      <a:avLst/>
                    </a:prstGeom>
                    <a:noFill/>
                  </pic:spPr>
                </pic:pic>
              </a:graphicData>
            </a:graphic>
          </wp:anchor>
        </w:drawing>
        <w:drawing>
          <wp:anchor simplePos="0" relativeHeight="251657728" behindDoc="1" locked="0" layoutInCell="0" allowOverlap="1">
            <wp:simplePos x="0" y="0"/>
            <wp:positionH relativeFrom="column">
              <wp:posOffset>3815080</wp:posOffset>
            </wp:positionH>
            <wp:positionV relativeFrom="paragraph">
              <wp:posOffset>-1047750</wp:posOffset>
            </wp:positionV>
            <wp:extent cx="685800"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0" cy="7620"/>
                    </a:xfrm>
                    <a:prstGeom prst="rect">
                      <a:avLst/>
                    </a:prstGeom>
                    <a:noFill/>
                  </pic:spPr>
                </pic:pic>
              </a:graphicData>
            </a:graphic>
          </wp:anchor>
        </w:drawing>
      </w:r>
    </w:p>
    <w:p>
      <w:pPr>
        <w:spacing w:after="0" w:line="128" w:lineRule="exact"/>
        <w:rPr>
          <w:sz w:val="20"/>
          <w:szCs w:val="20"/>
          <w:color w:val="auto"/>
        </w:rPr>
      </w:pPr>
    </w:p>
    <w:p>
      <w:pPr>
        <w:ind w:left="1220"/>
        <w:spacing w:after="0"/>
        <w:tabs>
          <w:tab w:leader="none" w:pos="2580" w:val="left"/>
        </w:tabs>
        <w:rPr>
          <w:sz w:val="20"/>
          <w:szCs w:val="20"/>
          <w:color w:val="auto"/>
        </w:rPr>
      </w:pPr>
      <w:r>
        <w:rPr>
          <w:rFonts w:ascii="Times New Roman" w:cs="Times New Roman" w:eastAsia="Times New Roman" w:hAnsi="Times New Roman"/>
          <w:sz w:val="17"/>
          <w:szCs w:val="17"/>
          <w:b w:val="1"/>
          <w:bCs w:val="1"/>
          <w:u w:val="single" w:color="auto"/>
          <w:color w:val="auto"/>
        </w:rPr>
        <w:t>SECTION 6.07</w:t>
      </w:r>
      <w:r>
        <w:rPr>
          <w:sz w:val="20"/>
          <w:szCs w:val="20"/>
          <w:color w:val="auto"/>
        </w:rPr>
        <w:tab/>
      </w:r>
      <w:r>
        <w:rPr>
          <w:rFonts w:ascii="Times New Roman" w:cs="Times New Roman" w:eastAsia="Times New Roman" w:hAnsi="Times New Roman"/>
          <w:sz w:val="17"/>
          <w:szCs w:val="17"/>
          <w:b w:val="1"/>
          <w:bCs w:val="1"/>
          <w:u w:val="single" w:color="auto"/>
          <w:color w:val="auto"/>
        </w:rPr>
        <w:t>Fees and Expenses</w:t>
      </w:r>
      <w:r>
        <w:rPr>
          <w:rFonts w:ascii="Times New Roman" w:cs="Times New Roman" w:eastAsia="Times New Roman" w:hAnsi="Times New Roman"/>
          <w:sz w:val="17"/>
          <w:szCs w:val="17"/>
          <w:color w:val="auto"/>
        </w:rPr>
        <w:t>.</w:t>
      </w:r>
    </w:p>
    <w:p>
      <w:pPr>
        <w:spacing w:after="0" w:line="197" w:lineRule="exact"/>
        <w:rPr>
          <w:sz w:val="20"/>
          <w:szCs w:val="20"/>
          <w:color w:val="auto"/>
        </w:rPr>
      </w:pPr>
    </w:p>
    <w:p>
      <w:pPr>
        <w:ind w:right="40" w:firstLine="1496"/>
        <w:spacing w:after="0" w:line="284" w:lineRule="auto"/>
        <w:tabs>
          <w:tab w:leader="none" w:pos="1848"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explicitly provided in this Agreement, all costs and expenses incurred in connection with this Agreement, the Merger and the other Transactions will be paid by the party incurring such costs and expenses.</w:t>
      </w:r>
    </w:p>
    <w:p>
      <w:pPr>
        <w:spacing w:after="0" w:line="128" w:lineRule="exact"/>
        <w:rPr>
          <w:rFonts w:ascii="Times New Roman" w:cs="Times New Roman" w:eastAsia="Times New Roman" w:hAnsi="Times New Roman"/>
          <w:sz w:val="17"/>
          <w:szCs w:val="17"/>
          <w:color w:val="auto"/>
        </w:rPr>
      </w:pPr>
    </w:p>
    <w:p>
      <w:pPr>
        <w:ind w:left="1840" w:hanging="344"/>
        <w:spacing w:after="0"/>
        <w:tabs>
          <w:tab w:leader="none" w:pos="184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w:t>
      </w:r>
    </w:p>
    <w:p>
      <w:pPr>
        <w:spacing w:after="0" w:line="194" w:lineRule="exact"/>
        <w:rPr>
          <w:rFonts w:ascii="Times New Roman" w:cs="Times New Roman" w:eastAsia="Times New Roman" w:hAnsi="Times New Roman"/>
          <w:sz w:val="17"/>
          <w:szCs w:val="17"/>
          <w:color w:val="auto"/>
        </w:rPr>
      </w:pPr>
    </w:p>
    <w:p>
      <w:pPr>
        <w:ind w:left="2600" w:hanging="354"/>
        <w:spacing w:after="0"/>
        <w:tabs>
          <w:tab w:leader="none" w:pos="2600"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is terminated by DXL pursuant to Section‎ 8.01(j) (accepting a DXL Superior Proposal);</w:t>
      </w:r>
    </w:p>
    <w:p>
      <w:pPr>
        <w:spacing w:after="0" w:line="194" w:lineRule="exact"/>
        <w:rPr>
          <w:rFonts w:ascii="Times New Roman" w:cs="Times New Roman" w:eastAsia="Times New Roman" w:hAnsi="Times New Roman"/>
          <w:sz w:val="17"/>
          <w:szCs w:val="17"/>
          <w:color w:val="auto"/>
        </w:rPr>
      </w:pPr>
    </w:p>
    <w:p>
      <w:pPr>
        <w:ind w:left="2600" w:hanging="354"/>
        <w:spacing w:after="0"/>
        <w:tabs>
          <w:tab w:leader="none" w:pos="2600"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is terminated by FBB pursuant to Section‎ 8.01(k) (change in DXL Board recommendation); or</w:t>
      </w:r>
    </w:p>
    <w:p>
      <w:pPr>
        <w:spacing w:after="0" w:line="194" w:lineRule="exact"/>
        <w:rPr>
          <w:rFonts w:ascii="Times New Roman" w:cs="Times New Roman" w:eastAsia="Times New Roman" w:hAnsi="Times New Roman"/>
          <w:sz w:val="17"/>
          <w:szCs w:val="17"/>
          <w:color w:val="auto"/>
        </w:rPr>
      </w:pPr>
    </w:p>
    <w:p>
      <w:pPr>
        <w:ind w:left="2600" w:hanging="354"/>
        <w:spacing w:after="0"/>
        <w:tabs>
          <w:tab w:leader="none" w:pos="2600"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(x) a DXL Takeover Proposal shall have been publicly announced or disclosed or otherwise communicated to DXL or the</w:t>
      </w:r>
    </w:p>
    <w:p>
      <w:pPr>
        <w:spacing w:after="0" w:line="25"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DXL Board after the date of this Agreement but prior to the termination of this Agreement and this Agreement is terminated pursuant to Section‎ 8.01(c) (failure</w:t>
      </w:r>
    </w:p>
    <w:p>
      <w:pPr>
        <w:spacing w:after="0" w:line="5" w:lineRule="exact"/>
        <w:rPr>
          <w:rFonts w:ascii="Times New Roman" w:cs="Times New Roman" w:eastAsia="Times New Roman" w:hAnsi="Times New Roman"/>
          <w:sz w:val="17"/>
          <w:szCs w:val="17"/>
          <w:color w:val="auto"/>
        </w:rPr>
      </w:pPr>
    </w:p>
    <w:p>
      <w:pPr>
        <w:jc w:val="both"/>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obtain Required DXL Stockholder Vote), Section‎ 8.01(e) (lapse of End Date) or Section‎ 8.01(g) (DXL breach) and (y) within twelve (12) months after the date of such termination, DXL enters into an agreement with respect to, or consummates, a Subsequent Transaction in respect of the DXL Takeover Proposal referred to in the immediately preceding clause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3859530</wp:posOffset>
            </wp:positionH>
            <wp:positionV relativeFrom="paragraph">
              <wp:posOffset>-1037590</wp:posOffset>
            </wp:positionV>
            <wp:extent cx="654050"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54050" cy="7620"/>
                    </a:xfrm>
                    <a:prstGeom prst="rect">
                      <a:avLst/>
                    </a:prstGeom>
                    <a:noFill/>
                  </pic:spPr>
                </pic:pic>
              </a:graphicData>
            </a:graphic>
          </wp:anchor>
        </w:drawing>
        <w:drawing>
          <wp:anchor simplePos="0" relativeHeight="251657728" behindDoc="1" locked="0" layoutInCell="0" allowOverlap="1">
            <wp:simplePos x="0" y="0"/>
            <wp:positionH relativeFrom="column">
              <wp:posOffset>3841115</wp:posOffset>
            </wp:positionH>
            <wp:positionV relativeFrom="paragraph">
              <wp:posOffset>-789305</wp:posOffset>
            </wp:positionV>
            <wp:extent cx="678815"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78815" cy="7620"/>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-414020</wp:posOffset>
            </wp:positionV>
            <wp:extent cx="672465"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72465" cy="7620"/>
                    </a:xfrm>
                    <a:prstGeom prst="rect">
                      <a:avLst/>
                    </a:prstGeom>
                    <a:noFill/>
                  </pic:spPr>
                </pic:pic>
              </a:graphicData>
            </a:graphic>
          </wp:anchor>
        </w:drawing>
        <w:drawing>
          <wp:anchor simplePos="0" relativeHeight="251657728" behindDoc="1" locked="0" layoutInCell="0" allowOverlap="1">
            <wp:simplePos x="0" y="0"/>
            <wp:positionH relativeFrom="column">
              <wp:posOffset>1962150</wp:posOffset>
            </wp:positionH>
            <wp:positionV relativeFrom="paragraph">
              <wp:posOffset>-286385</wp:posOffset>
            </wp:positionV>
            <wp:extent cx="672465"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72465" cy="7620"/>
                    </a:xfrm>
                    <a:prstGeom prst="rect">
                      <a:avLst/>
                    </a:prstGeom>
                    <a:noFill/>
                  </pic:spPr>
                </pic:pic>
              </a:graphicData>
            </a:graphic>
          </wp:anchor>
        </w:drawing>
        <w:drawing>
          <wp:anchor simplePos="0" relativeHeight="251657728" behindDoc="1" locked="0" layoutInCell="0" allowOverlap="1">
            <wp:simplePos x="0" y="0"/>
            <wp:positionH relativeFrom="column">
              <wp:posOffset>3667125</wp:posOffset>
            </wp:positionH>
            <wp:positionV relativeFrom="paragraph">
              <wp:posOffset>-286385</wp:posOffset>
            </wp:positionV>
            <wp:extent cx="678815"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78815" cy="7620"/>
                    </a:xfrm>
                    <a:prstGeom prst="rect">
                      <a:avLst/>
                    </a:prstGeom>
                    <a:noFill/>
                  </pic:spPr>
                </pic:pic>
              </a:graphicData>
            </a:graphic>
          </wp:anchor>
        </w:drawing>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then DXL shall pay FBB a fee equal to $2,500,000 (the “</w:t>
      </w:r>
      <w:r>
        <w:rPr>
          <w:rFonts w:ascii="Times New Roman" w:cs="Times New Roman" w:eastAsia="Times New Roman" w:hAnsi="Times New Roman"/>
          <w:sz w:val="17"/>
          <w:szCs w:val="17"/>
          <w:u w:val="single" w:color="auto"/>
          <w:color w:val="auto"/>
        </w:rPr>
        <w:t>DXL Termination Fee</w:t>
      </w:r>
      <w:r>
        <w:rPr>
          <w:rFonts w:ascii="Times New Roman" w:cs="Times New Roman" w:eastAsia="Times New Roman" w:hAnsi="Times New Roman"/>
          <w:sz w:val="17"/>
          <w:szCs w:val="17"/>
          <w:color w:val="auto"/>
        </w:rPr>
        <w:t>”), by wire transfer of same day funds to an account designated by FBB, in each case substantially concurrently with, or prior to, such termination (in the case of a termination referred to in ‎Section 6.07(b)(i) or ‎Section 6.07(b)(ii)) or within two (2) Business Days following the earlier of entering into the agreement in respect of, or consummation of, the Subsequent Transaction referred to in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6.07(b)(ii)</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-158115</wp:posOffset>
            </wp:positionV>
            <wp:extent cx="1772285"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772285" cy="7620"/>
                    </a:xfrm>
                    <a:prstGeom prst="rect">
                      <a:avLst/>
                    </a:prstGeom>
                    <a:noFill/>
                  </pic:spPr>
                </pic:pic>
              </a:graphicData>
            </a:graphic>
          </wp:anchor>
        </w:drawing>
      </w:r>
    </w:p>
    <w:p>
      <w:pPr>
        <w:spacing w:after="0" w:line="336" w:lineRule="exact"/>
        <w:rPr>
          <w:sz w:val="20"/>
          <w:szCs w:val="20"/>
          <w:color w:val="auto"/>
        </w:rPr>
      </w:pPr>
    </w:p>
    <w:p>
      <w:pPr>
        <w:ind w:left="1500"/>
        <w:spacing w:after="0"/>
        <w:tabs>
          <w:tab w:leader="none" w:pos="1820" w:val="left"/>
        </w:tabs>
        <w:rPr>
          <w:sz w:val="20"/>
          <w:szCs w:val="20"/>
          <w:color w:val="auto"/>
        </w:rPr>
      </w:pPr>
      <w:r>
        <w:rPr>
          <w:rFonts w:ascii="Times New Roman" w:cs="Times New Roman" w:eastAsia="Times New Roman" w:hAnsi="Times New Roman"/>
          <w:sz w:val="17"/>
          <w:szCs w:val="17"/>
          <w:color w:val="auto"/>
        </w:rPr>
        <w:t>(c)</w:t>
        <w:tab/>
        <w:t>In the event that:</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73" w:name="page74"/>
    <w:bookmarkEnd w:id="73"/>
    <w:p>
      <w:pPr>
        <w:ind w:left="2240"/>
        <w:spacing w:after="0"/>
        <w:tabs>
          <w:tab w:leader="none" w:pos="2580" w:val="left"/>
        </w:tabs>
        <w:rPr>
          <w:sz w:val="20"/>
          <w:szCs w:val="20"/>
          <w:color w:val="auto"/>
        </w:rPr>
      </w:pPr>
      <w:r>
        <w:rPr>
          <w:rFonts w:ascii="Times New Roman" w:cs="Times New Roman" w:eastAsia="Times New Roman" w:hAnsi="Times New Roman"/>
          <w:sz w:val="17"/>
          <w:szCs w:val="17"/>
          <w:color w:val="auto"/>
        </w:rPr>
        <w:t>(i)</w:t>
        <w:tab/>
        <w:t>this Agreement is terminated by DXL or FBB pursuant to ‎Section 8.01(c) (failure to obtain Required DXL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4364355</wp:posOffset>
            </wp:positionH>
            <wp:positionV relativeFrom="paragraph">
              <wp:posOffset>-5080</wp:posOffset>
            </wp:positionV>
            <wp:extent cx="643255"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43255" cy="762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Vote); or</w:t>
      </w:r>
    </w:p>
    <w:p>
      <w:pPr>
        <w:spacing w:after="0" w:line="175" w:lineRule="exact"/>
        <w:rPr>
          <w:sz w:val="20"/>
          <w:szCs w:val="20"/>
          <w:color w:val="auto"/>
        </w:rPr>
      </w:pPr>
    </w:p>
    <w:p>
      <w:pPr>
        <w:ind w:left="2600" w:hanging="354"/>
        <w:spacing w:after="0"/>
        <w:tabs>
          <w:tab w:leader="none" w:pos="2600" w:val="left"/>
        </w:tabs>
        <w:numPr>
          <w:ilvl w:val="1"/>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any payment of the DXL Termination Fee in accordance with Section‎ 6.07(b)(i)-</w:t>
      </w:r>
      <w:r>
        <w:rPr>
          <w:rFonts w:ascii="Times New Roman" w:cs="Times New Roman" w:eastAsia="Times New Roman" w:hAnsi="Times New Roman"/>
          <w:sz w:val="17"/>
          <w:szCs w:val="17"/>
          <w:u w:val="single" w:color="auto"/>
          <w:color w:val="auto"/>
        </w:rPr>
        <w:t>(iii)</w:t>
      </w:r>
      <w:r>
        <w:rPr>
          <w:rFonts w:ascii="Times New Roman" w:cs="Times New Roman" w:eastAsia="Times New Roman" w:hAnsi="Times New Roman"/>
          <w:sz w:val="17"/>
          <w:szCs w:val="17"/>
          <w:color w:val="auto"/>
        </w:rPr>
        <w:t>‎;</w:t>
      </w:r>
    </w:p>
    <w:p>
      <w:pPr>
        <w:spacing w:after="0" w:line="194" w:lineRule="exact"/>
        <w:rPr>
          <w:rFonts w:ascii="Times New Roman" w:cs="Times New Roman" w:eastAsia="Times New Roman" w:hAnsi="Times New Roman"/>
          <w:sz w:val="17"/>
          <w:szCs w:val="17"/>
          <w:color w:val="auto"/>
        </w:rPr>
      </w:pPr>
    </w:p>
    <w:p>
      <w:pPr>
        <w:jc w:val="both"/>
        <w:ind w:right="20" w:firstLine="2246"/>
        <w:spacing w:after="0" w:line="265" w:lineRule="auto"/>
        <w:tabs>
          <w:tab w:leader="none" w:pos="2598" w:val="left"/>
        </w:tabs>
        <w:numPr>
          <w:ilvl w:val="1"/>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then DXL shall reimburse FBB for all reasonable out of pocket fees and expenses incurred by FBB in connection with the negotiation of this Agreement and the Transactions, up to a maximum of $950,000, by wire transfer of same day funds to an account designated by FBB, in each case substantially concurrently with, or prior to, such termination.</w:t>
      </w:r>
    </w:p>
    <w:p>
      <w:pPr>
        <w:spacing w:after="0" w:line="144" w:lineRule="exact"/>
        <w:rPr>
          <w:rFonts w:ascii="Times New Roman" w:cs="Times New Roman" w:eastAsia="Times New Roman" w:hAnsi="Times New Roman"/>
          <w:sz w:val="17"/>
          <w:szCs w:val="17"/>
          <w:color w:val="auto"/>
        </w:rPr>
      </w:pPr>
    </w:p>
    <w:p>
      <w:pPr>
        <w:jc w:val="both"/>
        <w:ind w:firstLine="1496"/>
        <w:spacing w:after="0" w:line="252" w:lineRule="auto"/>
        <w:tabs>
          <w:tab w:leader="none" w:pos="1848"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this Agreement is terminated by DXL pursuant to Section‎ 8.01(h), then FBB shall pay DXL a fee equal to $2,500,000, by wire transfer of same day funds to an account designated by DXL, substantially concurrently with, or prior to, such termination, and FBB shall reimburse DXL for all reasonable out of pocket fees and expenses incurred by DXL in connection with the negotiation of this Agreement and the Transactions contemplated hereby, up to a maximum of $950,000, by wire transfer of same day funds to an account designated by DXL, substantially concurrently with, or prior to, such</w:t>
      </w:r>
    </w:p>
    <w:p>
      <w:pPr>
        <w:spacing w:after="0" w:line="3"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termination.  For the avoidance of doubt, in the event DXL does not exercise its right to terminate this Agreement pursuant to Section‎ 8.01(h), but there is a</w:t>
      </w:r>
    </w:p>
    <w:p>
      <w:pPr>
        <w:spacing w:after="0" w:line="5"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breach by FBB or failure by FBB to perform in any material respect any of its covenants and agreements set forth in Section‎ 6.16 and Section‎ 6.19 which would</w:t>
      </w:r>
    </w:p>
    <w:p>
      <w:pPr>
        <w:spacing w:after="0" w:line="5"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 in the failure of the condition set forth in Section‎ 7.01(d), then DXL shall maintain all of its rights and remedies set forth in this Agreement, including, but</w:t>
      </w:r>
    </w:p>
    <w:p>
      <w:pPr>
        <w:spacing w:after="0" w:line="5"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limited to, Section‎ 9.11.</w:t>
      </w:r>
    </w:p>
    <w:p>
      <w:pPr>
        <w:spacing w:after="0" w:line="174" w:lineRule="exact"/>
        <w:rPr>
          <w:rFonts w:ascii="Times New Roman" w:cs="Times New Roman" w:eastAsia="Times New Roman" w:hAnsi="Times New Roman"/>
          <w:sz w:val="17"/>
          <w:szCs w:val="17"/>
          <w:color w:val="auto"/>
        </w:rPr>
      </w:pPr>
    </w:p>
    <w:p>
      <w:pPr>
        <w:jc w:val="both"/>
        <w:ind w:firstLine="1496"/>
        <w:spacing w:after="0" w:line="259" w:lineRule="auto"/>
        <w:tabs>
          <w:tab w:leader="none" w:pos="1848"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either DXL or FBB fails to pay when due any amount payable under this Section‎ 6.07, then (i) either DXL or FBB, as applicable, shall reimburse the other party for all costs and expenses (including reasonable fees and disbursements of counsel) incurred in connection with the collection of</w:t>
      </w:r>
    </w:p>
    <w:p>
      <w:pPr>
        <w:jc w:val="both"/>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such overdue amount and the enforcement by such other party of its rights under this Section‎ 6.07, and (ii) either DXL or FBB, as applicable, shall pay interest on such overdue amount (for the period commencing as of the date such overdue amount was originally required to be paid and ending on the date such overdue amount is actually paid to the other party in full) at a rate per annum equal to prime rate quoted in the print edition of </w:t>
      </w:r>
      <w:r>
        <w:rPr>
          <w:rFonts w:ascii="Times New Roman" w:cs="Times New Roman" w:eastAsia="Times New Roman" w:hAnsi="Times New Roman"/>
          <w:sz w:val="17"/>
          <w:szCs w:val="17"/>
          <w:i w:val="1"/>
          <w:iCs w:val="1"/>
          <w:color w:val="auto"/>
        </w:rPr>
        <w:t>The Wall Street Journal</w:t>
      </w:r>
      <w:r>
        <w:rPr>
          <w:rFonts w:ascii="Times New Roman" w:cs="Times New Roman" w:eastAsia="Times New Roman" w:hAnsi="Times New Roman"/>
          <w:sz w:val="17"/>
          <w:szCs w:val="17"/>
          <w:color w:val="auto"/>
        </w:rPr>
        <w:t>, “Money Rates” section on the date such overdue amount was originally required to be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4739640</wp:posOffset>
            </wp:positionH>
            <wp:positionV relativeFrom="paragraph">
              <wp:posOffset>-2560955</wp:posOffset>
            </wp:positionV>
            <wp:extent cx="746125"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46125" cy="7620"/>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-1809750</wp:posOffset>
            </wp:positionV>
            <wp:extent cx="641985"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41985" cy="7620"/>
                    </a:xfrm>
                    <a:prstGeom prst="rect">
                      <a:avLst/>
                    </a:prstGeom>
                    <a:noFill/>
                  </pic:spPr>
                </pic:pic>
              </a:graphicData>
            </a:graphic>
          </wp:anchor>
        </w:drawing>
        <w:drawing>
          <wp:anchor simplePos="0" relativeHeight="251657728" behindDoc="1" locked="0" layoutInCell="0" allowOverlap="1">
            <wp:simplePos x="0" y="0"/>
            <wp:positionH relativeFrom="column">
              <wp:posOffset>5786120</wp:posOffset>
            </wp:positionH>
            <wp:positionV relativeFrom="paragraph">
              <wp:posOffset>-1299210</wp:posOffset>
            </wp:positionV>
            <wp:extent cx="649605"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49605" cy="7620"/>
                    </a:xfrm>
                    <a:prstGeom prst="rect">
                      <a:avLst/>
                    </a:prstGeom>
                    <a:noFill/>
                  </pic:spPr>
                </pic:pic>
              </a:graphicData>
            </a:graphic>
          </wp:anchor>
        </w:drawing>
        <w:drawing>
          <wp:anchor simplePos="0" relativeHeight="251657728" behindDoc="1" locked="0" layoutInCell="0" allowOverlap="1">
            <wp:simplePos x="0" y="0"/>
            <wp:positionH relativeFrom="column">
              <wp:posOffset>5211445</wp:posOffset>
            </wp:positionH>
            <wp:positionV relativeFrom="paragraph">
              <wp:posOffset>-1171575</wp:posOffset>
            </wp:positionV>
            <wp:extent cx="1322070"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322070" cy="7620"/>
                    </a:xfrm>
                    <a:prstGeom prst="rect">
                      <a:avLst/>
                    </a:prstGeom>
                    <a:noFill/>
                  </pic:spPr>
                </pic:pic>
              </a:graphicData>
            </a:graphic>
          </wp:anchor>
        </w:drawing>
        <w:drawing>
          <wp:anchor simplePos="0" relativeHeight="251657728" behindDoc="1" locked="0" layoutInCell="0" allowOverlap="1">
            <wp:simplePos x="0" y="0"/>
            <wp:positionH relativeFrom="column">
              <wp:posOffset>2109470</wp:posOffset>
            </wp:positionH>
            <wp:positionV relativeFrom="paragraph">
              <wp:posOffset>-1043940</wp:posOffset>
            </wp:positionV>
            <wp:extent cx="678815" cy="7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78815" cy="7620"/>
                    </a:xfrm>
                    <a:prstGeom prst="rect">
                      <a:avLst/>
                    </a:prstGeom>
                    <a:noFill/>
                  </pic:spPr>
                </pic:pic>
              </a:graphicData>
            </a:graphic>
          </wp:anchor>
        </w:drawing>
        <w:drawing>
          <wp:anchor simplePos="0" relativeHeight="251657728" behindDoc="1" locked="0" layoutInCell="0" allowOverlap="1">
            <wp:simplePos x="0" y="0"/>
            <wp:positionH relativeFrom="column">
              <wp:posOffset>644525</wp:posOffset>
            </wp:positionH>
            <wp:positionV relativeFrom="paragraph">
              <wp:posOffset>-916305</wp:posOffset>
            </wp:positionV>
            <wp:extent cx="549910"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49910" cy="7620"/>
                    </a:xfrm>
                    <a:prstGeom prst="rect">
                      <a:avLst/>
                    </a:prstGeom>
                    <a:noFill/>
                  </pic:spPr>
                </pic:pic>
              </a:graphicData>
            </a:graphic>
          </wp:anchor>
        </w:drawing>
        <w:drawing>
          <wp:anchor simplePos="0" relativeHeight="251657728" behindDoc="1" locked="0" layoutInCell="0" allowOverlap="1">
            <wp:simplePos x="0" y="0"/>
            <wp:positionH relativeFrom="column">
              <wp:posOffset>4609465</wp:posOffset>
            </wp:positionH>
            <wp:positionV relativeFrom="paragraph">
              <wp:posOffset>-668655</wp:posOffset>
            </wp:positionV>
            <wp:extent cx="557530"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57530" cy="762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-412750</wp:posOffset>
            </wp:positionV>
            <wp:extent cx="549910" cy="76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49910" cy="7620"/>
                    </a:xfrm>
                    <a:prstGeom prst="rect">
                      <a:avLst/>
                    </a:prstGeom>
                    <a:noFill/>
                  </pic:spPr>
                </pic:pic>
              </a:graphicData>
            </a:graphic>
          </wp:anchor>
        </w:drawing>
      </w:r>
    </w:p>
    <w:p>
      <w:pPr>
        <w:spacing w:after="0" w:line="134" w:lineRule="exact"/>
        <w:rPr>
          <w:sz w:val="20"/>
          <w:szCs w:val="20"/>
          <w:color w:val="auto"/>
        </w:rPr>
      </w:pPr>
    </w:p>
    <w:p>
      <w:pPr>
        <w:ind w:left="1220"/>
        <w:spacing w:after="0"/>
        <w:tabs>
          <w:tab w:leader="none" w:pos="2580" w:val="left"/>
        </w:tabs>
        <w:rPr>
          <w:sz w:val="20"/>
          <w:szCs w:val="20"/>
          <w:color w:val="auto"/>
        </w:rPr>
      </w:pPr>
      <w:r>
        <w:rPr>
          <w:rFonts w:ascii="Times New Roman" w:cs="Times New Roman" w:eastAsia="Times New Roman" w:hAnsi="Times New Roman"/>
          <w:sz w:val="17"/>
          <w:szCs w:val="17"/>
          <w:b w:val="1"/>
          <w:bCs w:val="1"/>
          <w:u w:val="single" w:color="auto"/>
          <w:color w:val="auto"/>
        </w:rPr>
        <w:t>SECTION 6.08</w:t>
      </w:r>
      <w:r>
        <w:rPr>
          <w:sz w:val="20"/>
          <w:szCs w:val="20"/>
          <w:color w:val="auto"/>
        </w:rPr>
        <w:tab/>
      </w:r>
      <w:r>
        <w:rPr>
          <w:rFonts w:ascii="Times New Roman" w:cs="Times New Roman" w:eastAsia="Times New Roman" w:hAnsi="Times New Roman"/>
          <w:sz w:val="17"/>
          <w:szCs w:val="17"/>
          <w:b w:val="1"/>
          <w:bCs w:val="1"/>
          <w:u w:val="single" w:color="auto"/>
          <w:color w:val="auto"/>
        </w:rPr>
        <w:t>Certain Tax Matters</w:t>
      </w:r>
      <w:r>
        <w:rPr>
          <w:rFonts w:ascii="Times New Roman" w:cs="Times New Roman" w:eastAsia="Times New Roman" w:hAnsi="Times New Roman"/>
          <w:sz w:val="17"/>
          <w:szCs w:val="17"/>
          <w:color w:val="auto"/>
        </w:rPr>
        <w:t>.</w:t>
      </w:r>
    </w:p>
    <w:p>
      <w:pPr>
        <w:spacing w:after="0" w:line="197" w:lineRule="exact"/>
        <w:rPr>
          <w:sz w:val="20"/>
          <w:szCs w:val="20"/>
          <w:color w:val="auto"/>
        </w:rPr>
      </w:pPr>
    </w:p>
    <w:p>
      <w:pPr>
        <w:jc w:val="both"/>
        <w:ind w:firstLine="1496"/>
        <w:spacing w:after="0" w:line="254" w:lineRule="auto"/>
        <w:tabs>
          <w:tab w:leader="none" w:pos="1848"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intend that, for United States federal income tax purposes, the Merger shall qualify for the Intended Tax Treatment. The Merger shall be reported by the parties for all Tax purposes in accordance with the foregoing, and no party shall take any position on any Tax Return that is inconsistent with the Intended Tax Treatment, unless otherwise required by a Governmental Entity as a result of a “determination” within the meaning of Section 1313(a) of the Code (or any similar state, local or non-U.S. Tax Law). The parties’ right to take any action disclosed in Section 5‎.01, 5</w:t>
      </w:r>
      <w:r>
        <w:rPr>
          <w:rFonts w:ascii="Times New Roman" w:cs="Times New Roman" w:eastAsia="Times New Roman" w:hAnsi="Times New Roman"/>
          <w:sz w:val="17"/>
          <w:szCs w:val="17"/>
          <w:u w:val="single" w:color="auto"/>
          <w:color w:val="auto"/>
        </w:rPr>
        <w:t>‎.02</w:t>
      </w:r>
      <w:r>
        <w:rPr>
          <w:rFonts w:ascii="Times New Roman" w:cs="Times New Roman" w:eastAsia="Times New Roman" w:hAnsi="Times New Roman"/>
          <w:sz w:val="17"/>
          <w:szCs w:val="17"/>
          <w:color w:val="auto"/>
        </w:rPr>
        <w:t xml:space="preserve"> or 5</w:t>
      </w:r>
      <w:r>
        <w:rPr>
          <w:rFonts w:ascii="Times New Roman" w:cs="Times New Roman" w:eastAsia="Times New Roman" w:hAnsi="Times New Roman"/>
          <w:sz w:val="17"/>
          <w:szCs w:val="17"/>
          <w:u w:val="single" w:color="auto"/>
          <w:color w:val="auto"/>
        </w:rPr>
        <w:t>‎.03</w:t>
      </w:r>
      <w:r>
        <w:rPr>
          <w:rFonts w:ascii="Times New Roman" w:cs="Times New Roman" w:eastAsia="Times New Roman" w:hAnsi="Times New Roman"/>
          <w:sz w:val="17"/>
          <w:szCs w:val="17"/>
          <w:color w:val="auto"/>
        </w:rPr>
        <w:t xml:space="preserve"> of the DXL Disclosure Schedule or the FBB Disclosure Schedule, as applicable, shall be subject to and subordinate to the parties’ respective obligations under this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6.08(a)</w:t>
      </w:r>
      <w:r>
        <w:rPr>
          <w:rFonts w:ascii="Times New Roman" w:cs="Times New Roman" w:eastAsia="Times New Roman" w:hAnsi="Times New Roman"/>
          <w:sz w:val="17"/>
          <w:szCs w:val="17"/>
          <w:color w:val="auto"/>
        </w:rPr>
        <w:t>.</w:t>
      </w:r>
    </w:p>
    <w:p>
      <w:pPr>
        <w:spacing w:after="0" w:line="154" w:lineRule="exact"/>
        <w:rPr>
          <w:rFonts w:ascii="Times New Roman" w:cs="Times New Roman" w:eastAsia="Times New Roman" w:hAnsi="Times New Roman"/>
          <w:sz w:val="17"/>
          <w:szCs w:val="17"/>
          <w:color w:val="auto"/>
        </w:rPr>
      </w:pPr>
    </w:p>
    <w:p>
      <w:pPr>
        <w:jc w:val="both"/>
        <w:ind w:firstLine="1496"/>
        <w:spacing w:after="0" w:line="265" w:lineRule="auto"/>
        <w:tabs>
          <w:tab w:leader="none" w:pos="1848"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Effective Time, FBB shall deliver to DXL and Merger Sub a certificate pursuant to Treasury Regulations Sections 1.1445-2(c) and 1.897-2(h), together with a form of notice to the IRS in accordance with the requirements of Treasury Regulations Section 1.897-2(h), in each case, in form and substance reasonably acceptable to DXL and Merger Sub.</w:t>
      </w:r>
    </w:p>
    <w:p>
      <w:pPr>
        <w:spacing w:after="0" w:line="144" w:lineRule="exact"/>
        <w:rPr>
          <w:rFonts w:ascii="Times New Roman" w:cs="Times New Roman" w:eastAsia="Times New Roman" w:hAnsi="Times New Roman"/>
          <w:sz w:val="17"/>
          <w:szCs w:val="17"/>
          <w:color w:val="auto"/>
        </w:rPr>
      </w:pPr>
    </w:p>
    <w:p>
      <w:pPr>
        <w:ind w:right="20" w:firstLine="1496"/>
        <w:spacing w:after="0" w:line="284" w:lineRule="auto"/>
        <w:tabs>
          <w:tab w:leader="none" w:pos="1848"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DXL, Merger Sub and FBB shall use commercially reasonable efforts to promptly notify the other party if such party becomes aware of any non-public fact or circumstance that,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5417185</wp:posOffset>
            </wp:positionH>
            <wp:positionV relativeFrom="paragraph">
              <wp:posOffset>-1181100</wp:posOffset>
            </wp:positionV>
            <wp:extent cx="557530" cy="76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57530" cy="762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74" w:name="page75"/>
    <w:bookmarkEnd w:id="74"/>
    <w:p>
      <w:pPr>
        <w:jc w:val="both"/>
        <w:ind w:left="5"/>
        <w:spacing w:after="0" w:line="256" w:lineRule="auto"/>
        <w:rPr>
          <w:sz w:val="20"/>
          <w:szCs w:val="20"/>
          <w:color w:val="auto"/>
        </w:rPr>
      </w:pPr>
      <w:r>
        <w:rPr>
          <w:rFonts w:ascii="Times New Roman" w:cs="Times New Roman" w:eastAsia="Times New Roman" w:hAnsi="Times New Roman"/>
          <w:sz w:val="17"/>
          <w:szCs w:val="17"/>
          <w:color w:val="auto"/>
        </w:rPr>
        <w:t>such party’s Knowledge, would reasonably be likely to prevent or impede the Merger from qualifying for the Intended Tax Treatment. The parties shall cooperate with each other and their respective counsel to document and support the Tax treatment of the Merger as qualifying for the Intended Tax Treatment. Each of DXL, FBB and Merger Sub shall use their respective reasonable best efforts to cause the Merger to qualify for, and will not take any action or cause any action to be taken (whether prior to, on or subsequent to the Closing Date) which action would reasonably be expected to prevent the Merger from qualifying for or jeopardize the Intended Tax Treatment.</w:t>
      </w:r>
    </w:p>
    <w:p>
      <w:pPr>
        <w:spacing w:after="0" w:line="150" w:lineRule="exact"/>
        <w:rPr>
          <w:sz w:val="20"/>
          <w:szCs w:val="20"/>
          <w:color w:val="auto"/>
        </w:rPr>
      </w:pPr>
    </w:p>
    <w:p>
      <w:pPr>
        <w:ind w:left="1225"/>
        <w:spacing w:after="0"/>
        <w:tabs>
          <w:tab w:leader="none" w:pos="2585" w:val="left"/>
        </w:tabs>
        <w:rPr>
          <w:sz w:val="20"/>
          <w:szCs w:val="20"/>
          <w:color w:val="auto"/>
        </w:rPr>
      </w:pPr>
      <w:r>
        <w:rPr>
          <w:rFonts w:ascii="Times New Roman" w:cs="Times New Roman" w:eastAsia="Times New Roman" w:hAnsi="Times New Roman"/>
          <w:sz w:val="17"/>
          <w:szCs w:val="17"/>
          <w:b w:val="1"/>
          <w:bCs w:val="1"/>
          <w:u w:val="single" w:color="auto"/>
          <w:color w:val="auto"/>
        </w:rPr>
        <w:t>SECTION 6.09</w:t>
      </w:r>
      <w:r>
        <w:rPr>
          <w:sz w:val="20"/>
          <w:szCs w:val="20"/>
          <w:color w:val="auto"/>
        </w:rPr>
        <w:tab/>
      </w:r>
      <w:r>
        <w:rPr>
          <w:rFonts w:ascii="Times New Roman" w:cs="Times New Roman" w:eastAsia="Times New Roman" w:hAnsi="Times New Roman"/>
          <w:sz w:val="17"/>
          <w:szCs w:val="17"/>
          <w:b w:val="1"/>
          <w:bCs w:val="1"/>
          <w:u w:val="single" w:color="auto"/>
          <w:color w:val="auto"/>
        </w:rPr>
        <w:t>Governance Matters</w:t>
      </w:r>
      <w:r>
        <w:rPr>
          <w:rFonts w:ascii="Times New Roman" w:cs="Times New Roman" w:eastAsia="Times New Roman" w:hAnsi="Times New Roman"/>
          <w:sz w:val="17"/>
          <w:szCs w:val="17"/>
          <w:color w:val="auto"/>
        </w:rPr>
        <w:t>.</w:t>
      </w:r>
    </w:p>
    <w:p>
      <w:pPr>
        <w:spacing w:after="0" w:line="197" w:lineRule="exact"/>
        <w:rPr>
          <w:sz w:val="20"/>
          <w:szCs w:val="20"/>
          <w:color w:val="auto"/>
        </w:rPr>
      </w:pPr>
    </w:p>
    <w:p>
      <w:pPr>
        <w:jc w:val="both"/>
        <w:ind w:left="5" w:right="20" w:firstLine="1496"/>
        <w:spacing w:after="0" w:line="259" w:lineRule="auto"/>
        <w:tabs>
          <w:tab w:leader="none" w:pos="1853"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the Effective Time, DXL shall take all such action within its power as may be necessary or appropriate such that effective upon and immediately following the Effective Time, the Board of Directors of DXL and committees thereof shall be comprised of the following individuals: (i) four</w:t>
      </w:r>
    </w:p>
    <w:p>
      <w:pPr>
        <w:jc w:val="both"/>
        <w:ind w:left="5" w:hanging="5"/>
        <w:spacing w:after="0" w:line="248" w:lineRule="auto"/>
        <w:tabs>
          <w:tab w:leader="none" w:pos="256"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members of the Board of Directors designated by DXL (the “</w:t>
      </w:r>
      <w:r>
        <w:rPr>
          <w:rFonts w:ascii="Times New Roman" w:cs="Times New Roman" w:eastAsia="Times New Roman" w:hAnsi="Times New Roman"/>
          <w:sz w:val="17"/>
          <w:szCs w:val="17"/>
          <w:u w:val="single" w:color="auto"/>
          <w:color w:val="auto"/>
        </w:rPr>
        <w:t>DXL Nominee Directors</w:t>
      </w:r>
      <w:r>
        <w:rPr>
          <w:rFonts w:ascii="Times New Roman" w:cs="Times New Roman" w:eastAsia="Times New Roman" w:hAnsi="Times New Roman"/>
          <w:sz w:val="17"/>
          <w:szCs w:val="17"/>
          <w:color w:val="auto"/>
        </w:rPr>
        <w:t>”), (ii) four (4) members of the Board of Directors designated by FBB, one of which shall be the Chief Executive Officer of FBB as of the date hereof (the “</w:t>
      </w:r>
      <w:r>
        <w:rPr>
          <w:rFonts w:ascii="Times New Roman" w:cs="Times New Roman" w:eastAsia="Times New Roman" w:hAnsi="Times New Roman"/>
          <w:sz w:val="17"/>
          <w:szCs w:val="17"/>
          <w:u w:val="single" w:color="auto"/>
          <w:color w:val="auto"/>
        </w:rPr>
        <w:t>FBB Nominee Directors</w:t>
      </w:r>
      <w:r>
        <w:rPr>
          <w:rFonts w:ascii="Times New Roman" w:cs="Times New Roman" w:eastAsia="Times New Roman" w:hAnsi="Times New Roman"/>
          <w:sz w:val="17"/>
          <w:szCs w:val="17"/>
          <w:color w:val="auto"/>
        </w:rPr>
        <w:t>”), and (iii) one (1) member of the Board of Directors mutually agreed to by both DXL and FBB (the “</w:t>
      </w:r>
      <w:r>
        <w:rPr>
          <w:rFonts w:ascii="Times New Roman" w:cs="Times New Roman" w:eastAsia="Times New Roman" w:hAnsi="Times New Roman"/>
          <w:sz w:val="17"/>
          <w:szCs w:val="17"/>
          <w:u w:val="single" w:color="auto"/>
          <w:color w:val="auto"/>
        </w:rPr>
        <w:t>Independent Director</w:t>
      </w:r>
      <w:r>
        <w:rPr>
          <w:rFonts w:ascii="Times New Roman" w:cs="Times New Roman" w:eastAsia="Times New Roman" w:hAnsi="Times New Roman"/>
          <w:sz w:val="17"/>
          <w:szCs w:val="17"/>
          <w:color w:val="auto"/>
        </w:rPr>
        <w:t>,” and together with the DXL Nominee Directors and the FBB Nominee Directors, the “</w:t>
      </w:r>
      <w:r>
        <w:rPr>
          <w:rFonts w:ascii="Times New Roman" w:cs="Times New Roman" w:eastAsia="Times New Roman" w:hAnsi="Times New Roman"/>
          <w:sz w:val="17"/>
          <w:szCs w:val="17"/>
          <w:u w:val="single" w:color="auto"/>
          <w:color w:val="auto"/>
        </w:rPr>
        <w:t>Post-Closing Directors</w:t>
      </w:r>
      <w:r>
        <w:rPr>
          <w:rFonts w:ascii="Times New Roman" w:cs="Times New Roman" w:eastAsia="Times New Roman" w:hAnsi="Times New Roman"/>
          <w:sz w:val="17"/>
          <w:szCs w:val="17"/>
          <w:color w:val="auto"/>
        </w:rPr>
        <w:t>”); provided that such Post-Closing Directors shall have completed a background check reasonably satisfactory to DXL and be “independent” directors for purposes of Nasdaq rules (which, for the avoidance of doubt, shall not include such rules as are applicable to audit committee members) and otherwise in compliance with the Nasdaq and SEC rules and requirements governing directors. Promptly following the date of this Agreement, but in any event no later than the Effective Time, DXL Nominee Directors shall, in consultation with the FBB Nominee Directors, appoint the initial Chairperson of the Board of Directors of DXL.</w:t>
      </w:r>
    </w:p>
    <w:p>
      <w:pPr>
        <w:spacing w:after="0" w:line="161" w:lineRule="exact"/>
        <w:rPr>
          <w:rFonts w:ascii="Times New Roman" w:cs="Times New Roman" w:eastAsia="Times New Roman" w:hAnsi="Times New Roman"/>
          <w:sz w:val="17"/>
          <w:szCs w:val="17"/>
          <w:color w:val="auto"/>
        </w:rPr>
      </w:pPr>
    </w:p>
    <w:p>
      <w:pPr>
        <w:jc w:val="both"/>
        <w:ind w:left="5" w:firstLine="1496"/>
        <w:spacing w:after="0" w:line="255" w:lineRule="auto"/>
        <w:tabs>
          <w:tab w:leader="none" w:pos="1853"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DXL and FBB shall cooperate to take all reasonable actions necessary to cause, effective as of the Effective Time, (i) the Chief Executive Officer of FBB immediately prior to the Effective Time to serve as the Chief Executive Officer of DXL from and after the Effective Time and (ii) the officers of DXL from and after the Effective Time to be such individuals as DXL and FBB shall agree, through a process overseen by the Chief Executive Officer of FBB in consultation with the DXL Nominee Directors and FBB Nominee Directors, cooperating in good faith to identify such individuals prior to the Effective Time, in the case of each of clauses (i) and (ii), serving until the earlier of their death, resignation or removal or until their respective successors are duly elected and qualified.</w:t>
      </w:r>
    </w:p>
    <w:p>
      <w:pPr>
        <w:spacing w:after="0" w:line="355" w:lineRule="exact"/>
        <w:rPr>
          <w:sz w:val="20"/>
          <w:szCs w:val="20"/>
          <w:color w:val="auto"/>
        </w:rPr>
      </w:pPr>
    </w:p>
    <w:p>
      <w:pPr>
        <w:ind w:left="1225"/>
        <w:spacing w:after="0"/>
        <w:tabs>
          <w:tab w:leader="none" w:pos="2585" w:val="left"/>
        </w:tabs>
        <w:rPr>
          <w:sz w:val="20"/>
          <w:szCs w:val="20"/>
          <w:color w:val="auto"/>
        </w:rPr>
      </w:pPr>
      <w:r>
        <w:rPr>
          <w:rFonts w:ascii="Times New Roman" w:cs="Times New Roman" w:eastAsia="Times New Roman" w:hAnsi="Times New Roman"/>
          <w:sz w:val="17"/>
          <w:szCs w:val="17"/>
          <w:b w:val="1"/>
          <w:bCs w:val="1"/>
          <w:u w:val="single" w:color="auto"/>
          <w:color w:val="auto"/>
        </w:rPr>
        <w:t>SECTION 6.10</w:t>
      </w:r>
      <w:r>
        <w:rPr>
          <w:sz w:val="20"/>
          <w:szCs w:val="20"/>
          <w:color w:val="auto"/>
        </w:rPr>
        <w:tab/>
      </w:r>
      <w:r>
        <w:rPr>
          <w:rFonts w:ascii="Times New Roman" w:cs="Times New Roman" w:eastAsia="Times New Roman" w:hAnsi="Times New Roman"/>
          <w:sz w:val="17"/>
          <w:szCs w:val="17"/>
          <w:b w:val="1"/>
          <w:bCs w:val="1"/>
          <w:u w:val="single" w:color="auto"/>
          <w:color w:val="auto"/>
        </w:rPr>
        <w:t>Employment Matters</w:t>
      </w:r>
      <w:r>
        <w:rPr>
          <w:rFonts w:ascii="Times New Roman" w:cs="Times New Roman" w:eastAsia="Times New Roman" w:hAnsi="Times New Roman"/>
          <w:sz w:val="17"/>
          <w:szCs w:val="17"/>
          <w:color w:val="auto"/>
        </w:rPr>
        <w:t>.</w:t>
      </w:r>
    </w:p>
    <w:p>
      <w:pPr>
        <w:spacing w:after="0" w:line="197" w:lineRule="exact"/>
        <w:rPr>
          <w:sz w:val="20"/>
          <w:szCs w:val="20"/>
          <w:color w:val="auto"/>
        </w:rPr>
      </w:pPr>
    </w:p>
    <w:p>
      <w:pPr>
        <w:jc w:val="both"/>
        <w:ind w:left="5" w:firstLine="1496"/>
        <w:spacing w:after="0" w:line="251" w:lineRule="auto"/>
        <w:tabs>
          <w:tab w:leader="none" w:pos="1853"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Commencing on the Effective Time and thereafter during the periods specified below, unless otherwise mutually determined by FBB and DXL, DXL shall provide, or shall cause the DXL Subsidiaries (including, without limitation, the Surviving Corporation) to provide to each DXL Employee and each FBB Employee who at the Effective Time are an employee of DXL or the DXL Subsidiaries (including, without limitation, the Surviving Corporation) (the “</w:t>
      </w:r>
      <w:r>
        <w:rPr>
          <w:rFonts w:ascii="Times New Roman" w:cs="Times New Roman" w:eastAsia="Times New Roman" w:hAnsi="Times New Roman"/>
          <w:sz w:val="17"/>
          <w:szCs w:val="17"/>
          <w:u w:val="single" w:color="auto"/>
          <w:color w:val="auto"/>
        </w:rPr>
        <w:t>Continuing Employees</w:t>
      </w:r>
      <w:r>
        <w:rPr>
          <w:rFonts w:ascii="Times New Roman" w:cs="Times New Roman" w:eastAsia="Times New Roman" w:hAnsi="Times New Roman"/>
          <w:sz w:val="17"/>
          <w:szCs w:val="17"/>
          <w:color w:val="auto"/>
        </w:rPr>
        <w:t>”) with the following compensation and benefits: (i) for the period commencing at the Effective Time and ending on the one-year anniversary of the Closing Date, (A) a base salary or base wage rate, as applicable, that is no less favorable than the base salary or base wage rate, as applicable, provided to such Continuing Employee immediately prior to the Effective Time, and (B) annual cash or other short-term incentive compensation opportunities that are no less favorable than the annual cash or other short-term incentive compensation opportunities provided to such Continuing Employee immediately prior to the Effective Time and (ii) for the period commencing on the Effective Time until such time as the Surviving Company in the Merger and DXL adopt the New Benefit Plans (as defined below), employee benefits (other than defined benefit plans, retiree welfare plans, change in control plans, deferred compensation plans, equity or equity-based compensation plans) that are substantially similar in the aggregate to the employee benefits provided to</w:t>
      </w:r>
    </w:p>
    <w:p>
      <w:pPr>
        <w:spacing w:after="0" w:line="200" w:lineRule="exact"/>
        <w:rPr>
          <w:sz w:val="20"/>
          <w:szCs w:val="20"/>
          <w:color w:val="auto"/>
        </w:rPr>
      </w:pPr>
    </w:p>
    <w:p>
      <w:pPr>
        <w:spacing w:after="0" w:line="338"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54" w:right="319" w:bottom="1440" w:gutter="0" w:footer="0" w:header="0"/>
        </w:sectPr>
      </w:pPr>
    </w:p>
    <w:bookmarkStart w:id="75" w:name="page76"/>
    <w:bookmarkEnd w:id="75"/>
    <w:p>
      <w:pPr>
        <w:jc w:val="both"/>
        <w:spacing w:after="0" w:line="253" w:lineRule="auto"/>
        <w:rPr>
          <w:sz w:val="20"/>
          <w:szCs w:val="20"/>
          <w:color w:val="auto"/>
        </w:rPr>
      </w:pPr>
      <w:r>
        <w:rPr>
          <w:rFonts w:ascii="Times New Roman" w:cs="Times New Roman" w:eastAsia="Times New Roman" w:hAnsi="Times New Roman"/>
          <w:sz w:val="17"/>
          <w:szCs w:val="17"/>
          <w:color w:val="auto"/>
        </w:rPr>
        <w:t xml:space="preserve">similarly situated employees of DXL immediately prior to the Effective Time (provided that DXL may satisfy its obligations under this </w:t>
      </w:r>
      <w:r>
        <w:rPr>
          <w:rFonts w:ascii="Times New Roman" w:cs="Times New Roman" w:eastAsia="Times New Roman" w:hAnsi="Times New Roman"/>
          <w:sz w:val="17"/>
          <w:szCs w:val="17"/>
          <w:u w:val="single" w:color="auto"/>
          <w:color w:val="auto"/>
        </w:rPr>
        <w:t>Section 6.10(c)(ii)</w:t>
      </w:r>
      <w:r>
        <w:rPr>
          <w:rFonts w:ascii="Times New Roman" w:cs="Times New Roman" w:eastAsia="Times New Roman" w:hAnsi="Times New Roman"/>
          <w:sz w:val="17"/>
          <w:szCs w:val="17"/>
          <w:color w:val="auto"/>
        </w:rPr>
        <w:t xml:space="preserve"> for a transitional period through December 31 of the year in which the Effective Time occurs by providing (x) for Continuing Employees who were FBB Employees immediately prior to the Effective Time, employee benefits under the FBB Benefit Plans in effect as of the Closing and (y) for Continuing Employees who were DXL Employees immediately prior to the Effective Time, employee benefits under the DXL Benefit Plans in effect as of the Closing). Notwithstanding anything in this Agreement to the contrary, with respect to any Continuing Employees who are covered by a collective bargaining agreement or other agreement with a union, DXL’s obligations under this ‎Section 6.10 shall be in addition to, and not in contravention of, any obligations under the applicable collective bargaining agreement or union agreement or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1646555</wp:posOffset>
            </wp:positionH>
            <wp:positionV relativeFrom="paragraph">
              <wp:posOffset>-158750</wp:posOffset>
            </wp:positionV>
            <wp:extent cx="549910" cy="76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49910" cy="7620"/>
                    </a:xfrm>
                    <a:prstGeom prst="rect">
                      <a:avLst/>
                    </a:prstGeom>
                    <a:noFill/>
                  </pic:spPr>
                </pic:pic>
              </a:graphicData>
            </a:graphic>
          </wp:anchor>
        </w:drawing>
      </w:r>
    </w:p>
    <w:p>
      <w:pPr>
        <w:spacing w:after="0" w:line="134" w:lineRule="exact"/>
        <w:rPr>
          <w:sz w:val="20"/>
          <w:szCs w:val="20"/>
          <w:color w:val="auto"/>
        </w:rPr>
      </w:pPr>
    </w:p>
    <w:p>
      <w:pPr>
        <w:jc w:val="both"/>
        <w:ind w:firstLine="1496"/>
        <w:spacing w:after="0" w:line="254" w:lineRule="auto"/>
        <w:tabs>
          <w:tab w:leader="none" w:pos="1848"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the Closing, FBB and DXL shall cooperate in reviewing, evaluating and analyzing the DXL Benefit Plans and FBB Benefit Plans with a view towards developing appropriate new benefit plans with respect to Continuing Employees (collectively, the “</w:t>
      </w:r>
      <w:r>
        <w:rPr>
          <w:rFonts w:ascii="Times New Roman" w:cs="Times New Roman" w:eastAsia="Times New Roman" w:hAnsi="Times New Roman"/>
          <w:sz w:val="17"/>
          <w:szCs w:val="17"/>
          <w:u w:val="single" w:color="auto"/>
          <w:color w:val="auto"/>
        </w:rPr>
        <w:t>New Benefit Plans</w:t>
      </w:r>
      <w:r>
        <w:rPr>
          <w:rFonts w:ascii="Times New Roman" w:cs="Times New Roman" w:eastAsia="Times New Roman" w:hAnsi="Times New Roman"/>
          <w:sz w:val="17"/>
          <w:szCs w:val="17"/>
          <w:color w:val="auto"/>
        </w:rPr>
        <w:t>”) for the Continuing Employees covered thereby, which New Benefit Plans will, to the extent permitted by applicable law, and among other things, (A) treat similarly situated employees on a substantially equivalent basis, taking into account all relevant factors, including duties, geographic location, tenure, qualifications and abilities, and (B) not discriminate between employees who were covered by DXL Benefit Plans, on the one hand, and those covered by FBB Benefit Plans, on the other hand, at the Effective Time.</w:t>
      </w:r>
    </w:p>
    <w:p>
      <w:pPr>
        <w:spacing w:after="0" w:line="154" w:lineRule="exact"/>
        <w:rPr>
          <w:rFonts w:ascii="Times New Roman" w:cs="Times New Roman" w:eastAsia="Times New Roman" w:hAnsi="Times New Roman"/>
          <w:sz w:val="17"/>
          <w:szCs w:val="17"/>
          <w:color w:val="auto"/>
        </w:rPr>
      </w:pPr>
    </w:p>
    <w:p>
      <w:pPr>
        <w:jc w:val="both"/>
        <w:ind w:firstLine="1496"/>
        <w:spacing w:after="0" w:line="251" w:lineRule="auto"/>
        <w:tabs>
          <w:tab w:leader="none" w:pos="1848"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any Continuing Employee first becomes eligible to participate under any employee benefit plan or compensation plan maintained by DXL or a DXL Subsidiary (including, without limitation, the Surviving Company) (each a “</w:t>
      </w:r>
      <w:r>
        <w:rPr>
          <w:rFonts w:ascii="Times New Roman" w:cs="Times New Roman" w:eastAsia="Times New Roman" w:hAnsi="Times New Roman"/>
          <w:sz w:val="17"/>
          <w:szCs w:val="17"/>
          <w:u w:val="single" w:color="auto"/>
          <w:color w:val="auto"/>
        </w:rPr>
        <w:t>New Plan</w:t>
      </w:r>
      <w:r>
        <w:rPr>
          <w:rFonts w:ascii="Times New Roman" w:cs="Times New Roman" w:eastAsia="Times New Roman" w:hAnsi="Times New Roman"/>
          <w:sz w:val="17"/>
          <w:szCs w:val="17"/>
          <w:color w:val="auto"/>
        </w:rPr>
        <w:t>”), or any DXL Benefit Plan, following the Effective Time, DXL shall (i) waive any pre-existing condition, exclusions, actively-at-work requirements, and waiting periods with respect to participation and coverage requirements applicable to any Continuing Employee under any Surviving Company or DXL Benefit Plan providing medical, dental or vision benefits to the same extent such limitation would have been waived or satisfied under any similar FBB Benefit Plan in which the Continuing Employees participated immediately prior to coverage under the Surviving Company or DXL Benefit Plan; and (ii) use commercially reasonable efforts to provide each Continuing Employee with full credit for any co-payments, out-of-pocket expenditures and deductibles or similar payments paid or incurred prior to the Continuing Employees’ coverage under New Plan or DXL Benefit Plan during the plan year in which the Effective Time occurs, to the same extent such credit was given under any similar FBB Benefit Plan that Continuing Employees participated in immediately prior to the Effective Time, for the plan year in which the Effective Time occurs.</w:t>
      </w:r>
    </w:p>
    <w:p>
      <w:pPr>
        <w:spacing w:after="0" w:line="359" w:lineRule="exact"/>
        <w:rPr>
          <w:rFonts w:ascii="Times New Roman" w:cs="Times New Roman" w:eastAsia="Times New Roman" w:hAnsi="Times New Roman"/>
          <w:sz w:val="17"/>
          <w:szCs w:val="17"/>
          <w:color w:val="auto"/>
        </w:rPr>
      </w:pPr>
    </w:p>
    <w:p>
      <w:pPr>
        <w:jc w:val="both"/>
        <w:ind w:right="20" w:firstLine="1496"/>
        <w:spacing w:after="0" w:line="256" w:lineRule="auto"/>
        <w:tabs>
          <w:tab w:leader="none" w:pos="1848"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the Closing Date, DXL and DXL Subsidiaries (including, without limitation, the Surviving Company) shall recognize all service of each Continuing Employee prior to the Closing Date to DXL and any of its Subsidiaries or FBB and any of its Subsidiaries, as applicable, to the same extent such service was recognized by DXL and FBB, respectively, for each Continuing Employee immediately prior to the Closing Date for purposes of eligibility, participation, vesting and level of benefits (except not for purposes of benefit accrual under any defined benefit pension plan, vesting under any equity or equity-based compensation plan or to the extent that such credit would result in a duplication of benefits).</w:t>
      </w:r>
    </w:p>
    <w:p>
      <w:pPr>
        <w:spacing w:after="0" w:line="151" w:lineRule="exact"/>
        <w:rPr>
          <w:rFonts w:ascii="Times New Roman" w:cs="Times New Roman" w:eastAsia="Times New Roman" w:hAnsi="Times New Roman"/>
          <w:sz w:val="17"/>
          <w:szCs w:val="17"/>
          <w:color w:val="auto"/>
        </w:rPr>
      </w:pPr>
    </w:p>
    <w:p>
      <w:pPr>
        <w:jc w:val="both"/>
        <w:ind w:firstLine="1496"/>
        <w:spacing w:after="0" w:line="259" w:lineRule="auto"/>
        <w:tabs>
          <w:tab w:leader="none" w:pos="1848"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making any communications to any employees of either party or their respective Subsidiaries regarding the Transactions or any related compensation or benefit matters, each of DXL and its Subsidiaries and FBB and its Subsidiaries shall provide the other party with copies of the text of the intended communication and the other party must have a reasonable opportunity to review and comment on such communications (and the relevant party must consider any such comments in good faith) prior to distribution.</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76" w:name="page77"/>
    <w:bookmarkEnd w:id="76"/>
    <w:p>
      <w:pPr>
        <w:jc w:val="both"/>
        <w:ind w:firstLine="1496"/>
        <w:spacing w:after="0" w:line="251" w:lineRule="auto"/>
        <w:tabs>
          <w:tab w:leader="none" w:pos="1848"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acknowledge and agree that all provisions contained in this Section‎ 6.10 with respect to DXL Employees and FBB Employees are included for the sole benefit of the respective parties to this Agreement and shall not (i) create any right in any other Person, including current employees, former employees, any participant or any beneficiary thereof, under this Agreement, DXL Benefit Plan or in any FBB Benefit Plan, (ii) create any right to continued employment with FBB, DXL, the Surviving Company or their respective Subsidiaries or Affiliates, (iii) prevent or restrict in any way the right of DXL or any DXL Subsidiary (including without limitation, the Surviving Company) to terminate the service of any Continuing Employee at any time following the Closing; (iv) be deemed to establish, amend, modify or cause to be adopted any DXL Benefit Plan, FBB Benefit Plan or any other benefit plan, program, agreement or arrangement maintained or sponsored by DXL or any of its Affiliates, or (v) limit the ability of DXL, any DXL Subsidiary (including without limitation, the Surviving Company) or any of its Affiliates from establishing, amending, modifying or terminating any benefit plan, program, agreement or arrangement at any time assumed, established, sponsored or maintained by any of them, in each case, following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4561205</wp:posOffset>
            </wp:positionH>
            <wp:positionV relativeFrom="paragraph">
              <wp:posOffset>-1049655</wp:posOffset>
            </wp:positionV>
            <wp:extent cx="565150" cy="76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65150" cy="7620"/>
                    </a:xfrm>
                    <a:prstGeom prst="rect">
                      <a:avLst/>
                    </a:prstGeom>
                    <a:noFill/>
                  </pic:spPr>
                </pic:pic>
              </a:graphicData>
            </a:graphic>
          </wp:anchor>
        </w:drawing>
      </w:r>
    </w:p>
    <w:p>
      <w:pPr>
        <w:spacing w:after="0" w:line="137" w:lineRule="exact"/>
        <w:rPr>
          <w:sz w:val="20"/>
          <w:szCs w:val="20"/>
          <w:color w:val="auto"/>
        </w:rPr>
      </w:pPr>
    </w:p>
    <w:p>
      <w:pPr>
        <w:ind w:left="1220"/>
        <w:spacing w:after="0"/>
        <w:tabs>
          <w:tab w:leader="none" w:pos="2580" w:val="left"/>
        </w:tabs>
        <w:rPr>
          <w:sz w:val="20"/>
          <w:szCs w:val="20"/>
          <w:color w:val="auto"/>
        </w:rPr>
      </w:pPr>
      <w:r>
        <w:rPr>
          <w:rFonts w:ascii="Times New Roman" w:cs="Times New Roman" w:eastAsia="Times New Roman" w:hAnsi="Times New Roman"/>
          <w:sz w:val="17"/>
          <w:szCs w:val="17"/>
          <w:b w:val="1"/>
          <w:bCs w:val="1"/>
          <w:u w:val="single" w:color="auto"/>
          <w:color w:val="auto"/>
        </w:rPr>
        <w:t>SECTION 6.11</w:t>
      </w:r>
      <w:r>
        <w:rPr>
          <w:sz w:val="20"/>
          <w:szCs w:val="20"/>
          <w:color w:val="auto"/>
        </w:rPr>
        <w:tab/>
      </w:r>
      <w:r>
        <w:rPr>
          <w:rFonts w:ascii="Times New Roman" w:cs="Times New Roman" w:eastAsia="Times New Roman" w:hAnsi="Times New Roman"/>
          <w:sz w:val="17"/>
          <w:szCs w:val="17"/>
          <w:b w:val="1"/>
          <w:bCs w:val="1"/>
          <w:u w:val="single" w:color="auto"/>
          <w:color w:val="auto"/>
        </w:rPr>
        <w:t>Directors’ and Officers’ Indemnification and Insurance</w:t>
      </w:r>
      <w:r>
        <w:rPr>
          <w:rFonts w:ascii="Times New Roman" w:cs="Times New Roman" w:eastAsia="Times New Roman" w:hAnsi="Times New Roman"/>
          <w:sz w:val="17"/>
          <w:szCs w:val="17"/>
          <w:color w:val="auto"/>
        </w:rPr>
        <w:t>.</w:t>
      </w:r>
    </w:p>
    <w:p>
      <w:pPr>
        <w:spacing w:after="0" w:line="197" w:lineRule="exact"/>
        <w:rPr>
          <w:sz w:val="20"/>
          <w:szCs w:val="20"/>
          <w:color w:val="auto"/>
        </w:rPr>
      </w:pPr>
    </w:p>
    <w:p>
      <w:pPr>
        <w:jc w:val="both"/>
        <w:ind w:firstLine="1496"/>
        <w:spacing w:after="0" w:line="249" w:lineRule="auto"/>
        <w:tabs>
          <w:tab w:leader="none" w:pos="1848"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DXL and Merger Sub agree that all rights to indemnification, advancement of expenses and exculpation from liabilities for acts or omissions occurring at or prior to the Effective Time in favor of any Person who was or becomes prior to the Effective Time a current or former director, officer or employee of FBB, including any person who is or was serving at the request of FBB as a current or former officer, director or employee of a Subsidiary of FBB (the “</w:t>
      </w:r>
      <w:r>
        <w:rPr>
          <w:rFonts w:ascii="Times New Roman" w:cs="Times New Roman" w:eastAsia="Times New Roman" w:hAnsi="Times New Roman"/>
          <w:sz w:val="17"/>
          <w:szCs w:val="17"/>
          <w:u w:val="single" w:color="auto"/>
          <w:color w:val="auto"/>
        </w:rPr>
        <w:t>D&amp;O Indemnified Parties</w:t>
      </w:r>
      <w:r>
        <w:rPr>
          <w:rFonts w:ascii="Times New Roman" w:cs="Times New Roman" w:eastAsia="Times New Roman" w:hAnsi="Times New Roman"/>
          <w:sz w:val="17"/>
          <w:szCs w:val="17"/>
          <w:color w:val="auto"/>
        </w:rPr>
        <w:t>”) as provided in the FBB Charter or in the Charter Documents of any Subsidiary of FBB (in each case, as in effect on the date of this Agreement) shall survive the Merger and shall continue in full force and effect in accordance with their terms. For a period of six (6) years from the Effective Time, the Surviving Company shall, and DXL shall cause the Surviving Company to, (i) cause the Surviving Company’s Charter Documents and the Charter Documents of any Subsidiary of FBB to contain provisions with respect to indemnification and exculpation of, and advancement of expenses to, D&amp;O Indemnified Parties that are at least as favorable to such D&amp;O Indemnified Parties, in all material respects, as the indemnification, exculpation and advancement of expenses provisions contained in the Charter Documents of FBB, as applicable, as in effect on the date of this Agreement and (ii) maintain any indemnification</w:t>
      </w:r>
    </w:p>
    <w:p>
      <w:pPr>
        <w:spacing w:after="0" w:line="4" w:lineRule="exact"/>
        <w:rPr>
          <w:rFonts w:ascii="Times New Roman" w:cs="Times New Roman" w:eastAsia="Times New Roman" w:hAnsi="Times New Roman"/>
          <w:sz w:val="17"/>
          <w:szCs w:val="17"/>
          <w:color w:val="auto"/>
        </w:rPr>
      </w:pPr>
    </w:p>
    <w:p>
      <w:pPr>
        <w:ind w:right="2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agreements of FBB and its Subsidiaries with any D&amp;O Indemnified Party existing prior to the date of this Agreement and set forth on Section‎ 6.11 of the FBB Disclosure Schedule on the terms set forth in such agreements.</w:t>
      </w:r>
    </w:p>
    <w:p>
      <w:pPr>
        <w:spacing w:after="0" w:line="147" w:lineRule="exact"/>
        <w:rPr>
          <w:rFonts w:ascii="Times New Roman" w:cs="Times New Roman" w:eastAsia="Times New Roman" w:hAnsi="Times New Roman"/>
          <w:sz w:val="17"/>
          <w:szCs w:val="17"/>
          <w:color w:val="auto"/>
        </w:rPr>
      </w:pPr>
    </w:p>
    <w:p>
      <w:pPr>
        <w:jc w:val="both"/>
        <w:ind w:firstLine="1496"/>
        <w:spacing w:after="0" w:line="254" w:lineRule="auto"/>
        <w:tabs>
          <w:tab w:leader="none" w:pos="1848"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the other rights provided for in this Section‎ 6.11 and not in limitation thereof, at or prior to the Effective Time, FBB shall, with DXL’s prior written consent (not to be unreasonably withheld), purchase a six (6) year “tail” policy with terms, conditions, and coverage that are no less favorable than the terms, conditions and coverage provided to the D&amp;O Indemnified Parties under FBB’s existing policies as of the date of this Agreement (the “</w:t>
      </w:r>
      <w:r>
        <w:rPr>
          <w:rFonts w:ascii="Times New Roman" w:cs="Times New Roman" w:eastAsia="Times New Roman" w:hAnsi="Times New Roman"/>
          <w:sz w:val="17"/>
          <w:szCs w:val="17"/>
          <w:u w:val="single" w:color="auto"/>
          <w:color w:val="auto"/>
        </w:rPr>
        <w:t>Tail Policy</w:t>
      </w:r>
      <w:r>
        <w:rPr>
          <w:rFonts w:ascii="Times New Roman" w:cs="Times New Roman" w:eastAsia="Times New Roman" w:hAnsi="Times New Roman"/>
          <w:sz w:val="17"/>
          <w:szCs w:val="17"/>
          <w:color w:val="auto"/>
        </w:rPr>
        <w:t>”). The Surviving Company and DXL shall cause the Tail Policy to be maintained in full force and effect, for its full term; provided that, if the Tail Policy becomes unavailable, DXL shall cause the Surviving Company to obtain the greatest coverage available for a cost not exceeding an annual premium equal to the foregoing maximum premium.</w:t>
      </w:r>
    </w:p>
    <w:p>
      <w:pPr>
        <w:spacing w:after="0" w:line="154" w:lineRule="exact"/>
        <w:rPr>
          <w:rFonts w:ascii="Times New Roman" w:cs="Times New Roman" w:eastAsia="Times New Roman" w:hAnsi="Times New Roman"/>
          <w:sz w:val="17"/>
          <w:szCs w:val="17"/>
          <w:color w:val="auto"/>
        </w:rPr>
      </w:pPr>
    </w:p>
    <w:p>
      <w:pPr>
        <w:jc w:val="both"/>
        <w:ind w:firstLine="1496"/>
        <w:spacing w:after="0" w:line="265" w:lineRule="auto"/>
        <w:tabs>
          <w:tab w:leader="none" w:pos="1848"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covenants contained in this Section‎ 6.11 shall survive the consummation of the Merger and are intended to be for the benefit of, and shall be enforceable by, each of the D&amp;O Indemnified Parties and their respective heirs and assigns and shall not be deemed exclusive of any other rights to which any such Person is entitled, whether pursuant to Law, contract or otherwise.</w:t>
      </w:r>
    </w:p>
    <w:p>
      <w:pPr>
        <w:spacing w:after="0" w:line="144" w:lineRule="exact"/>
        <w:rPr>
          <w:rFonts w:ascii="Times New Roman" w:cs="Times New Roman" w:eastAsia="Times New Roman" w:hAnsi="Times New Roman"/>
          <w:sz w:val="17"/>
          <w:szCs w:val="17"/>
          <w:color w:val="auto"/>
        </w:rPr>
      </w:pPr>
    </w:p>
    <w:p>
      <w:pPr>
        <w:ind w:right="20" w:firstLine="1496"/>
        <w:spacing w:after="0" w:line="284" w:lineRule="auto"/>
        <w:tabs>
          <w:tab w:leader="none" w:pos="1848"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DXL or the Surviving Company or any of their respective successors or assigns (i) consolidates with or merges into any other Person and shall not be the continuing or surviving corporation or entity of such consolidation or merger, or engages in any division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6054090</wp:posOffset>
            </wp:positionH>
            <wp:positionV relativeFrom="paragraph">
              <wp:posOffset>-1939925</wp:posOffset>
            </wp:positionV>
            <wp:extent cx="549910" cy="7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49910" cy="7620"/>
                    </a:xfrm>
                    <a:prstGeom prst="rect">
                      <a:avLst/>
                    </a:prstGeom>
                    <a:noFill/>
                  </pic:spPr>
                </pic:pic>
              </a:graphicData>
            </a:graphic>
          </wp:anchor>
        </w:drawing>
        <w:drawing>
          <wp:anchor simplePos="0" relativeHeight="251657728" behindDoc="1" locked="0" layoutInCell="0" allowOverlap="1">
            <wp:simplePos x="0" y="0"/>
            <wp:positionH relativeFrom="column">
              <wp:posOffset>3463925</wp:posOffset>
            </wp:positionH>
            <wp:positionV relativeFrom="paragraph">
              <wp:posOffset>-1564005</wp:posOffset>
            </wp:positionV>
            <wp:extent cx="557530" cy="76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57530" cy="7620"/>
                    </a:xfrm>
                    <a:prstGeom prst="rect">
                      <a:avLst/>
                    </a:prstGeom>
                    <a:noFill/>
                  </pic:spPr>
                </pic:pic>
              </a:graphicData>
            </a:graphic>
          </wp:anchor>
        </w:drawing>
        <w:drawing>
          <wp:anchor simplePos="0" relativeHeight="251657728" behindDoc="1" locked="0" layoutInCell="0" allowOverlap="1">
            <wp:simplePos x="0" y="0"/>
            <wp:positionH relativeFrom="column">
              <wp:posOffset>2628900</wp:posOffset>
            </wp:positionH>
            <wp:positionV relativeFrom="paragraph">
              <wp:posOffset>-678180</wp:posOffset>
            </wp:positionV>
            <wp:extent cx="549910" cy="76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49910" cy="762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77" w:name="page78"/>
    <w:bookmarkEnd w:id="77"/>
    <w:p>
      <w:pPr>
        <w:jc w:val="both"/>
        <w:ind w:right="20"/>
        <w:spacing w:after="0" w:line="265" w:lineRule="auto"/>
        <w:rPr>
          <w:sz w:val="20"/>
          <w:szCs w:val="20"/>
          <w:color w:val="auto"/>
        </w:rPr>
      </w:pPr>
      <w:r>
        <w:rPr>
          <w:rFonts w:ascii="Times New Roman" w:cs="Times New Roman" w:eastAsia="Times New Roman" w:hAnsi="Times New Roman"/>
          <w:sz w:val="17"/>
          <w:szCs w:val="17"/>
          <w:color w:val="auto"/>
        </w:rPr>
        <w:t>conversion or redomestication or (ii) transfers or conveys all or substantially all of its properties and assets to any Person, then, in each such case, adequate provision shall be made so that the successors or assigns or transferees of DXL or the Surviving Company, as the case may be, shall assume the obligations with respect to indemnification, exculpation and advancement of expenses to the D&amp;O Indemnified Parties as set forth in this ‎Section 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5330190</wp:posOffset>
            </wp:positionH>
            <wp:positionV relativeFrom="paragraph">
              <wp:posOffset>-36830</wp:posOffset>
            </wp:positionV>
            <wp:extent cx="549910" cy="76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49910" cy="7620"/>
                    </a:xfrm>
                    <a:prstGeom prst="rect">
                      <a:avLst/>
                    </a:prstGeom>
                    <a:noFill/>
                  </pic:spPr>
                </pic:pic>
              </a:graphicData>
            </a:graphic>
          </wp:anchor>
        </w:drawing>
      </w:r>
    </w:p>
    <w:p>
      <w:pPr>
        <w:spacing w:after="0" w:line="123" w:lineRule="exact"/>
        <w:rPr>
          <w:sz w:val="20"/>
          <w:szCs w:val="20"/>
          <w:color w:val="auto"/>
        </w:rPr>
      </w:pPr>
    </w:p>
    <w:p>
      <w:pPr>
        <w:ind w:left="1220"/>
        <w:spacing w:after="0"/>
        <w:tabs>
          <w:tab w:leader="none" w:pos="2580" w:val="left"/>
        </w:tabs>
        <w:rPr>
          <w:sz w:val="20"/>
          <w:szCs w:val="20"/>
          <w:color w:val="auto"/>
        </w:rPr>
      </w:pPr>
      <w:r>
        <w:rPr>
          <w:rFonts w:ascii="Times New Roman" w:cs="Times New Roman" w:eastAsia="Times New Roman" w:hAnsi="Times New Roman"/>
          <w:sz w:val="17"/>
          <w:szCs w:val="17"/>
          <w:b w:val="1"/>
          <w:bCs w:val="1"/>
          <w:u w:val="single" w:color="auto"/>
          <w:color w:val="auto"/>
        </w:rPr>
        <w:t>SECTION 6.12</w:t>
        <w:tab/>
        <w:t>Financial Statements</w:t>
      </w:r>
    </w:p>
    <w:p>
      <w:pPr>
        <w:spacing w:after="0" w:line="197" w:lineRule="exact"/>
        <w:rPr>
          <w:sz w:val="20"/>
          <w:szCs w:val="20"/>
          <w:color w:val="auto"/>
        </w:rPr>
      </w:pPr>
    </w:p>
    <w:p>
      <w:pPr>
        <w:jc w:val="both"/>
        <w:ind w:firstLine="1496"/>
        <w:spacing w:after="0" w:line="256" w:lineRule="auto"/>
        <w:tabs>
          <w:tab w:leader="none" w:pos="1848"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soon as available, but in any event within forty-five (45) calendar days after the end of each fiscal quarter prior to the Closing, on an as-reported basis, FBB shall deliver, or cause to be delivered, to DXL unaudited condensed consolidated balance sheets and related statements of operations, statements of stockholders’ equity and statements of cash flows of FBB and its Subsidiaries for the period from the beginning of the fiscal quarter to the end of such fiscal quarter, and all such statements shall be derived from FBB and its Subsidiaries’ financial statements and shall be prepared in accordance with GAAP (except for the absence of footnotes).</w:t>
      </w:r>
    </w:p>
    <w:p>
      <w:pPr>
        <w:spacing w:after="0" w:line="151" w:lineRule="exact"/>
        <w:rPr>
          <w:rFonts w:ascii="Times New Roman" w:cs="Times New Roman" w:eastAsia="Times New Roman" w:hAnsi="Times New Roman"/>
          <w:sz w:val="17"/>
          <w:szCs w:val="17"/>
          <w:color w:val="auto"/>
        </w:rPr>
      </w:pPr>
    </w:p>
    <w:p>
      <w:pPr>
        <w:jc w:val="both"/>
        <w:ind w:right="20" w:firstLine="1496"/>
        <w:spacing w:after="0" w:line="261" w:lineRule="auto"/>
        <w:tabs>
          <w:tab w:leader="none" w:pos="1848"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soon as available, but in any event no later than one-hundred and twenty (120) calendar days after the end of each fiscal year prior to Closing, FBB shall deliver, or cause to be delivered, to DXL audited consolidated balance sheets and related statements of operations, statements of stockholders’ equity and statements of cash flows of FBB and its Subsidiaries as of the end of such fiscal year, including the notes thereto, prepared in accordance with GAAP.</w:t>
      </w:r>
    </w:p>
    <w:p>
      <w:pPr>
        <w:spacing w:after="0" w:line="355" w:lineRule="exact"/>
        <w:rPr>
          <w:rFonts w:ascii="Times New Roman" w:cs="Times New Roman" w:eastAsia="Times New Roman" w:hAnsi="Times New Roman"/>
          <w:sz w:val="17"/>
          <w:szCs w:val="17"/>
          <w:color w:val="auto"/>
        </w:rPr>
      </w:pPr>
    </w:p>
    <w:p>
      <w:pPr>
        <w:ind w:right="60" w:firstLine="1496"/>
        <w:spacing w:after="0" w:line="284" w:lineRule="auto"/>
        <w:tabs>
          <w:tab w:leader="none" w:pos="1848"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financial statements delivered by FBB hereunder shall comply with the applicable accounting requirements and rules and regulations of the SEC, the Exchange Act and Securities Act, as applicable, including Rule 3-05 of Regulation S-X under the Securities Act.</w:t>
      </w:r>
    </w:p>
    <w:p>
      <w:pPr>
        <w:spacing w:after="0" w:line="128" w:lineRule="exact"/>
        <w:rPr>
          <w:rFonts w:ascii="Times New Roman" w:cs="Times New Roman" w:eastAsia="Times New Roman" w:hAnsi="Times New Roman"/>
          <w:sz w:val="17"/>
          <w:szCs w:val="17"/>
          <w:color w:val="auto"/>
        </w:rPr>
      </w:pPr>
    </w:p>
    <w:p>
      <w:pPr>
        <w:jc w:val="both"/>
        <w:ind w:right="20" w:firstLine="1496"/>
        <w:spacing w:after="0" w:line="265" w:lineRule="auto"/>
        <w:tabs>
          <w:tab w:leader="none" w:pos="1848"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DXL and FBB shall reasonably cooperate with one another, and each shall cause its officers and employees to reasonably cooperate with the other, in the preparation of any pro forma financial statements required to be included or incorporated by reference in the Proxy Statement or Resale Registration Statement.</w:t>
      </w:r>
    </w:p>
    <w:p>
      <w:pPr>
        <w:spacing w:after="0" w:line="143" w:lineRule="exact"/>
        <w:rPr>
          <w:sz w:val="20"/>
          <w:szCs w:val="20"/>
          <w:color w:val="auto"/>
        </w:rPr>
      </w:pPr>
    </w:p>
    <w:p>
      <w:pPr>
        <w:jc w:val="both"/>
        <w:ind w:firstLine="1220"/>
        <w:spacing w:after="0" w:line="251" w:lineRule="auto"/>
        <w:rPr>
          <w:sz w:val="20"/>
          <w:szCs w:val="20"/>
          <w:color w:val="auto"/>
        </w:rPr>
      </w:pPr>
      <w:r>
        <w:rPr>
          <w:rFonts w:ascii="Times New Roman" w:cs="Times New Roman" w:eastAsia="Times New Roman" w:hAnsi="Times New Roman"/>
          <w:sz w:val="17"/>
          <w:szCs w:val="17"/>
          <w:b w:val="1"/>
          <w:bCs w:val="1"/>
          <w:u w:val="single" w:color="auto"/>
          <w:color w:val="auto"/>
        </w:rPr>
        <w:t>SECTION 6.13 Notification of Certain Matters</w:t>
      </w:r>
      <w:r>
        <w:rPr>
          <w:rFonts w:ascii="Times New Roman" w:cs="Times New Roman" w:eastAsia="Times New Roman" w:hAnsi="Times New Roman"/>
          <w:sz w:val="17"/>
          <w:szCs w:val="17"/>
          <w:color w:val="auto"/>
        </w:rPr>
        <w:t>. Prior to the Effective Time, DXL shall give prompt notice to FBB, and FBB shall give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prompt notice to DXL, of (a) any notice or other communication received from any Person alleging that the consent of such Person is or may be required in connection with the Transactions, if the subject matter of such communication or the failure of such party to obtain such consent could reasonably be expected, individually or in the aggregate, to be material to FBB, the Surviving Company, DXL, Merger Sub or the Merger, (b) any legal proceeding commenced or, to either the Knowledge of FBB or the Knowledge of DXL, threatened in writing against any party that relates to this Agreement or the Transactions and (c) any Change that (i) has had or would reasonably be expected to result in any Material Adverse Effect on FBB or (ii) has resulted in, or could reasonably be expected to result in, the failure of any of the conditions set forth in Article VII to be satisfied; provided that the delivery of any notice pursuant to this ‎Section 6.13 shall not limit or otherwise affect any rights or remedies available to the party receiving such notice or be deemed to amend or supplement the FBB Disclosure Schedule or the DXL Disclosure Schedule or prevent or cure any misrepresentation, breach of warranty or breach of covenant.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6348730</wp:posOffset>
            </wp:positionH>
            <wp:positionV relativeFrom="paragraph">
              <wp:posOffset>-281940</wp:posOffset>
            </wp:positionV>
            <wp:extent cx="549910" cy="76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49910" cy="7620"/>
                    </a:xfrm>
                    <a:prstGeom prst="rect">
                      <a:avLst/>
                    </a:prstGeom>
                    <a:noFill/>
                  </pic:spPr>
                </pic:pic>
              </a:graphicData>
            </a:graphic>
          </wp:anchor>
        </w:drawing>
      </w:r>
    </w:p>
    <w:p>
      <w:pPr>
        <w:spacing w:after="0" w:line="139" w:lineRule="exact"/>
        <w:rPr>
          <w:sz w:val="20"/>
          <w:szCs w:val="20"/>
          <w:color w:val="auto"/>
        </w:rPr>
      </w:pPr>
    </w:p>
    <w:p>
      <w:pPr>
        <w:jc w:val="both"/>
        <w:ind w:right="20" w:firstLine="1220"/>
        <w:spacing w:after="0" w:line="287" w:lineRule="auto"/>
        <w:rPr>
          <w:sz w:val="20"/>
          <w:szCs w:val="20"/>
          <w:color w:val="auto"/>
        </w:rPr>
      </w:pPr>
      <w:r>
        <w:rPr>
          <w:rFonts w:ascii="Times New Roman" w:cs="Times New Roman" w:eastAsia="Times New Roman" w:hAnsi="Times New Roman"/>
          <w:sz w:val="17"/>
          <w:szCs w:val="17"/>
          <w:b w:val="1"/>
          <w:bCs w:val="1"/>
          <w:u w:val="single" w:color="auto"/>
          <w:color w:val="auto"/>
        </w:rPr>
        <w:t>SECTION 6.14 Obligations of Merger Sub</w:t>
      </w:r>
      <w:r>
        <w:rPr>
          <w:rFonts w:ascii="Times New Roman" w:cs="Times New Roman" w:eastAsia="Times New Roman" w:hAnsi="Times New Roman"/>
          <w:sz w:val="17"/>
          <w:szCs w:val="17"/>
          <w:color w:val="auto"/>
        </w:rPr>
        <w:t>. DXL shall take all action necessary to cause Merger Sub to perform its obligations under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and to consummate the Transactions upon the terms and subject to the conditions set forth in this Agreement.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78" w:name="page79"/>
    <w:bookmarkEnd w:id="78"/>
    <w:p>
      <w:pPr>
        <w:jc w:val="both"/>
        <w:ind w:left="5" w:right="20" w:firstLine="1220"/>
        <w:spacing w:after="0" w:line="267" w:lineRule="auto"/>
        <w:rPr>
          <w:sz w:val="20"/>
          <w:szCs w:val="20"/>
          <w:color w:val="auto"/>
        </w:rPr>
      </w:pPr>
      <w:r>
        <w:rPr>
          <w:rFonts w:ascii="Times New Roman" w:cs="Times New Roman" w:eastAsia="Times New Roman" w:hAnsi="Times New Roman"/>
          <w:sz w:val="17"/>
          <w:szCs w:val="17"/>
          <w:b w:val="1"/>
          <w:bCs w:val="1"/>
          <w:u w:val="single" w:color="auto"/>
          <w:color w:val="auto"/>
        </w:rPr>
        <w:t>SECTION 6.15 Payment for Third Party Consents</w:t>
      </w:r>
      <w:r>
        <w:rPr>
          <w:rFonts w:ascii="Times New Roman" w:cs="Times New Roman" w:eastAsia="Times New Roman" w:hAnsi="Times New Roman"/>
          <w:sz w:val="17"/>
          <w:szCs w:val="17"/>
          <w:color w:val="auto"/>
        </w:rPr>
        <w:t>. Each of DXL and FBB shall pay all amounts, which payments are expressly required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by the terms of any Contract, payable by DXL or FBB, as applicable, in connection with third-party consents, waivers, amendments, and the like, required for the Transactions (if any).</w:t>
      </w:r>
    </w:p>
    <w:p>
      <w:pPr>
        <w:spacing w:after="0" w:line="140" w:lineRule="exact"/>
        <w:rPr>
          <w:sz w:val="20"/>
          <w:szCs w:val="20"/>
          <w:color w:val="auto"/>
        </w:rPr>
      </w:pPr>
    </w:p>
    <w:p>
      <w:pPr>
        <w:ind w:left="1225"/>
        <w:spacing w:after="0"/>
        <w:tabs>
          <w:tab w:leader="none" w:pos="2585" w:val="left"/>
        </w:tabs>
        <w:rPr>
          <w:sz w:val="20"/>
          <w:szCs w:val="20"/>
          <w:color w:val="auto"/>
        </w:rPr>
      </w:pPr>
      <w:r>
        <w:rPr>
          <w:rFonts w:ascii="Times New Roman" w:cs="Times New Roman" w:eastAsia="Times New Roman" w:hAnsi="Times New Roman"/>
          <w:sz w:val="17"/>
          <w:szCs w:val="17"/>
          <w:b w:val="1"/>
          <w:bCs w:val="1"/>
          <w:u w:val="single" w:color="auto"/>
          <w:color w:val="auto"/>
        </w:rPr>
        <w:t>SECTION 6.16</w:t>
        <w:tab/>
        <w:t>Financing; Cooperation</w:t>
      </w:r>
    </w:p>
    <w:p>
      <w:pPr>
        <w:spacing w:after="0" w:line="197" w:lineRule="exact"/>
        <w:rPr>
          <w:sz w:val="20"/>
          <w:szCs w:val="20"/>
          <w:color w:val="auto"/>
        </w:rPr>
      </w:pPr>
    </w:p>
    <w:p>
      <w:pPr>
        <w:jc w:val="both"/>
        <w:ind w:left="5" w:firstLine="1496"/>
        <w:spacing w:after="0" w:line="252" w:lineRule="auto"/>
        <w:tabs>
          <w:tab w:leader="none" w:pos="1853"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Closing, FBB shall use reasonable best efforts to take, or cause to be taken, all reasonable actions and do, or cause to be done, all things necessary, proper or advisable to consummate the transactions contemplated by the Commitment and Subscription Agreements, including maintaining in effect such Commitment and Subscription Agreements and shall use its reasonable best efforts to: (i) satisfy in all material respects on a timely basis all conditions and covenants applicable to such party in such Commitment and Subscription Agreements and otherwise comply with its obligations thereunder, and</w:t>
      </w:r>
    </w:p>
    <w:p>
      <w:pPr>
        <w:spacing w:after="0" w:line="3" w:lineRule="exact"/>
        <w:rPr>
          <w:rFonts w:ascii="Times New Roman" w:cs="Times New Roman" w:eastAsia="Times New Roman" w:hAnsi="Times New Roman"/>
          <w:sz w:val="17"/>
          <w:szCs w:val="17"/>
          <w:color w:val="auto"/>
        </w:rPr>
      </w:pPr>
    </w:p>
    <w:p>
      <w:pPr>
        <w:ind w:left="5" w:right="20" w:hanging="5"/>
        <w:spacing w:after="0" w:line="260" w:lineRule="auto"/>
        <w:tabs>
          <w:tab w:leader="none" w:pos="266"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consummate the transactions contemplated by such Commitment and Subscription Agreements at or prior to Closing, and in each case of clauses (i) and (ii), DXL shall cooperate with FBB in such efforts.</w:t>
      </w:r>
    </w:p>
    <w:p>
      <w:pPr>
        <w:spacing w:after="0" w:line="147" w:lineRule="exact"/>
        <w:rPr>
          <w:rFonts w:ascii="Times New Roman" w:cs="Times New Roman" w:eastAsia="Times New Roman" w:hAnsi="Times New Roman"/>
          <w:sz w:val="17"/>
          <w:szCs w:val="17"/>
          <w:color w:val="auto"/>
        </w:rPr>
      </w:pPr>
    </w:p>
    <w:p>
      <w:pPr>
        <w:jc w:val="both"/>
        <w:ind w:left="5" w:firstLine="1496"/>
        <w:spacing w:after="0" w:line="252" w:lineRule="auto"/>
        <w:tabs>
          <w:tab w:leader="none" w:pos="1853"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all conditions in the Commitment and Subscription Agreements have been satisfied, FBB shall use its reasonable best efforts to take, or to cause to be taken, all actions required, necessary or that it otherwise deems to be proper or advisable to consummate the transactions contemplated by the Commitment and Subscription Agreements on or prior to the Closing on the terms described therein, including (i) to enforce the rights of FBB under the Commitment and Subscription Agreements to cause the FBB Investors to pay to (or as directed by) FBB the applicable purchase price under each FBB Investor’s applicable Commitment and Subscription Agreement in accordance with its terms; (ii) confer with DXL regarding timing of the expected Closing Date (as defined in the Commitment and Subscription Agreements); and (iii) deliver notices to counterparties to the Commitment and Subscription Agreements sufficiently in advance of the Closing to cause them to fund their obligations as far in advance of the Closing as permitted by the Commitment and Subscription Agreements.</w:t>
      </w:r>
    </w:p>
    <w:p>
      <w:pPr>
        <w:spacing w:after="0" w:line="360" w:lineRule="exact"/>
        <w:rPr>
          <w:rFonts w:ascii="Times New Roman" w:cs="Times New Roman" w:eastAsia="Times New Roman" w:hAnsi="Times New Roman"/>
          <w:sz w:val="17"/>
          <w:szCs w:val="17"/>
          <w:color w:val="auto"/>
        </w:rPr>
      </w:pPr>
    </w:p>
    <w:p>
      <w:pPr>
        <w:jc w:val="both"/>
        <w:ind w:left="5" w:firstLine="1496"/>
        <w:spacing w:after="0" w:line="249" w:lineRule="auto"/>
        <w:tabs>
          <w:tab w:leader="none" w:pos="1853"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of DXL and FBB (for the purposes of this </w:t>
      </w:r>
      <w:r>
        <w:rPr>
          <w:rFonts w:ascii="Times New Roman" w:cs="Times New Roman" w:eastAsia="Times New Roman" w:hAnsi="Times New Roman"/>
          <w:sz w:val="17"/>
          <w:szCs w:val="17"/>
          <w:u w:val="single" w:color="auto"/>
          <w:color w:val="auto"/>
        </w:rPr>
        <w:t>‎Section 6.16(c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(e)</w:t>
      </w:r>
      <w:r>
        <w:rPr>
          <w:rFonts w:ascii="Times New Roman" w:cs="Times New Roman" w:eastAsia="Times New Roman" w:hAnsi="Times New Roman"/>
          <w:sz w:val="17"/>
          <w:szCs w:val="17"/>
          <w:color w:val="auto"/>
        </w:rPr>
        <w:t>‎ each, a “</w:t>
      </w:r>
      <w:r>
        <w:rPr>
          <w:rFonts w:ascii="Times New Roman" w:cs="Times New Roman" w:eastAsia="Times New Roman" w:hAnsi="Times New Roman"/>
          <w:sz w:val="17"/>
          <w:szCs w:val="17"/>
          <w:u w:val="single" w:color="auto"/>
          <w:color w:val="auto"/>
        </w:rPr>
        <w:t>Cooperating Party</w:t>
      </w:r>
      <w:r>
        <w:rPr>
          <w:rFonts w:ascii="Times New Roman" w:cs="Times New Roman" w:eastAsia="Times New Roman" w:hAnsi="Times New Roman"/>
          <w:sz w:val="17"/>
          <w:szCs w:val="17"/>
          <w:color w:val="auto"/>
        </w:rPr>
        <w:t>”) shall, and shall cause its respective Subsidiaries to, use reasonable best efforts to cooperate with the other Cooperating Party in connection with (i) the amendment and restatement of FBB’s Existing Term Loan Facility (including any related guarantees or security arrangements) to authorize and give effect to the Transactions and the capital structure of the Surviving Company following the Closing (the “</w:t>
      </w:r>
      <w:r>
        <w:rPr>
          <w:rFonts w:ascii="Times New Roman" w:cs="Times New Roman" w:eastAsia="Times New Roman" w:hAnsi="Times New Roman"/>
          <w:sz w:val="17"/>
          <w:szCs w:val="17"/>
          <w:u w:val="single" w:color="auto"/>
          <w:color w:val="auto"/>
        </w:rPr>
        <w:t>A&amp;R Term Loan Amendment</w:t>
      </w:r>
      <w:r>
        <w:rPr>
          <w:rFonts w:ascii="Times New Roman" w:cs="Times New Roman" w:eastAsia="Times New Roman" w:hAnsi="Times New Roman"/>
          <w:sz w:val="17"/>
          <w:szCs w:val="17"/>
          <w:color w:val="auto"/>
        </w:rPr>
        <w:t>”) and (ii) the establishment, documentation and closing of a combined asset-based revolving credit facility for the Surviving Company and its Subsidiaries on the Closing Date, whether through (A) an amendment or amendment and restatement of the Existing FBB ABL Agreement or (B), if reasonably determined by FBB in consultation with DXL, an amendment or amendment and restatement of the Existing DXL ABL Agreement or a new ABL credit agreement (each, the “</w:t>
      </w:r>
      <w:r>
        <w:rPr>
          <w:rFonts w:ascii="Times New Roman" w:cs="Times New Roman" w:eastAsia="Times New Roman" w:hAnsi="Times New Roman"/>
          <w:sz w:val="17"/>
          <w:szCs w:val="17"/>
          <w:u w:val="single" w:color="auto"/>
          <w:color w:val="auto"/>
        </w:rPr>
        <w:t>Combined ABL Facility</w:t>
      </w:r>
      <w:r>
        <w:rPr>
          <w:rFonts w:ascii="Times New Roman" w:cs="Times New Roman" w:eastAsia="Times New Roman" w:hAnsi="Times New Roman"/>
          <w:sz w:val="17"/>
          <w:szCs w:val="17"/>
          <w:color w:val="auto"/>
        </w:rPr>
        <w:t>”, and, together with the Existing Term Loan Facility and A&amp;R Term Loan Facility, the “</w:t>
      </w:r>
      <w:r>
        <w:rPr>
          <w:rFonts w:ascii="Times New Roman" w:cs="Times New Roman" w:eastAsia="Times New Roman" w:hAnsi="Times New Roman"/>
          <w:sz w:val="17"/>
          <w:szCs w:val="17"/>
          <w:u w:val="single" w:color="auto"/>
          <w:color w:val="auto"/>
        </w:rPr>
        <w:t>Debt Financing</w:t>
      </w:r>
      <w:r>
        <w:rPr>
          <w:rFonts w:ascii="Times New Roman" w:cs="Times New Roman" w:eastAsia="Times New Roman" w:hAnsi="Times New Roman"/>
          <w:sz w:val="17"/>
          <w:szCs w:val="17"/>
          <w:color w:val="auto"/>
        </w:rPr>
        <w:t>”). For the avoidance of doubt, no Cooperating Party shall be required, in</w:t>
      </w:r>
    </w:p>
    <w:p>
      <w:pPr>
        <w:spacing w:after="0" w:line="5" w:lineRule="exact"/>
        <w:rPr>
          <w:rFonts w:ascii="Times New Roman" w:cs="Times New Roman" w:eastAsia="Times New Roman" w:hAnsi="Times New Roman"/>
          <w:sz w:val="17"/>
          <w:szCs w:val="17"/>
          <w:color w:val="auto"/>
        </w:rPr>
      </w:pPr>
    </w:p>
    <w:p>
      <w:pPr>
        <w:jc w:val="both"/>
        <w:ind w:left="5"/>
        <w:spacing w:after="0" w:line="24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connection with the cooperation contemplated by this Section‎ 6.16, to incur incremental out-of-pocket expenses (other than de minimis amounts), prepare financial information not customarily prepared or readily available in the ordinary course, or take any action that would reasonably be expected to conflict with its organizational documents or applicable law. FBB and its advisors shall take the lead in the negotiations of the terms of A&amp;R Term Loan Amendment and the Combined ABL Facility;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(1) the leading Cooperating Party shall reasonably consult with the other Cooperating Party, consider in good faith its comments and keep it reasonably informed of material developments, (2) no material economic or structural term affecting the Surviving Company or its Subsidiaries shall be agreed without DXL’s prior written consent (not to be unreasonably withheld, conditioned or delayed), and (3) the parties shall coordinate in good faith regarding the substance and timing of all lender communications, draft deliverables and closing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2522220</wp:posOffset>
            </wp:positionH>
            <wp:positionV relativeFrom="paragraph">
              <wp:posOffset>-795020</wp:posOffset>
            </wp:positionV>
            <wp:extent cx="565150" cy="76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65150" cy="762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52" w:right="319" w:bottom="1440" w:gutter="0" w:footer="0" w:header="0"/>
        </w:sectPr>
      </w:pPr>
    </w:p>
    <w:bookmarkStart w:id="79" w:name="page80"/>
    <w:bookmarkEnd w:id="79"/>
    <w:p>
      <w:pPr>
        <w:ind w:left="1840" w:hanging="344"/>
        <w:spacing w:after="0"/>
        <w:tabs>
          <w:tab w:leader="none" w:pos="184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limiting the generality of Section‎ 6.16(c), each Cooperating Party, as applicable, shall, and shall cause its Subsidiaries to, use</w:t>
      </w:r>
    </w:p>
    <w:p>
      <w:pPr>
        <w:spacing w:after="0" w:line="25"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reasonable best efforts to:</w:t>
      </w:r>
    </w:p>
    <w:p>
      <w:pPr>
        <w:spacing w:after="0" w:line="174" w:lineRule="exact"/>
        <w:rPr>
          <w:rFonts w:ascii="Times New Roman" w:cs="Times New Roman" w:eastAsia="Times New Roman" w:hAnsi="Times New Roman"/>
          <w:sz w:val="17"/>
          <w:szCs w:val="17"/>
          <w:color w:val="auto"/>
        </w:rPr>
      </w:pPr>
    </w:p>
    <w:p>
      <w:pPr>
        <w:jc w:val="both"/>
        <w:ind w:right="20" w:firstLine="2246"/>
        <w:spacing w:after="0" w:line="265" w:lineRule="auto"/>
        <w:tabs>
          <w:tab w:leader="none" w:pos="2598"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 to the other Cooperating Party, its Representatives and Debt Financing Sources such financial, corporate, organizational and collateral information regarding such Cooperating Party and its Subsidiaries as is reasonably requested in connection with the preparation, effectiveness and implementation of the A&amp;R Term Loan Amendment and the Combined ABL Facility;</w:t>
      </w:r>
    </w:p>
    <w:p>
      <w:pPr>
        <w:spacing w:after="0" w:line="144" w:lineRule="exact"/>
        <w:rPr>
          <w:rFonts w:ascii="Times New Roman" w:cs="Times New Roman" w:eastAsia="Times New Roman" w:hAnsi="Times New Roman"/>
          <w:sz w:val="17"/>
          <w:szCs w:val="17"/>
          <w:color w:val="auto"/>
        </w:rPr>
      </w:pPr>
    </w:p>
    <w:p>
      <w:pPr>
        <w:jc w:val="both"/>
        <w:ind w:firstLine="2246"/>
        <w:spacing w:after="0" w:line="257" w:lineRule="auto"/>
        <w:tabs>
          <w:tab w:leader="none" w:pos="2598"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customary certificates, organizational documents, schedules, instruments and other deliverables reasonably requested by lenders, including information necessary to add such Cooperating Party and its Subsidiaries as obligors under the A&amp;R Term Loan Facility and Combined ABL Facility, as applicable, at or following the Closing; provided that such deliverables shall be limited to those necessary for such purpose and shall not require the preparation of financial or other information not customarily prepared or readily available in the ordinary course of the Cooperating Party’s business;</w:t>
      </w:r>
    </w:p>
    <w:p>
      <w:pPr>
        <w:spacing w:after="0" w:line="357" w:lineRule="exact"/>
        <w:rPr>
          <w:rFonts w:ascii="Times New Roman" w:cs="Times New Roman" w:eastAsia="Times New Roman" w:hAnsi="Times New Roman"/>
          <w:sz w:val="17"/>
          <w:szCs w:val="17"/>
          <w:color w:val="auto"/>
        </w:rPr>
      </w:pPr>
    </w:p>
    <w:p>
      <w:pPr>
        <w:ind w:left="2600" w:hanging="354"/>
        <w:spacing w:after="0"/>
        <w:tabs>
          <w:tab w:leader="none" w:pos="2600"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reasonably participate in customary diligence and coordination sessions relating to the A&amp;R Term Loan Amendment and</w:t>
      </w:r>
    </w:p>
    <w:p>
      <w:pPr>
        <w:spacing w:after="0" w:line="25"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Combined ABL Facility;</w:t>
      </w:r>
    </w:p>
    <w:p>
      <w:pPr>
        <w:spacing w:after="0" w:line="174" w:lineRule="exact"/>
        <w:rPr>
          <w:rFonts w:ascii="Times New Roman" w:cs="Times New Roman" w:eastAsia="Times New Roman" w:hAnsi="Times New Roman"/>
          <w:sz w:val="17"/>
          <w:szCs w:val="17"/>
          <w:color w:val="auto"/>
        </w:rPr>
      </w:pPr>
    </w:p>
    <w:p>
      <w:pPr>
        <w:jc w:val="both"/>
        <w:ind w:right="20" w:firstLine="2246"/>
        <w:spacing w:after="0" w:line="259" w:lineRule="auto"/>
        <w:tabs>
          <w:tab w:leader="none" w:pos="2598"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requested in writing at least eight (8) Business Days prior to the Closing Date, provide to the Debt Financing Sources, at least four (4) Business Days prior to the Closing Date, all documentation and information regarding such Cooperating Party and its Subsidiaries and its beneficial owners that is reasonably requested in connection with applicable “know-your-customer,” and anti-money laundering rules and regulations, including the USA Patriot Act, and the requirements of 31 C.F.R. §1010.230; and</w:t>
      </w:r>
    </w:p>
    <w:p>
      <w:pPr>
        <w:spacing w:after="0" w:line="149" w:lineRule="exact"/>
        <w:rPr>
          <w:rFonts w:ascii="Times New Roman" w:cs="Times New Roman" w:eastAsia="Times New Roman" w:hAnsi="Times New Roman"/>
          <w:sz w:val="17"/>
          <w:szCs w:val="17"/>
          <w:color w:val="auto"/>
        </w:rPr>
      </w:pPr>
    </w:p>
    <w:p>
      <w:pPr>
        <w:jc w:val="both"/>
        <w:ind w:right="20" w:firstLine="2246"/>
        <w:spacing w:after="0" w:line="259" w:lineRule="auto"/>
        <w:tabs>
          <w:tab w:leader="none" w:pos="2598"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executing and delivering as of Closing (but not prior to Closing) any guarantee, pledge and security documents, other definitive financing documents, or other certificates or documents as may be reasonably requested by the leading Cooperating Party or the Debt Financing Sources; it being understood that such documents shall only be effective at Closing, and otherwise reasonably facilitating the pledging of collateral and the granting of security interests in respect of any Debt Financing.</w:t>
      </w:r>
    </w:p>
    <w:p>
      <w:pPr>
        <w:spacing w:after="0" w:line="149" w:lineRule="exact"/>
        <w:rPr>
          <w:rFonts w:ascii="Times New Roman" w:cs="Times New Roman" w:eastAsia="Times New Roman" w:hAnsi="Times New Roman"/>
          <w:sz w:val="17"/>
          <w:szCs w:val="17"/>
          <w:color w:val="auto"/>
        </w:rPr>
      </w:pPr>
    </w:p>
    <w:p>
      <w:pPr>
        <w:jc w:val="both"/>
        <w:ind w:firstLine="1496"/>
        <w:spacing w:after="0" w:line="259" w:lineRule="auto"/>
        <w:tabs>
          <w:tab w:leader="none" w:pos="1848"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to the contrary in this Agreement, nothing in Section‎ 6.16(c) or </w:t>
      </w:r>
      <w:r>
        <w:rPr>
          <w:rFonts w:ascii="Times New Roman" w:cs="Times New Roman" w:eastAsia="Times New Roman" w:hAnsi="Times New Roman"/>
          <w:sz w:val="17"/>
          <w:szCs w:val="17"/>
          <w:u w:val="single" w:color="auto"/>
          <w:color w:val="auto"/>
        </w:rPr>
        <w:t>(d)</w:t>
      </w:r>
      <w:r>
        <w:rPr>
          <w:rFonts w:ascii="Times New Roman" w:cs="Times New Roman" w:eastAsia="Times New Roman" w:hAnsi="Times New Roman"/>
          <w:sz w:val="17"/>
          <w:szCs w:val="17"/>
          <w:color w:val="auto"/>
        </w:rPr>
        <w:t>‎ shall require any Cooperating Party or any of its Subsidiaries to (i) pay any commitment, arrangement or similar fee, (ii) incur any liability, guarantee, indemnity or other obligation under any credit or financing agreement prior to the Closing, or (iii) take any action that would materially and unreasonably interfere with the ongoing operations of such Cooperating Party or its Subsidiaries.</w:t>
      </w:r>
    </w:p>
    <w:p>
      <w:pPr>
        <w:spacing w:after="0" w:line="149" w:lineRule="exact"/>
        <w:rPr>
          <w:rFonts w:ascii="Times New Roman" w:cs="Times New Roman" w:eastAsia="Times New Roman" w:hAnsi="Times New Roman"/>
          <w:sz w:val="17"/>
          <w:szCs w:val="17"/>
          <w:color w:val="auto"/>
        </w:rPr>
      </w:pPr>
    </w:p>
    <w:p>
      <w:pPr>
        <w:jc w:val="both"/>
        <w:ind w:firstLine="1496"/>
        <w:spacing w:after="0" w:line="254" w:lineRule="auto"/>
        <w:tabs>
          <w:tab w:leader="none" w:pos="1848"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Cooperating Party and their Subsidiaries consent to the reasonable use of their logos in connection with the Debt Financing if such logos are used solely in a customary manner that is not intended to or reasonably likely to harm or disparage either Cooperating Party or any of their respective Affiliates or Subsidiaries or the reputation or goodwill of any of the foregoing. Each Cooperating Party shall be permitted to disclose information subject to the Confidentiality Agreement to rating agencies, the Debt Financing Sources and its other financing sources and prospective lenders, investors and financing sources, subject to the Debt Financing Sources, financing sources and such prospective lenders, investors and financing sources entering into customary confidentiality undertakings with respect to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-4574540</wp:posOffset>
            </wp:positionV>
            <wp:extent cx="635635" cy="76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35635" cy="7620"/>
                    </a:xfrm>
                    <a:prstGeom prst="rect">
                      <a:avLst/>
                    </a:prstGeom>
                    <a:noFill/>
                  </pic:spPr>
                </pic:pic>
              </a:graphicData>
            </a:graphic>
          </wp:anchor>
        </w:drawing>
        <w:drawing>
          <wp:anchor simplePos="0" relativeHeight="251657728" behindDoc="1" locked="0" layoutInCell="0" allowOverlap="1">
            <wp:simplePos x="0" y="0"/>
            <wp:positionH relativeFrom="column">
              <wp:posOffset>4416425</wp:posOffset>
            </wp:positionH>
            <wp:positionV relativeFrom="paragraph">
              <wp:posOffset>-1299845</wp:posOffset>
            </wp:positionV>
            <wp:extent cx="680085"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0085" cy="7620"/>
                    </a:xfrm>
                    <a:prstGeom prst="rect">
                      <a:avLst/>
                    </a:prstGeom>
                    <a:noFill/>
                  </pic:spPr>
                </pic:pic>
              </a:graphicData>
            </a:graphic>
          </wp:anchor>
        </w:drawing>
      </w:r>
    </w:p>
    <w:p>
      <w:pPr>
        <w:spacing w:after="0" w:line="132" w:lineRule="exact"/>
        <w:rPr>
          <w:sz w:val="20"/>
          <w:szCs w:val="20"/>
          <w:color w:val="auto"/>
        </w:rPr>
      </w:pPr>
    </w:p>
    <w:p>
      <w:pPr>
        <w:jc w:val="both"/>
        <w:ind w:right="20" w:firstLine="1220"/>
        <w:spacing w:after="0" w:line="267" w:lineRule="auto"/>
        <w:rPr>
          <w:sz w:val="20"/>
          <w:szCs w:val="20"/>
          <w:color w:val="auto"/>
        </w:rPr>
      </w:pPr>
      <w:r>
        <w:rPr>
          <w:rFonts w:ascii="Times New Roman" w:cs="Times New Roman" w:eastAsia="Times New Roman" w:hAnsi="Times New Roman"/>
          <w:sz w:val="17"/>
          <w:szCs w:val="17"/>
          <w:b w:val="1"/>
          <w:bCs w:val="1"/>
          <w:u w:val="single" w:color="auto"/>
          <w:color w:val="auto"/>
        </w:rPr>
        <w:t>SECTION 6.17 Updated Capitalization Information</w:t>
      </w:r>
      <w:r>
        <w:rPr>
          <w:rFonts w:ascii="Times New Roman" w:cs="Times New Roman" w:eastAsia="Times New Roman" w:hAnsi="Times New Roman"/>
          <w:sz w:val="17"/>
          <w:szCs w:val="17"/>
          <w:color w:val="auto"/>
        </w:rPr>
        <w:t>. At least three (3) Business Days prior to the Closing, and again immediately prior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the Closing, DXL shall deliver to FBB a written document that sets forth all of the information that DXL would have been required to include in ‎Section 3.02 of the DXL Disclosure Schedule in order to make the representations and warranties set forth in ‎</w:t>
      </w:r>
      <w:r>
        <w:rPr>
          <w:rFonts w:ascii="Times New Roman" w:cs="Times New Roman" w:eastAsia="Times New Roman" w:hAnsi="Times New Roman"/>
          <w:sz w:val="17"/>
          <w:szCs w:val="17"/>
          <w:u w:val="single" w:color="auto"/>
          <w:color w:val="auto"/>
        </w:rPr>
        <w:t>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6591300</wp:posOffset>
            </wp:positionH>
            <wp:positionV relativeFrom="paragraph">
              <wp:posOffset>-166370</wp:posOffset>
            </wp:positionV>
            <wp:extent cx="549910" cy="76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49910" cy="762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u w:val="single" w:color="auto"/>
          <w:color w:val="auto"/>
        </w:rPr>
        <w:t>3.02</w:t>
      </w:r>
      <w:r>
        <w:rPr>
          <w:rFonts w:ascii="Times New Roman" w:cs="Times New Roman" w:eastAsia="Times New Roman" w:hAnsi="Times New Roman"/>
          <w:sz w:val="17"/>
          <w:szCs w:val="17"/>
          <w:color w:val="auto"/>
        </w:rPr>
        <w:t xml:space="preserve"> of this Agreement true, correct and complete as of the Closing if such representations and warranties were being made as of the date of the Closing (and,</w:t>
      </w:r>
    </w:p>
    <w:p>
      <w:pPr>
        <w:spacing w:after="0" w:line="2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solely for purposes of complying with this Section‎ 6.17, all references in Section‎ 3.02 to the date of this Agreement shall be deemed to be references to the date of the Closing). At least three (3) Business Days prior to the Closing, and again immediately prior to the Closing, FBB shall deliver to DXL a written document that sets forth all of the information that FBB would have been required to include in ‎Section 4.02 of the FBB Disclosure Schedule in order to make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-275590</wp:posOffset>
            </wp:positionV>
            <wp:extent cx="549910" cy="76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49910" cy="762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-275590</wp:posOffset>
            </wp:positionV>
            <wp:extent cx="549910" cy="76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49910" cy="7620"/>
                    </a:xfrm>
                    <a:prstGeom prst="rect">
                      <a:avLst/>
                    </a:prstGeom>
                    <a:noFill/>
                  </pic:spPr>
                </pic:pic>
              </a:graphicData>
            </a:graphic>
          </wp:anchor>
        </w:drawing>
        <w:drawing>
          <wp:anchor simplePos="0" relativeHeight="251657728" behindDoc="1" locked="0" layoutInCell="0" allowOverlap="1">
            <wp:simplePos x="0" y="0"/>
            <wp:positionH relativeFrom="column">
              <wp:posOffset>4040505</wp:posOffset>
            </wp:positionH>
            <wp:positionV relativeFrom="paragraph">
              <wp:posOffset>-20320</wp:posOffset>
            </wp:positionV>
            <wp:extent cx="565150" cy="7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65150" cy="7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representations and warranties set forth in Section‎ 4.02 of this Agreement true, correct and complete as of the Closing if such representations and warranties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1866900</wp:posOffset>
            </wp:positionH>
            <wp:positionV relativeFrom="paragraph">
              <wp:posOffset>-17780</wp:posOffset>
            </wp:positionV>
            <wp:extent cx="549910" cy="76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49910" cy="7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being made as of the date of the Closing (and, solely for purposes of complying with this Section‎ 6.17, all references in Section‎ 4.02 to the date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-17780</wp:posOffset>
            </wp:positionV>
            <wp:extent cx="549910" cy="76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49910" cy="7620"/>
                    </a:xfrm>
                    <a:prstGeom prst="rect">
                      <a:avLst/>
                    </a:prstGeom>
                    <a:noFill/>
                  </pic:spPr>
                </pic:pic>
              </a:graphicData>
            </a:graphic>
          </wp:anchor>
        </w:drawing>
        <w:drawing>
          <wp:anchor simplePos="0" relativeHeight="251657728" behindDoc="1" locked="0" layoutInCell="0" allowOverlap="1">
            <wp:simplePos x="0" y="0"/>
            <wp:positionH relativeFrom="column">
              <wp:posOffset>5274945</wp:posOffset>
            </wp:positionH>
            <wp:positionV relativeFrom="paragraph">
              <wp:posOffset>-17780</wp:posOffset>
            </wp:positionV>
            <wp:extent cx="549910" cy="76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49910" cy="7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shall be deemed to be references to the date of the Closing).  Notwithstanding the foregoing, nothing contained in this Section‎ 6.17, including the delivery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5391150</wp:posOffset>
            </wp:positionH>
            <wp:positionV relativeFrom="paragraph">
              <wp:posOffset>-17780</wp:posOffset>
            </wp:positionV>
            <wp:extent cx="557530" cy="76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57530" cy="7620"/>
                    </a:xfrm>
                    <a:prstGeom prst="rect">
                      <a:avLst/>
                    </a:prstGeom>
                    <a:noFill/>
                  </pic:spPr>
                </pic:pic>
              </a:graphicData>
            </a:graphic>
          </wp:anchor>
        </w:drawing>
      </w:r>
    </w:p>
    <w:p>
      <w:pPr>
        <w:jc w:val="both"/>
        <w:spacing w:after="0" w:line="253" w:lineRule="auto"/>
        <w:rPr>
          <w:sz w:val="20"/>
          <w:szCs w:val="20"/>
          <w:color w:val="auto"/>
        </w:rPr>
      </w:pPr>
      <w:r>
        <w:rPr>
          <w:rFonts w:ascii="Times New Roman" w:cs="Times New Roman" w:eastAsia="Times New Roman" w:hAnsi="Times New Roman"/>
          <w:sz w:val="17"/>
          <w:szCs w:val="17"/>
          <w:color w:val="auto"/>
        </w:rPr>
        <w:t>DXL to FBB and FBB to DXL of the updated capitalization information required by this ‎Section 6.17, shall (i) update any information contained in the DXL Disclosure Schedule or the FBB Disclosure Schedule, (ii) modify, amend or affect any representation or warranty contained in this Agreement or (iii) permit action or non-action otherwise prohibited by ‎Section 5.01, ‎Section 5.02 or ‎Section 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4065905</wp:posOffset>
            </wp:positionH>
            <wp:positionV relativeFrom="paragraph">
              <wp:posOffset>-286385</wp:posOffset>
            </wp:positionV>
            <wp:extent cx="557530" cy="76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57530" cy="7620"/>
                    </a:xfrm>
                    <a:prstGeom prst="rect">
                      <a:avLst/>
                    </a:prstGeom>
                    <a:noFill/>
                  </pic:spPr>
                </pic:pic>
              </a:graphicData>
            </a:graphic>
          </wp:anchor>
        </w:drawing>
        <w:drawing>
          <wp:anchor simplePos="0" relativeHeight="251657728" behindDoc="1" locked="0" layoutInCell="0" allowOverlap="1">
            <wp:simplePos x="0" y="0"/>
            <wp:positionH relativeFrom="column">
              <wp:posOffset>1983105</wp:posOffset>
            </wp:positionH>
            <wp:positionV relativeFrom="paragraph">
              <wp:posOffset>-31115</wp:posOffset>
            </wp:positionV>
            <wp:extent cx="1852295" cy="76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852295" cy="7620"/>
                    </a:xfrm>
                    <a:prstGeom prst="rect">
                      <a:avLst/>
                    </a:prstGeom>
                    <a:noFill/>
                  </pic:spPr>
                </pic:pic>
              </a:graphicData>
            </a:graphic>
          </wp:anchor>
        </w:drawing>
      </w:r>
    </w:p>
    <w:p>
      <w:pPr>
        <w:spacing w:after="0" w:line="132" w:lineRule="exact"/>
        <w:rPr>
          <w:sz w:val="20"/>
          <w:szCs w:val="20"/>
          <w:color w:val="auto"/>
        </w:rPr>
      </w:pPr>
    </w:p>
    <w:p>
      <w:pPr>
        <w:jc w:val="both"/>
        <w:ind w:right="20" w:firstLine="1220"/>
        <w:spacing w:after="0" w:line="256" w:lineRule="auto"/>
        <w:rPr>
          <w:sz w:val="20"/>
          <w:szCs w:val="20"/>
          <w:color w:val="auto"/>
        </w:rPr>
      </w:pPr>
      <w:r>
        <w:rPr>
          <w:rFonts w:ascii="Times New Roman" w:cs="Times New Roman" w:eastAsia="Times New Roman" w:hAnsi="Times New Roman"/>
          <w:sz w:val="17"/>
          <w:szCs w:val="17"/>
          <w:b w:val="1"/>
          <w:bCs w:val="1"/>
          <w:u w:val="single" w:color="auto"/>
          <w:color w:val="auto"/>
        </w:rPr>
        <w:t>SECTION 6.18 Listing of DXL Common Stock on Nasdaq</w:t>
      </w:r>
      <w:r>
        <w:rPr>
          <w:rFonts w:ascii="Times New Roman" w:cs="Times New Roman" w:eastAsia="Times New Roman" w:hAnsi="Times New Roman"/>
          <w:sz w:val="17"/>
          <w:szCs w:val="17"/>
          <w:color w:val="auto"/>
        </w:rPr>
        <w:t>. Prior to the Effective Time, DXL shall prepare and submit to the Nasdaq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listing application or notification, as applicable, covering the shares of DXL Common Stock to be issued as Merger Consideration, and shall use its reasonable best efforts (including paying all applicable listing fees) to cause the DXL Common Stock to be issued as Merger Consideration to be authorized for listing on Nasdaq, subject to official notice of issuance, and FBB shall reasonably cooperate with DXL in connection with the foregoing, including by providing information reasonably requested by DXL in connection therewith.</w:t>
      </w:r>
    </w:p>
    <w:p>
      <w:pPr>
        <w:spacing w:after="0" w:line="152" w:lineRule="exact"/>
        <w:rPr>
          <w:sz w:val="20"/>
          <w:szCs w:val="20"/>
          <w:color w:val="auto"/>
        </w:rPr>
      </w:pPr>
    </w:p>
    <w:p>
      <w:pPr>
        <w:jc w:val="both"/>
        <w:ind w:firstLine="1220"/>
        <w:spacing w:after="0" w:line="256" w:lineRule="auto"/>
        <w:rPr>
          <w:sz w:val="20"/>
          <w:szCs w:val="20"/>
          <w:color w:val="auto"/>
        </w:rPr>
      </w:pPr>
      <w:r>
        <w:rPr>
          <w:rFonts w:ascii="Times New Roman" w:cs="Times New Roman" w:eastAsia="Times New Roman" w:hAnsi="Times New Roman"/>
          <w:sz w:val="17"/>
          <w:szCs w:val="17"/>
          <w:b w:val="1"/>
          <w:bCs w:val="1"/>
          <w:u w:val="single" w:color="auto"/>
          <w:color w:val="auto"/>
        </w:rPr>
        <w:t>SECTION 6.19 FBB Corporate Actions</w:t>
      </w:r>
      <w:r>
        <w:rPr>
          <w:rFonts w:ascii="Times New Roman" w:cs="Times New Roman" w:eastAsia="Times New Roman" w:hAnsi="Times New Roman"/>
          <w:sz w:val="17"/>
          <w:szCs w:val="17"/>
          <w:color w:val="auto"/>
        </w:rPr>
        <w:t>. Prior to the Effective Time, FBB shall (i) amend the FBB Charter to increase the total number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authorized shares sufficient to permit the consummation of the Pre-Closing Investment (the “</w:t>
      </w:r>
      <w:r>
        <w:rPr>
          <w:rFonts w:ascii="Times New Roman" w:cs="Times New Roman" w:eastAsia="Times New Roman" w:hAnsi="Times New Roman"/>
          <w:sz w:val="17"/>
          <w:szCs w:val="17"/>
          <w:u w:val="single" w:color="auto"/>
          <w:color w:val="auto"/>
        </w:rPr>
        <w:t>FBB Charter Amendment</w:t>
      </w:r>
      <w:r>
        <w:rPr>
          <w:rFonts w:ascii="Times New Roman" w:cs="Times New Roman" w:eastAsia="Times New Roman" w:hAnsi="Times New Roman"/>
          <w:sz w:val="17"/>
          <w:szCs w:val="17"/>
          <w:color w:val="auto"/>
        </w:rPr>
        <w:t>”), (ii) amend the certificate of designation of the FBB Preferred Stock (the “</w:t>
      </w:r>
      <w:r>
        <w:rPr>
          <w:rFonts w:ascii="Times New Roman" w:cs="Times New Roman" w:eastAsia="Times New Roman" w:hAnsi="Times New Roman"/>
          <w:sz w:val="17"/>
          <w:szCs w:val="17"/>
          <w:u w:val="single" w:color="auto"/>
          <w:color w:val="auto"/>
        </w:rPr>
        <w:t>Certificate of Designation</w:t>
      </w:r>
      <w:r>
        <w:rPr>
          <w:rFonts w:ascii="Times New Roman" w:cs="Times New Roman" w:eastAsia="Times New Roman" w:hAnsi="Times New Roman"/>
          <w:sz w:val="17"/>
          <w:szCs w:val="17"/>
          <w:color w:val="auto"/>
        </w:rPr>
        <w:t>”) pursuant to an amendment (the “</w:t>
      </w:r>
      <w:r>
        <w:rPr>
          <w:rFonts w:ascii="Times New Roman" w:cs="Times New Roman" w:eastAsia="Times New Roman" w:hAnsi="Times New Roman"/>
          <w:sz w:val="17"/>
          <w:szCs w:val="17"/>
          <w:u w:val="single" w:color="auto"/>
          <w:color w:val="auto"/>
        </w:rPr>
        <w:t>COD Amendment</w:t>
      </w:r>
      <w:r>
        <w:rPr>
          <w:rFonts w:ascii="Times New Roman" w:cs="Times New Roman" w:eastAsia="Times New Roman" w:hAnsi="Times New Roman"/>
          <w:sz w:val="17"/>
          <w:szCs w:val="17"/>
          <w:color w:val="auto"/>
        </w:rPr>
        <w:t>”) to cause the conversion of all issued and outstanding shares of FBB Preferred Stock into shares of FBB Common Stock and (iii) take all actions necessary to cause the conversion of all issued and outstanding shares of FBB Preferred Stock into shares of FBB Common Stock.</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ARTICLE VII</w:t>
      </w:r>
    </w:p>
    <w:p>
      <w:pPr>
        <w:spacing w:after="0" w:line="195" w:lineRule="exact"/>
        <w:rPr>
          <w:sz w:val="20"/>
          <w:szCs w:val="20"/>
          <w:color w:val="auto"/>
        </w:rPr>
      </w:pPr>
    </w:p>
    <w:p>
      <w:pPr>
        <w:ind w:left="1220"/>
        <w:spacing w:after="0"/>
        <w:tabs>
          <w:tab w:leader="none" w:pos="2620" w:val="left"/>
        </w:tabs>
        <w:rPr>
          <w:sz w:val="20"/>
          <w:szCs w:val="20"/>
          <w:color w:val="auto"/>
        </w:rPr>
      </w:pPr>
      <w:r>
        <w:rPr>
          <w:rFonts w:ascii="Times New Roman" w:cs="Times New Roman" w:eastAsia="Times New Roman" w:hAnsi="Times New Roman"/>
          <w:sz w:val="17"/>
          <w:szCs w:val="17"/>
          <w:b w:val="1"/>
          <w:bCs w:val="1"/>
          <w:u w:val="single" w:color="auto"/>
          <w:color w:val="auto"/>
        </w:rPr>
        <w:t>SECTION 7.01</w:t>
      </w:r>
      <w:r>
        <w:rPr>
          <w:sz w:val="20"/>
          <w:szCs w:val="20"/>
          <w:color w:val="auto"/>
        </w:rPr>
        <w:tab/>
      </w:r>
      <w:r>
        <w:rPr>
          <w:rFonts w:ascii="Times New Roman" w:cs="Times New Roman" w:eastAsia="Times New Roman" w:hAnsi="Times New Roman"/>
          <w:sz w:val="17"/>
          <w:szCs w:val="17"/>
          <w:b w:val="1"/>
          <w:bCs w:val="1"/>
          <w:u w:val="single" w:color="auto"/>
          <w:color w:val="auto"/>
        </w:rPr>
        <w:t>Conditions to Each Party’s Obligation to Effect the Merger</w:t>
      </w:r>
      <w:r>
        <w:rPr>
          <w:rFonts w:ascii="Times New Roman" w:cs="Times New Roman" w:eastAsia="Times New Roman" w:hAnsi="Times New Roman"/>
          <w:sz w:val="17"/>
          <w:szCs w:val="17"/>
          <w:color w:val="auto"/>
        </w:rPr>
        <w:t>. The respective obligations of the parties to effect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Merger shall be subject to the satisfaction, or waiver by each of the parties, at or prior to the Effective Time of the following conditions:</w:t>
      </w:r>
    </w:p>
    <w:p>
      <w:pPr>
        <w:spacing w:after="0" w:line="175" w:lineRule="exact"/>
        <w:rPr>
          <w:sz w:val="20"/>
          <w:szCs w:val="20"/>
          <w:color w:val="auto"/>
        </w:rPr>
      </w:pPr>
    </w:p>
    <w:p>
      <w:pPr>
        <w:ind w:left="1840" w:hanging="344"/>
        <w:spacing w:after="0"/>
        <w:tabs>
          <w:tab w:leader="none" w:pos="184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FBB Stockholder Approval</w:t>
      </w:r>
      <w:r>
        <w:rPr>
          <w:rFonts w:ascii="Times New Roman" w:cs="Times New Roman" w:eastAsia="Times New Roman" w:hAnsi="Times New Roman"/>
          <w:sz w:val="17"/>
          <w:szCs w:val="17"/>
          <w:color w:val="auto"/>
        </w:rPr>
        <w:t>. The FBB Stockholder Approval shall have been obtained.</w:t>
      </w:r>
    </w:p>
    <w:p>
      <w:pPr>
        <w:spacing w:after="0" w:line="194" w:lineRule="exact"/>
        <w:rPr>
          <w:rFonts w:ascii="Times New Roman" w:cs="Times New Roman" w:eastAsia="Times New Roman" w:hAnsi="Times New Roman"/>
          <w:sz w:val="17"/>
          <w:szCs w:val="17"/>
          <w:color w:val="auto"/>
        </w:rPr>
      </w:pPr>
    </w:p>
    <w:p>
      <w:pPr>
        <w:ind w:left="1840" w:hanging="344"/>
        <w:spacing w:after="0"/>
        <w:tabs>
          <w:tab w:leader="none" w:pos="184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Required DXL Stockholder Vote</w:t>
      </w:r>
      <w:r>
        <w:rPr>
          <w:rFonts w:ascii="Times New Roman" w:cs="Times New Roman" w:eastAsia="Times New Roman" w:hAnsi="Times New Roman"/>
          <w:sz w:val="17"/>
          <w:szCs w:val="17"/>
          <w:color w:val="auto"/>
        </w:rPr>
        <w:t>. The Required DXL Stockholder Vote shall have been obtained.</w:t>
      </w:r>
    </w:p>
    <w:p>
      <w:pPr>
        <w:spacing w:after="0" w:line="194" w:lineRule="exact"/>
        <w:rPr>
          <w:rFonts w:ascii="Times New Roman" w:cs="Times New Roman" w:eastAsia="Times New Roman" w:hAnsi="Times New Roman"/>
          <w:sz w:val="17"/>
          <w:szCs w:val="17"/>
          <w:color w:val="auto"/>
        </w:rPr>
      </w:pPr>
    </w:p>
    <w:p>
      <w:pPr>
        <w:ind w:left="1840" w:hanging="344"/>
        <w:spacing w:after="0"/>
        <w:tabs>
          <w:tab w:leader="none" w:pos="184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Listing</w:t>
      </w:r>
      <w:r>
        <w:rPr>
          <w:rFonts w:ascii="Times New Roman" w:cs="Times New Roman" w:eastAsia="Times New Roman" w:hAnsi="Times New Roman"/>
          <w:sz w:val="17"/>
          <w:szCs w:val="17"/>
          <w:color w:val="auto"/>
        </w:rPr>
        <w:t>. The DXL Common Stock to be issued as Merger Consideration shall have been authorized for listing on the Nasdaq, subject to</w:t>
      </w:r>
    </w:p>
    <w:p>
      <w:pPr>
        <w:spacing w:after="0" w:line="25"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official notice of issuance.</w:t>
      </w:r>
    </w:p>
    <w:p>
      <w:pPr>
        <w:spacing w:after="0" w:line="174" w:lineRule="exact"/>
        <w:rPr>
          <w:rFonts w:ascii="Times New Roman" w:cs="Times New Roman" w:eastAsia="Times New Roman" w:hAnsi="Times New Roman"/>
          <w:sz w:val="17"/>
          <w:szCs w:val="17"/>
          <w:color w:val="auto"/>
        </w:rPr>
      </w:pPr>
    </w:p>
    <w:p>
      <w:pPr>
        <w:ind w:right="20" w:firstLine="1496"/>
        <w:spacing w:after="0" w:line="284" w:lineRule="auto"/>
        <w:tabs>
          <w:tab w:leader="none" w:pos="186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Pre-Closing Investment</w:t>
      </w:r>
      <w:r>
        <w:rPr>
          <w:rFonts w:ascii="Times New Roman" w:cs="Times New Roman" w:eastAsia="Times New Roman" w:hAnsi="Times New Roman"/>
          <w:sz w:val="17"/>
          <w:szCs w:val="17"/>
          <w:color w:val="auto"/>
        </w:rPr>
        <w:t>. The Pre-Closing Investment shall have been consummated pursuant to, and in the amounts set forth in, the Commitment and Subscription Agreements.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81" w:name="page82"/>
    <w:bookmarkEnd w:id="81"/>
    <w:p>
      <w:pPr>
        <w:jc w:val="both"/>
        <w:ind w:right="20" w:firstLine="1496"/>
        <w:spacing w:after="0" w:line="265" w:lineRule="auto"/>
        <w:tabs>
          <w:tab w:leader="none" w:pos="186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Injunctions or Restraints; Illegality</w:t>
      </w:r>
      <w:r>
        <w:rPr>
          <w:rFonts w:ascii="Times New Roman" w:cs="Times New Roman" w:eastAsia="Times New Roman" w:hAnsi="Times New Roman"/>
          <w:sz w:val="17"/>
          <w:szCs w:val="17"/>
          <w:color w:val="auto"/>
        </w:rPr>
        <w:t>. No Injunction preventing the consummation of the Merger or any of the other Transactions shall be in effect. No statute, rule, regulation or Injunction shall have been enacted, entered, promulgated or enforced by any Governmental Entity that prohibits or makes illegal consummation of the Merger.</w:t>
      </w:r>
    </w:p>
    <w:p>
      <w:pPr>
        <w:spacing w:after="0" w:line="143" w:lineRule="exact"/>
        <w:rPr>
          <w:sz w:val="20"/>
          <w:szCs w:val="20"/>
          <w:color w:val="auto"/>
        </w:rPr>
      </w:pPr>
    </w:p>
    <w:p>
      <w:pPr>
        <w:ind w:right="20" w:firstLine="1220"/>
        <w:spacing w:after="0" w:line="287" w:lineRule="auto"/>
        <w:rPr>
          <w:sz w:val="20"/>
          <w:szCs w:val="20"/>
          <w:color w:val="auto"/>
        </w:rPr>
      </w:pPr>
      <w:r>
        <w:rPr>
          <w:rFonts w:ascii="Times New Roman" w:cs="Times New Roman" w:eastAsia="Times New Roman" w:hAnsi="Times New Roman"/>
          <w:sz w:val="17"/>
          <w:szCs w:val="17"/>
          <w:b w:val="1"/>
          <w:bCs w:val="1"/>
          <w:u w:val="single" w:color="auto"/>
          <w:color w:val="auto"/>
        </w:rPr>
        <w:t>SECTION 7.02 Conditions to Obligations of DXL</w:t>
      </w:r>
      <w:r>
        <w:rPr>
          <w:rFonts w:ascii="Times New Roman" w:cs="Times New Roman" w:eastAsia="Times New Roman" w:hAnsi="Times New Roman"/>
          <w:sz w:val="17"/>
          <w:szCs w:val="17"/>
          <w:color w:val="auto"/>
        </w:rPr>
        <w:t>. The obligation of DXL to effect the Merger is also subject to the satisfaction, or waiver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by DXL, at or prior to the Effective Time, of the following conditions:</w:t>
      </w:r>
    </w:p>
    <w:p>
      <w:pPr>
        <w:spacing w:after="0" w:line="126" w:lineRule="exact"/>
        <w:rPr>
          <w:sz w:val="20"/>
          <w:szCs w:val="20"/>
          <w:color w:val="auto"/>
        </w:rPr>
      </w:pPr>
    </w:p>
    <w:p>
      <w:pPr>
        <w:jc w:val="both"/>
        <w:ind w:firstLine="1496"/>
        <w:spacing w:after="0" w:line="251" w:lineRule="auto"/>
        <w:tabs>
          <w:tab w:leader="none" w:pos="1883"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Representations and Warranties</w:t>
      </w:r>
      <w:r>
        <w:rPr>
          <w:rFonts w:ascii="Times New Roman" w:cs="Times New Roman" w:eastAsia="Times New Roman" w:hAnsi="Times New Roman"/>
          <w:sz w:val="17"/>
          <w:szCs w:val="17"/>
          <w:color w:val="auto"/>
        </w:rPr>
        <w:t>. (i) Each of the representations and warranties of FBB (other than as set forth in Section‎ 4.01 (Corporate Organization), 4</w:t>
      </w:r>
      <w:r>
        <w:rPr>
          <w:rFonts w:ascii="Times New Roman" w:cs="Times New Roman" w:eastAsia="Times New Roman" w:hAnsi="Times New Roman"/>
          <w:sz w:val="17"/>
          <w:szCs w:val="17"/>
          <w:u w:val="single" w:color="auto"/>
          <w:color w:val="auto"/>
        </w:rPr>
        <w:t>‎.01(b)</w:t>
      </w:r>
      <w:r>
        <w:rPr>
          <w:rFonts w:ascii="Times New Roman" w:cs="Times New Roman" w:eastAsia="Times New Roman" w:hAnsi="Times New Roman"/>
          <w:sz w:val="17"/>
          <w:szCs w:val="17"/>
          <w:color w:val="auto"/>
        </w:rPr>
        <w:t xml:space="preserve"> (Capitalization), 4</w:t>
      </w:r>
      <w:r>
        <w:rPr>
          <w:rFonts w:ascii="Times New Roman" w:cs="Times New Roman" w:eastAsia="Times New Roman" w:hAnsi="Times New Roman"/>
          <w:sz w:val="17"/>
          <w:szCs w:val="17"/>
          <w:u w:val="single" w:color="auto"/>
          <w:color w:val="auto"/>
        </w:rPr>
        <w:t>‎.03</w:t>
      </w:r>
      <w:r>
        <w:rPr>
          <w:rFonts w:ascii="Times New Roman" w:cs="Times New Roman" w:eastAsia="Times New Roman" w:hAnsi="Times New Roman"/>
          <w:sz w:val="17"/>
          <w:szCs w:val="17"/>
          <w:color w:val="auto"/>
        </w:rPr>
        <w:t xml:space="preserve"> (Authority; No Violation), 4</w:t>
      </w:r>
      <w:r>
        <w:rPr>
          <w:rFonts w:ascii="Times New Roman" w:cs="Times New Roman" w:eastAsia="Times New Roman" w:hAnsi="Times New Roman"/>
          <w:sz w:val="17"/>
          <w:szCs w:val="17"/>
          <w:u w:val="single" w:color="auto"/>
          <w:color w:val="auto"/>
        </w:rPr>
        <w:t>‎.06</w:t>
      </w:r>
      <w:r>
        <w:rPr>
          <w:rFonts w:ascii="Times New Roman" w:cs="Times New Roman" w:eastAsia="Times New Roman" w:hAnsi="Times New Roman"/>
          <w:sz w:val="17"/>
          <w:szCs w:val="17"/>
          <w:color w:val="auto"/>
        </w:rPr>
        <w:t xml:space="preserve"> (Advisors’ Fees), and 4</w:t>
      </w:r>
      <w:r>
        <w:rPr>
          <w:rFonts w:ascii="Times New Roman" w:cs="Times New Roman" w:eastAsia="Times New Roman" w:hAnsi="Times New Roman"/>
          <w:sz w:val="17"/>
          <w:szCs w:val="17"/>
          <w:u w:val="single" w:color="auto"/>
          <w:color w:val="auto"/>
        </w:rPr>
        <w:t>‎.07(a)</w:t>
      </w:r>
      <w:r>
        <w:rPr>
          <w:rFonts w:ascii="Times New Roman" w:cs="Times New Roman" w:eastAsia="Times New Roman" w:hAnsi="Times New Roman"/>
          <w:sz w:val="17"/>
          <w:szCs w:val="17"/>
          <w:color w:val="auto"/>
        </w:rPr>
        <w:t xml:space="preserve"> (Absence of Certain Changes or Events)) set forth in this Agreement shall be true and correct on the date of this Agreement and as of the Closing Date, as if made at and as of such date (except to the extent expressly made as of an earlier date, in which case as of such date), except where the failure of such representations and warranties to be so true and correct (without giving effect to any limitation as to “materiality” or “Material Adverse Effect” set forth therein), individually or in the aggregate, has not had,</w:t>
      </w:r>
    </w:p>
    <w:p>
      <w:pPr>
        <w:spacing w:after="0" w:line="3" w:lineRule="exact"/>
        <w:rPr>
          <w:rFonts w:ascii="Times New Roman" w:cs="Times New Roman" w:eastAsia="Times New Roman" w:hAnsi="Times New Roman"/>
          <w:sz w:val="17"/>
          <w:szCs w:val="17"/>
          <w:color w:val="auto"/>
        </w:rPr>
      </w:pPr>
    </w:p>
    <w:p>
      <w:pPr>
        <w:jc w:val="both"/>
        <w:ind w:right="20"/>
        <w:spacing w:after="0" w:line="24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and would not reasonably be expected to have, a Material Adverse Effect on FBB, (ii) the representations and warranties of FBB set forth in Section‎ 4.01 (Corporate Organization), </w:t>
      </w:r>
      <w:r>
        <w:rPr>
          <w:rFonts w:ascii="Times New Roman" w:cs="Times New Roman" w:eastAsia="Times New Roman" w:hAnsi="Times New Roman"/>
          <w:sz w:val="17"/>
          <w:szCs w:val="17"/>
          <w:u w:val="single" w:color="auto"/>
          <w:color w:val="auto"/>
        </w:rPr>
        <w:t>‎ 4.02</w:t>
      </w:r>
      <w:r>
        <w:rPr>
          <w:rFonts w:ascii="Times New Roman" w:cs="Times New Roman" w:eastAsia="Times New Roman" w:hAnsi="Times New Roman"/>
          <w:sz w:val="17"/>
          <w:szCs w:val="17"/>
          <w:color w:val="auto"/>
        </w:rPr>
        <w:t xml:space="preserve"> (Capitalization), 4</w:t>
      </w:r>
      <w:r>
        <w:rPr>
          <w:rFonts w:ascii="Times New Roman" w:cs="Times New Roman" w:eastAsia="Times New Roman" w:hAnsi="Times New Roman"/>
          <w:sz w:val="17"/>
          <w:szCs w:val="17"/>
          <w:u w:val="single" w:color="auto"/>
          <w:color w:val="auto"/>
        </w:rPr>
        <w:t>‎.03</w:t>
      </w:r>
      <w:r>
        <w:rPr>
          <w:rFonts w:ascii="Times New Roman" w:cs="Times New Roman" w:eastAsia="Times New Roman" w:hAnsi="Times New Roman"/>
          <w:sz w:val="17"/>
          <w:szCs w:val="17"/>
          <w:color w:val="auto"/>
        </w:rPr>
        <w:t xml:space="preserve"> (Authority; No Violation) and 4</w:t>
      </w:r>
      <w:r>
        <w:rPr>
          <w:rFonts w:ascii="Times New Roman" w:cs="Times New Roman" w:eastAsia="Times New Roman" w:hAnsi="Times New Roman"/>
          <w:sz w:val="17"/>
          <w:szCs w:val="17"/>
          <w:u w:val="single" w:color="auto"/>
          <w:color w:val="auto"/>
        </w:rPr>
        <w:t>‎.06</w:t>
      </w:r>
      <w:r>
        <w:rPr>
          <w:rFonts w:ascii="Times New Roman" w:cs="Times New Roman" w:eastAsia="Times New Roman" w:hAnsi="Times New Roman"/>
          <w:sz w:val="17"/>
          <w:szCs w:val="17"/>
          <w:color w:val="auto"/>
        </w:rPr>
        <w:t xml:space="preserve"> (Advisors’ Fee) shall be true and correct in all material respects (without giving effect to any limitation as to “materiality” or “Material Adverse Effect” set forth therein) on the date of this Agreement, and as of the Closing</w:t>
      </w:r>
    </w:p>
    <w:p>
      <w:pPr>
        <w:spacing w:after="0" w:line="2" w:lineRule="exact"/>
        <w:rPr>
          <w:rFonts w:ascii="Times New Roman" w:cs="Times New Roman" w:eastAsia="Times New Roman" w:hAnsi="Times New Roman"/>
          <w:sz w:val="17"/>
          <w:szCs w:val="17"/>
          <w:color w:val="auto"/>
        </w:rPr>
      </w:pPr>
    </w:p>
    <w:p>
      <w:pPr>
        <w:jc w:val="both"/>
        <w:spacing w:after="0" w:line="24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Date, as if made at and as of such date (except to the extent expressly made as of an earlier date, in which case as of such date, and, with respect to Section‎ 4.02 (Capitalization), subject to any transactions contemplated and permitted under this Agreement), and (iii) the representations and warranties of FBB set forth in</w:t>
      </w:r>
    </w:p>
    <w:p>
      <w:pPr>
        <w:spacing w:after="0" w:line="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4.07(a) (Absence of Certain Changes or Events) shall be true and correct as of the date of this Agreement.</w:t>
      </w:r>
    </w:p>
    <w:p>
      <w:pPr>
        <w:spacing w:after="0" w:line="174" w:lineRule="exact"/>
        <w:rPr>
          <w:rFonts w:ascii="Times New Roman" w:cs="Times New Roman" w:eastAsia="Times New Roman" w:hAnsi="Times New Roman"/>
          <w:sz w:val="17"/>
          <w:szCs w:val="17"/>
          <w:color w:val="auto"/>
        </w:rPr>
      </w:pPr>
    </w:p>
    <w:p>
      <w:pPr>
        <w:ind w:right="20" w:firstLine="1496"/>
        <w:spacing w:after="0" w:line="284" w:lineRule="auto"/>
        <w:tabs>
          <w:tab w:leader="none" w:pos="1848"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Performance of Obligations of FBB</w:t>
      </w:r>
      <w:r>
        <w:rPr>
          <w:rFonts w:ascii="Times New Roman" w:cs="Times New Roman" w:eastAsia="Times New Roman" w:hAnsi="Times New Roman"/>
          <w:sz w:val="17"/>
          <w:szCs w:val="17"/>
          <w:color w:val="auto"/>
        </w:rPr>
        <w:t>. FBB shall have performed in all material respects all obligations required to be performed by it under this Agreement at or prior to the Closing Date.</w:t>
      </w:r>
    </w:p>
    <w:p>
      <w:pPr>
        <w:spacing w:after="0" w:line="128" w:lineRule="exact"/>
        <w:rPr>
          <w:rFonts w:ascii="Times New Roman" w:cs="Times New Roman" w:eastAsia="Times New Roman" w:hAnsi="Times New Roman"/>
          <w:sz w:val="17"/>
          <w:szCs w:val="17"/>
          <w:color w:val="auto"/>
        </w:rPr>
      </w:pPr>
    </w:p>
    <w:p>
      <w:pPr>
        <w:ind w:right="20" w:firstLine="1496"/>
        <w:spacing w:after="0" w:line="284" w:lineRule="auto"/>
        <w:tabs>
          <w:tab w:leader="none" w:pos="1848"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Absence of Material Adverse Effect on FBB</w:t>
      </w:r>
      <w:r>
        <w:rPr>
          <w:rFonts w:ascii="Times New Roman" w:cs="Times New Roman" w:eastAsia="Times New Roman" w:hAnsi="Times New Roman"/>
          <w:sz w:val="17"/>
          <w:szCs w:val="17"/>
          <w:color w:val="auto"/>
        </w:rPr>
        <w:t>. Since the date of this Agreement, no event or events or developments shall have occurred that have had or would reasonably be expected to have, individually or in the aggregate, a Material Adverse Effect on FBB.</w:t>
      </w:r>
    </w:p>
    <w:p>
      <w:pPr>
        <w:spacing w:after="0" w:line="128" w:lineRule="exact"/>
        <w:rPr>
          <w:rFonts w:ascii="Times New Roman" w:cs="Times New Roman" w:eastAsia="Times New Roman" w:hAnsi="Times New Roman"/>
          <w:sz w:val="17"/>
          <w:szCs w:val="17"/>
          <w:color w:val="auto"/>
        </w:rPr>
      </w:pPr>
    </w:p>
    <w:p>
      <w:pPr>
        <w:ind w:left="1860" w:hanging="364"/>
        <w:spacing w:after="0"/>
        <w:tabs>
          <w:tab w:leader="none" w:pos="186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Officer’s Certificate</w:t>
      </w:r>
      <w:r>
        <w:rPr>
          <w:rFonts w:ascii="Times New Roman" w:cs="Times New Roman" w:eastAsia="Times New Roman" w:hAnsi="Times New Roman"/>
          <w:sz w:val="17"/>
          <w:szCs w:val="17"/>
          <w:color w:val="auto"/>
        </w:rPr>
        <w:t>.  The Chief Executive Officer or Chief Financial Officer of FBB shall have delivered to DXL a certificate</w:t>
      </w:r>
    </w:p>
    <w:p>
      <w:pPr>
        <w:spacing w:after="0" w:line="25"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certifying the satisfaction of the conditions contained in Section‎ 7.02(a), Section‎ 7.02(b) and Section‎ 7.02(c).</w:t>
      </w:r>
    </w:p>
    <w:p>
      <w:pPr>
        <w:spacing w:after="0" w:line="174" w:lineRule="exact"/>
        <w:rPr>
          <w:rFonts w:ascii="Times New Roman" w:cs="Times New Roman" w:eastAsia="Times New Roman" w:hAnsi="Times New Roman"/>
          <w:sz w:val="17"/>
          <w:szCs w:val="17"/>
          <w:color w:val="auto"/>
        </w:rPr>
      </w:pPr>
    </w:p>
    <w:p>
      <w:pPr>
        <w:ind w:left="1840" w:hanging="344"/>
        <w:spacing w:after="0"/>
        <w:tabs>
          <w:tab w:leader="none" w:pos="184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Certain FBB Corporate Actions</w:t>
      </w:r>
      <w:r>
        <w:rPr>
          <w:rFonts w:ascii="Times New Roman" w:cs="Times New Roman" w:eastAsia="Times New Roman" w:hAnsi="Times New Roman"/>
          <w:sz w:val="17"/>
          <w:szCs w:val="17"/>
          <w:color w:val="auto"/>
        </w:rPr>
        <w:t>. The actions set forth in Section‎ 6.19 shall have been duly effected.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6571615</wp:posOffset>
            </wp:positionH>
            <wp:positionV relativeFrom="paragraph">
              <wp:posOffset>-2656205</wp:posOffset>
            </wp:positionV>
            <wp:extent cx="572770" cy="76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72770" cy="7620"/>
                    </a:xfrm>
                    <a:prstGeom prst="rect">
                      <a:avLst/>
                    </a:prstGeom>
                    <a:noFill/>
                  </pic:spPr>
                </pic:pic>
              </a:graphicData>
            </a:graphic>
          </wp:anchor>
        </w:drawing>
        <w:drawing>
          <wp:anchor simplePos="0" relativeHeight="251657728" behindDoc="1" locked="0" layoutInCell="0" allowOverlap="1">
            <wp:simplePos x="0" y="0"/>
            <wp:positionH relativeFrom="column">
              <wp:posOffset>6576695</wp:posOffset>
            </wp:positionH>
            <wp:positionV relativeFrom="paragraph">
              <wp:posOffset>-2018030</wp:posOffset>
            </wp:positionV>
            <wp:extent cx="565150" cy="76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65150" cy="7620"/>
                    </a:xfrm>
                    <a:prstGeom prst="rect">
                      <a:avLst/>
                    </a:prstGeom>
                    <a:noFill/>
                  </pic:spPr>
                </pic:pic>
              </a:graphicData>
            </a:graphic>
          </wp:anchor>
        </w:drawing>
        <w:drawing>
          <wp:anchor simplePos="0" relativeHeight="251657728" behindDoc="1" locked="0" layoutInCell="0" allowOverlap="1">
            <wp:simplePos x="0" y="0"/>
            <wp:positionH relativeFrom="column">
              <wp:posOffset>6586855</wp:posOffset>
            </wp:positionH>
            <wp:positionV relativeFrom="paragraph">
              <wp:posOffset>-1635125</wp:posOffset>
            </wp:positionV>
            <wp:extent cx="557530" cy="76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5753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-1379220</wp:posOffset>
            </wp:positionV>
            <wp:extent cx="672465" cy="76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72465" cy="7620"/>
                    </a:xfrm>
                    <a:prstGeom prst="rect">
                      <a:avLst/>
                    </a:prstGeom>
                    <a:noFill/>
                  </pic:spPr>
                </pic:pic>
              </a:graphicData>
            </a:graphic>
          </wp:anchor>
        </w:drawing>
        <w:drawing>
          <wp:anchor simplePos="0" relativeHeight="251657728" behindDoc="1" locked="0" layoutInCell="0" allowOverlap="1">
            <wp:simplePos x="0" y="0"/>
            <wp:positionH relativeFrom="column">
              <wp:posOffset>2478405</wp:posOffset>
            </wp:positionH>
            <wp:positionV relativeFrom="paragraph">
              <wp:posOffset>-252730</wp:posOffset>
            </wp:positionV>
            <wp:extent cx="2292350" cy="76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292350" cy="7620"/>
                    </a:xfrm>
                    <a:prstGeom prst="rect">
                      <a:avLst/>
                    </a:prstGeom>
                    <a:noFill/>
                  </pic:spPr>
                </pic:pic>
              </a:graphicData>
            </a:graphic>
          </wp:anchor>
        </w:drawing>
        <w:drawing>
          <wp:anchor simplePos="0" relativeHeight="251657728" behindDoc="1" locked="0" layoutInCell="0" allowOverlap="1">
            <wp:simplePos x="0" y="0"/>
            <wp:positionH relativeFrom="column">
              <wp:posOffset>3691890</wp:posOffset>
            </wp:positionH>
            <wp:positionV relativeFrom="paragraph">
              <wp:posOffset>-5080</wp:posOffset>
            </wp:positionV>
            <wp:extent cx="549910" cy="76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49910" cy="7620"/>
                    </a:xfrm>
                    <a:prstGeom prst="rect">
                      <a:avLst/>
                    </a:prstGeom>
                    <a:noFill/>
                  </pic:spPr>
                </pic:pic>
              </a:graphicData>
            </a:graphic>
          </wp:anchor>
        </w:drawing>
      </w:r>
    </w:p>
    <w:p>
      <w:pPr>
        <w:spacing w:after="0" w:line="173" w:lineRule="exact"/>
        <w:rPr>
          <w:sz w:val="20"/>
          <w:szCs w:val="20"/>
          <w:color w:val="auto"/>
        </w:rPr>
      </w:pPr>
    </w:p>
    <w:p>
      <w:pPr>
        <w:ind w:firstLine="1220"/>
        <w:spacing w:after="0" w:line="287" w:lineRule="auto"/>
        <w:rPr>
          <w:sz w:val="20"/>
          <w:szCs w:val="20"/>
          <w:color w:val="auto"/>
        </w:rPr>
      </w:pPr>
      <w:r>
        <w:rPr>
          <w:rFonts w:ascii="Times New Roman" w:cs="Times New Roman" w:eastAsia="Times New Roman" w:hAnsi="Times New Roman"/>
          <w:sz w:val="17"/>
          <w:szCs w:val="17"/>
          <w:b w:val="1"/>
          <w:bCs w:val="1"/>
          <w:u w:val="single" w:color="auto"/>
          <w:color w:val="auto"/>
        </w:rPr>
        <w:t>SECTION 7.03 Conditions to Obligations of FBB</w:t>
      </w:r>
      <w:r>
        <w:rPr>
          <w:rFonts w:ascii="Times New Roman" w:cs="Times New Roman" w:eastAsia="Times New Roman" w:hAnsi="Times New Roman"/>
          <w:sz w:val="17"/>
          <w:szCs w:val="17"/>
          <w:color w:val="auto"/>
        </w:rPr>
        <w:t>. The obligation of FBB to effect the Merger is also subject to the satisfaction, or waiver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by FBB, at or prior to the Effective Time, of the following conditions:</w:t>
      </w:r>
    </w:p>
    <w:p>
      <w:pPr>
        <w:spacing w:after="0" w:line="126" w:lineRule="exact"/>
        <w:rPr>
          <w:sz w:val="20"/>
          <w:szCs w:val="20"/>
          <w:color w:val="auto"/>
        </w:rPr>
      </w:pPr>
    </w:p>
    <w:p>
      <w:pPr>
        <w:ind w:left="1860" w:hanging="364"/>
        <w:spacing w:after="0"/>
        <w:tabs>
          <w:tab w:leader="none" w:pos="186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Representations and Warranties</w:t>
      </w:r>
      <w:r>
        <w:rPr>
          <w:rFonts w:ascii="Times New Roman" w:cs="Times New Roman" w:eastAsia="Times New Roman" w:hAnsi="Times New Roman"/>
          <w:sz w:val="17"/>
          <w:szCs w:val="17"/>
          <w:color w:val="auto"/>
        </w:rPr>
        <w:t>. (i) Each of the representations and warranties of DXL (other than as set forth in Sections 3‎.01</w:t>
      </w:r>
    </w:p>
    <w:p>
      <w:pPr>
        <w:spacing w:after="0" w:line="25" w:lineRule="exact"/>
        <w:rPr>
          <w:rFonts w:ascii="Times New Roman" w:cs="Times New Roman" w:eastAsia="Times New Roman" w:hAnsi="Times New Roman"/>
          <w:sz w:val="17"/>
          <w:szCs w:val="17"/>
          <w:color w:val="auto"/>
        </w:rPr>
      </w:pPr>
    </w:p>
    <w:p>
      <w:pPr>
        <w:jc w:val="both"/>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(Corporate Organization), 3</w:t>
      </w:r>
      <w:r>
        <w:rPr>
          <w:rFonts w:ascii="Times New Roman" w:cs="Times New Roman" w:eastAsia="Times New Roman" w:hAnsi="Times New Roman"/>
          <w:sz w:val="17"/>
          <w:szCs w:val="17"/>
          <w:u w:val="single" w:color="auto"/>
          <w:color w:val="auto"/>
        </w:rPr>
        <w:t>‎.02</w:t>
      </w:r>
      <w:r>
        <w:rPr>
          <w:rFonts w:ascii="Times New Roman" w:cs="Times New Roman" w:eastAsia="Times New Roman" w:hAnsi="Times New Roman"/>
          <w:sz w:val="17"/>
          <w:szCs w:val="17"/>
          <w:color w:val="auto"/>
        </w:rPr>
        <w:t xml:space="preserve"> (Capitalization), 3</w:t>
      </w:r>
      <w:r>
        <w:rPr>
          <w:rFonts w:ascii="Times New Roman" w:cs="Times New Roman" w:eastAsia="Times New Roman" w:hAnsi="Times New Roman"/>
          <w:sz w:val="17"/>
          <w:szCs w:val="17"/>
          <w:u w:val="single" w:color="auto"/>
          <w:color w:val="auto"/>
        </w:rPr>
        <w:t>‎.03</w:t>
      </w:r>
      <w:r>
        <w:rPr>
          <w:rFonts w:ascii="Times New Roman" w:cs="Times New Roman" w:eastAsia="Times New Roman" w:hAnsi="Times New Roman"/>
          <w:sz w:val="17"/>
          <w:szCs w:val="17"/>
          <w:color w:val="auto"/>
        </w:rPr>
        <w:t xml:space="preserve"> (Authority; No Violation), Section‎ 3.07 (Advisors’ Fees) and 3</w:t>
      </w:r>
      <w:r>
        <w:rPr>
          <w:rFonts w:ascii="Times New Roman" w:cs="Times New Roman" w:eastAsia="Times New Roman" w:hAnsi="Times New Roman"/>
          <w:sz w:val="17"/>
          <w:szCs w:val="17"/>
          <w:u w:val="single" w:color="auto"/>
          <w:color w:val="auto"/>
        </w:rPr>
        <w:t>‎.08(a)</w:t>
      </w:r>
      <w:r>
        <w:rPr>
          <w:rFonts w:ascii="Times New Roman" w:cs="Times New Roman" w:eastAsia="Times New Roman" w:hAnsi="Times New Roman"/>
          <w:sz w:val="17"/>
          <w:szCs w:val="17"/>
          <w:color w:val="auto"/>
        </w:rPr>
        <w:t xml:space="preserve"> (Absence of Certain Changes or Events)) set forth in this Agreement shall be true and correct on the date of this Agreement and as of the Closing Date, as if made at and as of such date (except to the extent expressly made as of an earlier date, in which case as of such date), except where the failure of such representations and warranties to be so true and correct (without giving effect to any limitation as to “materiality” or “Material Adverse Effect” 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6529705</wp:posOffset>
            </wp:positionH>
            <wp:positionV relativeFrom="paragraph">
              <wp:posOffset>-541020</wp:posOffset>
            </wp:positionV>
            <wp:extent cx="615315" cy="76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15315" cy="7620"/>
                    </a:xfrm>
                    <a:prstGeom prst="rect">
                      <a:avLst/>
                    </a:prstGeom>
                    <a:noFill/>
                  </pic:spPr>
                </pic:pic>
              </a:graphicData>
            </a:graphic>
          </wp:anchor>
        </w:drawing>
        <w:drawing>
          <wp:anchor simplePos="0" relativeHeight="251657728" behindDoc="1" locked="0" layoutInCell="0" allowOverlap="1">
            <wp:simplePos x="0" y="0"/>
            <wp:positionH relativeFrom="column">
              <wp:posOffset>3672840</wp:posOffset>
            </wp:positionH>
            <wp:positionV relativeFrom="paragraph">
              <wp:posOffset>-412750</wp:posOffset>
            </wp:positionV>
            <wp:extent cx="565150" cy="76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65150" cy="762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82" w:name="page83"/>
    <w:bookmarkEnd w:id="82"/>
    <w:p>
      <w:pPr>
        <w:jc w:val="both"/>
        <w:spacing w:after="0" w:line="252" w:lineRule="auto"/>
        <w:rPr>
          <w:sz w:val="20"/>
          <w:szCs w:val="20"/>
          <w:color w:val="auto"/>
        </w:rPr>
      </w:pPr>
      <w:r>
        <w:rPr>
          <w:rFonts w:ascii="Times New Roman" w:cs="Times New Roman" w:eastAsia="Times New Roman" w:hAnsi="Times New Roman"/>
          <w:sz w:val="17"/>
          <w:szCs w:val="17"/>
          <w:color w:val="auto"/>
        </w:rPr>
        <w:t xml:space="preserve">forth therein), individually or in the aggregate, has not had, and would not reasonably be expected to have, a Material Adverse Effect on DXL, (ii) the representations and warranties of DXL set forth in Sections ‎3.01 (Corporate Organization), </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3</w:t>
      </w:r>
      <w:r>
        <w:rPr>
          <w:rFonts w:ascii="Times New Roman" w:cs="Times New Roman" w:eastAsia="Times New Roman" w:hAnsi="Times New Roman"/>
          <w:sz w:val="17"/>
          <w:szCs w:val="17"/>
          <w:u w:val="single" w:color="auto"/>
          <w:color w:val="auto"/>
        </w:rPr>
        <w:t>.03</w:t>
      </w:r>
      <w:r>
        <w:rPr>
          <w:rFonts w:ascii="Times New Roman" w:cs="Times New Roman" w:eastAsia="Times New Roman" w:hAnsi="Times New Roman"/>
          <w:sz w:val="17"/>
          <w:szCs w:val="17"/>
          <w:color w:val="auto"/>
        </w:rPr>
        <w:t xml:space="preserve"> (Authority; No Violation) and ‎Section 3.07 (Advisors’ Fees) shall be true and correct in all material respects (without giving effect to any limitation as to “materiality” or “Material Adverse Effect” set forth therein) on the date of this Agreement, and as of the Closing Date, as if made at and as of such date (except to the extent expressly made as of an earlier date, in which case as of such date), (iii) the representations and warranties of DXL set forth in Section ‎3.02 (Capitalization) shall be true and correct in all respects on the date of this Agreement and as of the Closing Date, as if made at and as of such date, subject only to </w:t>
      </w:r>
      <w:r>
        <w:rPr>
          <w:rFonts w:ascii="Times New Roman" w:cs="Times New Roman" w:eastAsia="Times New Roman" w:hAnsi="Times New Roman"/>
          <w:sz w:val="17"/>
          <w:szCs w:val="17"/>
          <w:i w:val="1"/>
          <w:iCs w:val="1"/>
          <w:color w:val="auto"/>
        </w:rPr>
        <w:t>de minimis</w:t>
      </w:r>
      <w:r>
        <w:rPr>
          <w:rFonts w:ascii="Times New Roman" w:cs="Times New Roman" w:eastAsia="Times New Roman" w:hAnsi="Times New Roman"/>
          <w:sz w:val="17"/>
          <w:szCs w:val="17"/>
          <w:color w:val="auto"/>
        </w:rPr>
        <w:t xml:space="preserve"> inaccuracies on the date of this Agreement, and as of the Closing Date and (iv) the representations and warranties of DXL set forth in Section ‎3.08(a) (Absence of Certain Changes or Events) shall be true and correct as of the date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2329815</wp:posOffset>
            </wp:positionH>
            <wp:positionV relativeFrom="paragraph">
              <wp:posOffset>-665480</wp:posOffset>
            </wp:positionV>
            <wp:extent cx="600710" cy="76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00710" cy="7620"/>
                    </a:xfrm>
                    <a:prstGeom prst="rect">
                      <a:avLst/>
                    </a:prstGeom>
                    <a:noFill/>
                  </pic:spPr>
                </pic:pic>
              </a:graphicData>
            </a:graphic>
          </wp:anchor>
        </w:drawing>
        <w:drawing>
          <wp:anchor simplePos="0" relativeHeight="251657728" behindDoc="1" locked="0" layoutInCell="0" allowOverlap="1">
            <wp:simplePos x="0" y="0"/>
            <wp:positionH relativeFrom="column">
              <wp:posOffset>5789930</wp:posOffset>
            </wp:positionH>
            <wp:positionV relativeFrom="paragraph">
              <wp:posOffset>-665480</wp:posOffset>
            </wp:positionV>
            <wp:extent cx="557530" cy="76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57530" cy="7620"/>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-282575</wp:posOffset>
            </wp:positionV>
            <wp:extent cx="557530" cy="76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57530" cy="7620"/>
                    </a:xfrm>
                    <a:prstGeom prst="rect">
                      <a:avLst/>
                    </a:prstGeom>
                    <a:noFill/>
                  </pic:spPr>
                </pic:pic>
              </a:graphicData>
            </a:graphic>
          </wp:anchor>
        </w:drawing>
        <w:drawing>
          <wp:anchor simplePos="0" relativeHeight="251657728" behindDoc="1" locked="0" layoutInCell="0" allowOverlap="1">
            <wp:simplePos x="0" y="0"/>
            <wp:positionH relativeFrom="column">
              <wp:posOffset>3417570</wp:posOffset>
            </wp:positionH>
            <wp:positionV relativeFrom="paragraph">
              <wp:posOffset>-27305</wp:posOffset>
            </wp:positionV>
            <wp:extent cx="672465" cy="76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72465" cy="7620"/>
                    </a:xfrm>
                    <a:prstGeom prst="rect">
                      <a:avLst/>
                    </a:prstGeom>
                    <a:noFill/>
                  </pic:spPr>
                </pic:pic>
              </a:graphicData>
            </a:graphic>
          </wp:anchor>
        </w:drawing>
      </w:r>
    </w:p>
    <w:p>
      <w:pPr>
        <w:spacing w:after="0" w:line="341" w:lineRule="exact"/>
        <w:rPr>
          <w:sz w:val="20"/>
          <w:szCs w:val="20"/>
          <w:color w:val="auto"/>
        </w:rPr>
      </w:pPr>
    </w:p>
    <w:p>
      <w:pPr>
        <w:ind w:right="20" w:firstLine="1496"/>
        <w:spacing w:after="0" w:line="284" w:lineRule="auto"/>
        <w:tabs>
          <w:tab w:leader="none" w:pos="1848"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Performance of Obligations of DXL</w:t>
      </w:r>
      <w:r>
        <w:rPr>
          <w:rFonts w:ascii="Times New Roman" w:cs="Times New Roman" w:eastAsia="Times New Roman" w:hAnsi="Times New Roman"/>
          <w:sz w:val="17"/>
          <w:szCs w:val="17"/>
          <w:color w:val="auto"/>
        </w:rPr>
        <w:t>. DXL shall have performed in all material respects all obligations required to be performed by it under this Agreement at or prior to the Closing Date.</w:t>
      </w:r>
    </w:p>
    <w:p>
      <w:pPr>
        <w:spacing w:after="0" w:line="128" w:lineRule="exact"/>
        <w:rPr>
          <w:rFonts w:ascii="Times New Roman" w:cs="Times New Roman" w:eastAsia="Times New Roman" w:hAnsi="Times New Roman"/>
          <w:sz w:val="17"/>
          <w:szCs w:val="17"/>
          <w:color w:val="auto"/>
        </w:rPr>
      </w:pPr>
    </w:p>
    <w:p>
      <w:pPr>
        <w:ind w:right="20" w:firstLine="1496"/>
        <w:spacing w:after="0" w:line="284" w:lineRule="auto"/>
        <w:tabs>
          <w:tab w:leader="none" w:pos="186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Absence of Material Adverse Effect on DXL</w:t>
      </w:r>
      <w:r>
        <w:rPr>
          <w:rFonts w:ascii="Times New Roman" w:cs="Times New Roman" w:eastAsia="Times New Roman" w:hAnsi="Times New Roman"/>
          <w:sz w:val="17"/>
          <w:szCs w:val="17"/>
          <w:color w:val="auto"/>
        </w:rPr>
        <w:t>. Since the date of this Agreement, no event or events or development or developments shall have occurred that have had or would reasonably be expected to have, individually or in the aggregate, a Material Adverse Effect on DXL.</w:t>
      </w:r>
    </w:p>
    <w:p>
      <w:pPr>
        <w:spacing w:after="0" w:line="128" w:lineRule="exact"/>
        <w:rPr>
          <w:rFonts w:ascii="Times New Roman" w:cs="Times New Roman" w:eastAsia="Times New Roman" w:hAnsi="Times New Roman"/>
          <w:sz w:val="17"/>
          <w:szCs w:val="17"/>
          <w:color w:val="auto"/>
        </w:rPr>
      </w:pPr>
    </w:p>
    <w:p>
      <w:pPr>
        <w:ind w:left="1860" w:hanging="364"/>
        <w:spacing w:after="0"/>
        <w:tabs>
          <w:tab w:leader="none" w:pos="186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Officer’s Certificate</w:t>
      </w:r>
      <w:r>
        <w:rPr>
          <w:rFonts w:ascii="Times New Roman" w:cs="Times New Roman" w:eastAsia="Times New Roman" w:hAnsi="Times New Roman"/>
          <w:sz w:val="17"/>
          <w:szCs w:val="17"/>
          <w:color w:val="auto"/>
        </w:rPr>
        <w:t>.  The Chief Executive Officer or Chief Financial Officer of DXL shall have delivered to FBB a certificate</w:t>
      </w:r>
    </w:p>
    <w:p>
      <w:pPr>
        <w:spacing w:after="0" w:line="25"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certifying the satisfaction of the conditions contained in Section‎ 7.03(a), Section‎ 7.03(b), and Section‎ 7.03(c).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2478405</wp:posOffset>
            </wp:positionH>
            <wp:positionV relativeFrom="paragraph">
              <wp:posOffset>-17780</wp:posOffset>
            </wp:positionV>
            <wp:extent cx="2319655" cy="76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319655" cy="7620"/>
                    </a:xfrm>
                    <a:prstGeom prst="rect">
                      <a:avLst/>
                    </a:prstGeom>
                    <a:noFill/>
                  </pic:spPr>
                </pic:pic>
              </a:graphicData>
            </a:graphic>
          </wp:anchor>
        </w:drawing>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ARTICLE VIII</w:t>
      </w:r>
    </w:p>
    <w:p>
      <w:pPr>
        <w:spacing w:after="0" w:line="195" w:lineRule="exact"/>
        <w:rPr>
          <w:sz w:val="20"/>
          <w:szCs w:val="20"/>
          <w:color w:val="auto"/>
        </w:rPr>
      </w:pPr>
    </w:p>
    <w:p>
      <w:pPr>
        <w:jc w:val="both"/>
        <w:ind w:right="20" w:firstLine="1220"/>
        <w:spacing w:after="0" w:line="287" w:lineRule="auto"/>
        <w:rPr>
          <w:sz w:val="20"/>
          <w:szCs w:val="20"/>
          <w:color w:val="auto"/>
        </w:rPr>
      </w:pPr>
      <w:r>
        <w:rPr>
          <w:rFonts w:ascii="Times New Roman" w:cs="Times New Roman" w:eastAsia="Times New Roman" w:hAnsi="Times New Roman"/>
          <w:sz w:val="17"/>
          <w:szCs w:val="17"/>
          <w:b w:val="1"/>
          <w:bCs w:val="1"/>
          <w:u w:val="single" w:color="auto"/>
          <w:color w:val="auto"/>
        </w:rPr>
        <w:t>SECTION 8.01 Termination</w:t>
      </w:r>
      <w:r>
        <w:rPr>
          <w:rFonts w:ascii="Times New Roman" w:cs="Times New Roman" w:eastAsia="Times New Roman" w:hAnsi="Times New Roman"/>
          <w:sz w:val="17"/>
          <w:szCs w:val="17"/>
          <w:color w:val="auto"/>
        </w:rPr>
        <w:t>. This Agreement may be terminated at any time prior to the Effective Time, whether before or after receipt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FBB Stockholder Approval or the Required DXL Stockholder Vote, by action taken or authorized by the board of directors of the terminating party or parties:</w:t>
      </w:r>
    </w:p>
    <w:p>
      <w:pPr>
        <w:spacing w:after="0" w:line="126" w:lineRule="exact"/>
        <w:rPr>
          <w:sz w:val="20"/>
          <w:szCs w:val="20"/>
          <w:color w:val="auto"/>
        </w:rPr>
      </w:pPr>
    </w:p>
    <w:p>
      <w:pPr>
        <w:ind w:left="1840" w:hanging="344"/>
        <w:spacing w:after="0"/>
        <w:tabs>
          <w:tab w:leader="none" w:pos="184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mutual consent of DXL and FBB in a written instrument;</w:t>
      </w:r>
    </w:p>
    <w:p>
      <w:pPr>
        <w:spacing w:after="0" w:line="194" w:lineRule="exact"/>
        <w:rPr>
          <w:rFonts w:ascii="Times New Roman" w:cs="Times New Roman" w:eastAsia="Times New Roman" w:hAnsi="Times New Roman"/>
          <w:sz w:val="17"/>
          <w:szCs w:val="17"/>
          <w:color w:val="auto"/>
        </w:rPr>
      </w:pPr>
    </w:p>
    <w:p>
      <w:pPr>
        <w:ind w:right="40" w:firstLine="1496"/>
        <w:spacing w:after="0" w:line="284" w:lineRule="auto"/>
        <w:tabs>
          <w:tab w:leader="none" w:pos="1848"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either DXL or FBB if any Governmental Entity of competent jurisdiction shall have issued a final and non-appealable order permanently enjoining or otherwise prohibiting the consummation of the Merger or the other Transactions;</w:t>
      </w:r>
    </w:p>
    <w:p>
      <w:pPr>
        <w:spacing w:after="0" w:line="128" w:lineRule="exact"/>
        <w:rPr>
          <w:rFonts w:ascii="Times New Roman" w:cs="Times New Roman" w:eastAsia="Times New Roman" w:hAnsi="Times New Roman"/>
          <w:sz w:val="17"/>
          <w:szCs w:val="17"/>
          <w:color w:val="auto"/>
        </w:rPr>
      </w:pPr>
    </w:p>
    <w:p>
      <w:pPr>
        <w:ind w:left="1840" w:hanging="344"/>
        <w:spacing w:after="0"/>
        <w:tabs>
          <w:tab w:leader="none" w:pos="184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either DXL or FBB if the Required DXL Stockholder Vote shall not have been obtained at the DXL Stockholders Meeting or any</w:t>
      </w:r>
    </w:p>
    <w:p>
      <w:pPr>
        <w:spacing w:after="0" w:line="25" w:lineRule="exact"/>
        <w:rPr>
          <w:rFonts w:ascii="Times New Roman" w:cs="Times New Roman" w:eastAsia="Times New Roman" w:hAnsi="Times New Roman"/>
          <w:sz w:val="17"/>
          <w:szCs w:val="17"/>
          <w:color w:val="auto"/>
        </w:rPr>
      </w:pPr>
    </w:p>
    <w:p>
      <w:pPr>
        <w:jc w:val="both"/>
        <w:ind w:right="2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adjournment or postponement thereof at which the vote was taken; provided that DXL may not terminate this Agreement pursuant to this Section‎ 8.01(c) if DXL’s breach of its obligations under this Agreement proximately contributed to the failure to have obtained the Required DXL Stockholder Vote at the DXL Stockholders Meeting or any adjournment or postponement thereof;</w:t>
      </w:r>
    </w:p>
    <w:p>
      <w:pPr>
        <w:spacing w:after="0" w:line="154" w:lineRule="exact"/>
        <w:rPr>
          <w:rFonts w:ascii="Times New Roman" w:cs="Times New Roman" w:eastAsia="Times New Roman" w:hAnsi="Times New Roman"/>
          <w:sz w:val="17"/>
          <w:szCs w:val="17"/>
          <w:color w:val="auto"/>
        </w:rPr>
      </w:pPr>
    </w:p>
    <w:p>
      <w:pPr>
        <w:ind w:left="1840" w:hanging="344"/>
        <w:spacing w:after="0"/>
        <w:tabs>
          <w:tab w:leader="none" w:pos="184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either DXL or FBB if the FBB Stockholder Approval shall not have been obtained within five (5) calendar days of the date hereof;</w:t>
      </w:r>
    </w:p>
    <w:p>
      <w:pPr>
        <w:spacing w:after="0" w:line="25" w:lineRule="exact"/>
        <w:rPr>
          <w:rFonts w:ascii="Times New Roman" w:cs="Times New Roman" w:eastAsia="Times New Roman" w:hAnsi="Times New Roman"/>
          <w:sz w:val="17"/>
          <w:szCs w:val="17"/>
          <w:color w:val="auto"/>
        </w:rPr>
      </w:pPr>
    </w:p>
    <w:p>
      <w:pPr>
        <w:ind w:right="2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provided that FBB may not terminate this Agreement pursuant to this Section‎ 8.01(d) if FBB’s breach of its obligations under this Agreement proximately contributed to the failure to have obtained the FBB Stockholder Approval;</w:t>
      </w:r>
    </w:p>
    <w:p>
      <w:pPr>
        <w:spacing w:after="0" w:line="147" w:lineRule="exact"/>
        <w:rPr>
          <w:rFonts w:ascii="Times New Roman" w:cs="Times New Roman" w:eastAsia="Times New Roman" w:hAnsi="Times New Roman"/>
          <w:sz w:val="17"/>
          <w:szCs w:val="17"/>
          <w:color w:val="auto"/>
        </w:rPr>
      </w:pPr>
    </w:p>
    <w:p>
      <w:pPr>
        <w:ind w:left="1840" w:hanging="344"/>
        <w:spacing w:after="0"/>
        <w:tabs>
          <w:tab w:leader="none" w:pos="184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either DXL or FBB if the Merger shall not have been consummated on or before September 11, 2026 (the “</w:t>
      </w:r>
      <w:r>
        <w:rPr>
          <w:rFonts w:ascii="Times New Roman" w:cs="Times New Roman" w:eastAsia="Times New Roman" w:hAnsi="Times New Roman"/>
          <w:sz w:val="17"/>
          <w:szCs w:val="17"/>
          <w:u w:val="single" w:color="auto"/>
          <w:color w:val="auto"/>
        </w:rPr>
        <w:t>End Date</w:t>
      </w:r>
      <w:r>
        <w:rPr>
          <w:rFonts w:ascii="Times New Roman" w:cs="Times New Roman" w:eastAsia="Times New Roman" w:hAnsi="Times New Roman"/>
          <w:sz w:val="17"/>
          <w:szCs w:val="17"/>
          <w:color w:val="auto"/>
        </w:rPr>
        <w:t>”), subject to</w:t>
      </w:r>
    </w:p>
    <w:p>
      <w:pPr>
        <w:spacing w:after="0" w:line="25"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extension in accordance with the provisions set forth in this Section‎ 8.01(e) and Section‎ 8.04; provided that no party may terminate this Agreement pursuant to</w:t>
      </w:r>
    </w:p>
    <w:p>
      <w:pPr>
        <w:spacing w:after="0" w:line="5"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Section‎ 8.01(e) if such party’s breach of its obligations under this Agreement proximately contributed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6349365</wp:posOffset>
            </wp:positionH>
            <wp:positionV relativeFrom="paragraph">
              <wp:posOffset>-1279525</wp:posOffset>
            </wp:positionV>
            <wp:extent cx="680085" cy="76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0085" cy="762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-648970</wp:posOffset>
            </wp:positionV>
            <wp:extent cx="693420" cy="76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3420" cy="7620"/>
                    </a:xfrm>
                    <a:prstGeom prst="rect">
                      <a:avLst/>
                    </a:prstGeom>
                    <a:noFill/>
                  </pic:spPr>
                </pic:pic>
              </a:graphicData>
            </a:graphic>
          </wp:anchor>
        </w:drawing>
        <w:drawing>
          <wp:anchor simplePos="0" relativeHeight="251657728" behindDoc="1" locked="0" layoutInCell="0" allowOverlap="1">
            <wp:simplePos x="0" y="0"/>
            <wp:positionH relativeFrom="column">
              <wp:posOffset>2703830</wp:posOffset>
            </wp:positionH>
            <wp:positionV relativeFrom="paragraph">
              <wp:posOffset>-145415</wp:posOffset>
            </wp:positionV>
            <wp:extent cx="1443990" cy="76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443990" cy="7620"/>
                    </a:xfrm>
                    <a:prstGeom prst="rect">
                      <a:avLst/>
                    </a:prstGeom>
                    <a:noFill/>
                  </pic:spPr>
                </pic:pic>
              </a:graphicData>
            </a:graphic>
          </wp:anchor>
        </w:drawing>
        <w:drawing>
          <wp:anchor simplePos="0" relativeHeight="251657728" behindDoc="1" locked="0" layoutInCell="0" allowOverlap="1">
            <wp:simplePos x="0" y="0"/>
            <wp:positionH relativeFrom="column">
              <wp:posOffset>182880</wp:posOffset>
            </wp:positionH>
            <wp:positionV relativeFrom="paragraph">
              <wp:posOffset>-17780</wp:posOffset>
            </wp:positionV>
            <wp:extent cx="672465" cy="76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72465" cy="762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color w:val="auto"/>
        </w:rPr>
        <w:t>the failure of the Closing to occur by the End Date (or any extension of the End Date in accordance with the provisions set forth in this Section‎ 8.01(e)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6260465</wp:posOffset>
            </wp:positionH>
            <wp:positionV relativeFrom="paragraph">
              <wp:posOffset>-5080</wp:posOffset>
            </wp:positionV>
            <wp:extent cx="680085" cy="76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0085" cy="762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8.04);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-17780</wp:posOffset>
            </wp:positionV>
            <wp:extent cx="549910" cy="76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49910" cy="7620"/>
                    </a:xfrm>
                    <a:prstGeom prst="rect">
                      <a:avLst/>
                    </a:prstGeom>
                    <a:noFill/>
                  </pic:spPr>
                </pic:pic>
              </a:graphicData>
            </a:graphic>
          </wp:anchor>
        </w:drawing>
      </w:r>
    </w:p>
    <w:p>
      <w:pPr>
        <w:spacing w:after="0" w:line="155" w:lineRule="exact"/>
        <w:rPr>
          <w:sz w:val="20"/>
          <w:szCs w:val="20"/>
          <w:color w:val="auto"/>
        </w:rPr>
      </w:pPr>
    </w:p>
    <w:p>
      <w:pPr>
        <w:jc w:val="both"/>
        <w:ind w:firstLine="1496"/>
        <w:spacing w:after="0" w:line="259" w:lineRule="auto"/>
        <w:tabs>
          <w:tab w:leader="none" w:pos="1848"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DXL if there shall have been a breach of any of the covenants or agreements or any inaccuracy of any of the representations or warranties set forth in this Agreement on the part of FBB, which breach or inaccuracy, either individually or in the aggregate, would result in, if occurring or</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continuing on the Closing Date, the failure of the conditions set forth in Section‎ 7.02(a) or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and such breach or inaccuracy is incapable of being cured, or is not</w:t>
      </w:r>
    </w:p>
    <w:p>
      <w:pPr>
        <w:spacing w:after="0" w:line="5"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cured, by FBB by the End Date (as the End Date may be extended in accordance with Section‎ 8.01(e)) or, if capable of being cured by the End Date (as the End</w:t>
      </w:r>
    </w:p>
    <w:p>
      <w:pPr>
        <w:spacing w:after="0" w:line="5" w:lineRule="exact"/>
        <w:rPr>
          <w:rFonts w:ascii="Times New Roman" w:cs="Times New Roman" w:eastAsia="Times New Roman" w:hAnsi="Times New Roman"/>
          <w:sz w:val="17"/>
          <w:szCs w:val="17"/>
          <w:color w:val="auto"/>
        </w:rPr>
      </w:pPr>
    </w:p>
    <w:p>
      <w:pPr>
        <w:ind w:right="2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Date may be extended in accordance with Section‎ 8.01(e)), FBB shall not have commenced good faith efforts to cure the breach or inaccuracy within ten (10) calendar days following receipt of written notice from DXL and thereafter be continuing such good faith efforts;</w:t>
      </w:r>
    </w:p>
    <w:p>
      <w:pPr>
        <w:spacing w:after="0" w:line="147" w:lineRule="exact"/>
        <w:rPr>
          <w:rFonts w:ascii="Times New Roman" w:cs="Times New Roman" w:eastAsia="Times New Roman" w:hAnsi="Times New Roman"/>
          <w:sz w:val="17"/>
          <w:szCs w:val="17"/>
          <w:color w:val="auto"/>
        </w:rPr>
      </w:pPr>
    </w:p>
    <w:p>
      <w:pPr>
        <w:jc w:val="both"/>
        <w:ind w:right="20" w:firstLine="1496"/>
        <w:spacing w:after="0" w:line="259" w:lineRule="auto"/>
        <w:tabs>
          <w:tab w:leader="none" w:pos="1848"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FBB if there shall have been a breach of any of the covenants or agreements or any inaccuracy of any of the representations or warranties set forth in this Agreement on the part of DXL, which breach or inaccuracy, either individually or in the aggregate, would result in, if occurring or</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continuing on the Closing Date, the failure of the conditions set forth in Section‎ 7.03(a) or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and such breach or inaccuracy is incapable of being cured, or is not</w:t>
      </w:r>
    </w:p>
    <w:p>
      <w:pPr>
        <w:spacing w:after="0" w:line="5"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cured, by DXL by the End Date (as the End Date may be extended in accordance with Section‎ 8.01(e)) or, if capable of being cured by the End Date (as the End</w:t>
      </w:r>
    </w:p>
    <w:p>
      <w:pPr>
        <w:spacing w:after="0" w:line="5" w:lineRule="exact"/>
        <w:rPr>
          <w:rFonts w:ascii="Times New Roman" w:cs="Times New Roman" w:eastAsia="Times New Roman" w:hAnsi="Times New Roman"/>
          <w:sz w:val="17"/>
          <w:szCs w:val="17"/>
          <w:color w:val="auto"/>
        </w:rPr>
      </w:pPr>
    </w:p>
    <w:p>
      <w:pPr>
        <w:ind w:right="2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Date may be extended in accordance with Section‎ 8.01(e)), DXL shall not have commenced good faith efforts to cure the breach or inaccuracy within ten (10) calendar days following receipt of written notice from FBB and thereafter be continuing such good faith efforts;</w:t>
      </w:r>
    </w:p>
    <w:p>
      <w:pPr>
        <w:spacing w:after="0" w:line="147" w:lineRule="exact"/>
        <w:rPr>
          <w:rFonts w:ascii="Times New Roman" w:cs="Times New Roman" w:eastAsia="Times New Roman" w:hAnsi="Times New Roman"/>
          <w:sz w:val="17"/>
          <w:szCs w:val="17"/>
          <w:color w:val="auto"/>
        </w:rPr>
      </w:pPr>
    </w:p>
    <w:p>
      <w:pPr>
        <w:ind w:left="1840" w:hanging="344"/>
        <w:spacing w:after="0"/>
        <w:tabs>
          <w:tab w:leader="none" w:pos="184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DXL if there shall have been a breach or failure to perform on the part of FBB in any material respect any of its covenants and</w:t>
      </w:r>
    </w:p>
    <w:p>
      <w:pPr>
        <w:spacing w:after="0" w:line="25"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agreements set forth in Section‎ 6.16(a), </w:t>
      </w:r>
      <w:r>
        <w:rPr>
          <w:rFonts w:ascii="Times New Roman" w:cs="Times New Roman" w:eastAsia="Times New Roman" w:hAnsi="Times New Roman"/>
          <w:sz w:val="17"/>
          <w:szCs w:val="17"/>
          <w:u w:val="single" w:color="auto"/>
          <w:color w:val="auto"/>
        </w:rPr>
        <w:t>Section 6.16(b)</w:t>
      </w:r>
      <w:r>
        <w:rPr>
          <w:rFonts w:ascii="Times New Roman" w:cs="Times New Roman" w:eastAsia="Times New Roman" w:hAnsi="Times New Roman"/>
          <w:sz w:val="17"/>
          <w:szCs w:val="17"/>
          <w:color w:val="auto"/>
        </w:rPr>
        <w:t xml:space="preserve"> and Section‎ 6.19, which breach or failure, either individually or in the aggregate, would result in, if</w:t>
      </w:r>
    </w:p>
    <w:p>
      <w:pPr>
        <w:spacing w:after="0" w:line="5"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occurring or continuing on the Closing Date, the failure of the condition set forth in Section‎ 7.01(d), and such breach or failure to perform is incapable of being</w:t>
      </w:r>
    </w:p>
    <w:p>
      <w:pPr>
        <w:spacing w:after="0" w:line="5"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cured, or is not cured, by FBB by the End Date (as the End Date may be extended in accordance with Section‎ 8.01(e)) or, if capable of being cured by the End</w:t>
      </w:r>
    </w:p>
    <w:p>
      <w:pPr>
        <w:spacing w:after="0" w:line="5" w:lineRule="exact"/>
        <w:rPr>
          <w:rFonts w:ascii="Times New Roman" w:cs="Times New Roman" w:eastAsia="Times New Roman" w:hAnsi="Times New Roman"/>
          <w:sz w:val="17"/>
          <w:szCs w:val="17"/>
          <w:color w:val="auto"/>
        </w:rPr>
      </w:pPr>
    </w:p>
    <w:p>
      <w:pPr>
        <w:ind w:right="2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Date (as the End Date may be extended in accordance with Section‎ 8.01(e)), FBB shall not have commenced good faith efforts to cure the breach or inaccuracy within ten (10) calendar days following receipt of written notice from DXL and thereafter be continuing such good faith efforts;</w:t>
      </w:r>
    </w:p>
    <w:p>
      <w:pPr>
        <w:spacing w:after="0" w:line="147" w:lineRule="exact"/>
        <w:rPr>
          <w:rFonts w:ascii="Times New Roman" w:cs="Times New Roman" w:eastAsia="Times New Roman" w:hAnsi="Times New Roman"/>
          <w:sz w:val="17"/>
          <w:szCs w:val="17"/>
          <w:color w:val="auto"/>
        </w:rPr>
      </w:pPr>
    </w:p>
    <w:p>
      <w:pPr>
        <w:ind w:right="20" w:firstLine="1496"/>
        <w:spacing w:after="0" w:line="284" w:lineRule="auto"/>
        <w:tabs>
          <w:tab w:leader="none" w:pos="1848"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FBB if Nasdaq shall have informed FBB or DXL, whether orally or in writing, that Nasdaq will not list the Merger Consideration upon consummation of the Merger and otherwise at the Effective Time;</w:t>
      </w:r>
    </w:p>
    <w:p>
      <w:pPr>
        <w:spacing w:after="0" w:line="128" w:lineRule="exact"/>
        <w:rPr>
          <w:rFonts w:ascii="Times New Roman" w:cs="Times New Roman" w:eastAsia="Times New Roman" w:hAnsi="Times New Roman"/>
          <w:sz w:val="17"/>
          <w:szCs w:val="17"/>
          <w:color w:val="auto"/>
        </w:rPr>
      </w:pPr>
    </w:p>
    <w:p>
      <w:pPr>
        <w:ind w:left="1840" w:hanging="344"/>
        <w:spacing w:after="0"/>
        <w:tabs>
          <w:tab w:leader="none" w:pos="184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DXL, at any time prior to the receipt of the Required DXL Stockholder Vote in connection with entering into a DXL Acquisition</w:t>
      </w:r>
    </w:p>
    <w:p>
      <w:pPr>
        <w:spacing w:after="0" w:line="25"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Agreement in accordance with Section‎ 5.06(f); provided, that DXL concurrently pays FBB the DXL Termination Fee in accordance with Section‎ 6.07(b); or</w:t>
      </w:r>
    </w:p>
    <w:p>
      <w:pPr>
        <w:spacing w:after="0" w:line="174" w:lineRule="exact"/>
        <w:rPr>
          <w:rFonts w:ascii="Times New Roman" w:cs="Times New Roman" w:eastAsia="Times New Roman" w:hAnsi="Times New Roman"/>
          <w:sz w:val="17"/>
          <w:szCs w:val="17"/>
          <w:color w:val="auto"/>
        </w:rPr>
      </w:pPr>
    </w:p>
    <w:p>
      <w:pPr>
        <w:ind w:left="1840" w:hanging="344"/>
        <w:spacing w:after="0"/>
        <w:tabs>
          <w:tab w:leader="none" w:pos="184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FBB, at any time prior to the receipt of the Required DXL Stockholder Vote in the event of a DXL Adverse Recommendation</w:t>
      </w:r>
    </w:p>
    <w:p>
      <w:pPr>
        <w:spacing w:after="0" w:line="25"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3175635</wp:posOffset>
            </wp:positionH>
            <wp:positionV relativeFrom="paragraph">
              <wp:posOffset>-3299460</wp:posOffset>
            </wp:positionV>
            <wp:extent cx="672465" cy="76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72465" cy="7620"/>
                    </a:xfrm>
                    <a:prstGeom prst="rect">
                      <a:avLst/>
                    </a:prstGeom>
                    <a:noFill/>
                  </pic:spPr>
                </pic:pic>
              </a:graphicData>
            </a:graphic>
          </wp:anchor>
        </w:drawing>
        <w:drawing>
          <wp:anchor simplePos="0" relativeHeight="251657728" behindDoc="1" locked="0" layoutInCell="0" allowOverlap="1">
            <wp:simplePos x="0" y="0"/>
            <wp:positionH relativeFrom="column">
              <wp:posOffset>3851275</wp:posOffset>
            </wp:positionH>
            <wp:positionV relativeFrom="paragraph">
              <wp:posOffset>-3171825</wp:posOffset>
            </wp:positionV>
            <wp:extent cx="672465" cy="76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72465" cy="7620"/>
                    </a:xfrm>
                    <a:prstGeom prst="rect">
                      <a:avLst/>
                    </a:prstGeom>
                    <a:noFill/>
                  </pic:spPr>
                </pic:pic>
              </a:graphicData>
            </a:graphic>
          </wp:anchor>
        </w:drawing>
        <w:drawing>
          <wp:anchor simplePos="0" relativeHeight="251657728" behindDoc="1" locked="0" layoutInCell="0" allowOverlap="1">
            <wp:simplePos x="0" y="0"/>
            <wp:positionH relativeFrom="column">
              <wp:posOffset>1916430</wp:posOffset>
            </wp:positionH>
            <wp:positionV relativeFrom="paragraph">
              <wp:posOffset>-3044190</wp:posOffset>
            </wp:positionV>
            <wp:extent cx="680085" cy="76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0085" cy="7620"/>
                    </a:xfrm>
                    <a:prstGeom prst="rect">
                      <a:avLst/>
                    </a:prstGeom>
                    <a:noFill/>
                  </pic:spPr>
                </pic:pic>
              </a:graphicData>
            </a:graphic>
          </wp:anchor>
        </w:drawing>
        <w:drawing>
          <wp:anchor simplePos="0" relativeHeight="251657728" behindDoc="1" locked="0" layoutInCell="0" allowOverlap="1">
            <wp:simplePos x="0" y="0"/>
            <wp:positionH relativeFrom="column">
              <wp:posOffset>3175635</wp:posOffset>
            </wp:positionH>
            <wp:positionV relativeFrom="paragraph">
              <wp:posOffset>-2413635</wp:posOffset>
            </wp:positionV>
            <wp:extent cx="672465" cy="76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72465" cy="762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-2286000</wp:posOffset>
            </wp:positionV>
            <wp:extent cx="672465" cy="76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72465" cy="7620"/>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-2158365</wp:posOffset>
            </wp:positionV>
            <wp:extent cx="680085" cy="76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0085" cy="7620"/>
                    </a:xfrm>
                    <a:prstGeom prst="rect">
                      <a:avLst/>
                    </a:prstGeom>
                    <a:noFill/>
                  </pic:spPr>
                </pic:pic>
              </a:graphicData>
            </a:graphic>
          </wp:anchor>
        </w:drawing>
        <w:drawing>
          <wp:anchor simplePos="0" relativeHeight="251657728" behindDoc="1" locked="0" layoutInCell="0" allowOverlap="1">
            <wp:simplePos x="0" y="0"/>
            <wp:positionH relativeFrom="column">
              <wp:posOffset>1082040</wp:posOffset>
            </wp:positionH>
            <wp:positionV relativeFrom="paragraph">
              <wp:posOffset>-1654810</wp:posOffset>
            </wp:positionV>
            <wp:extent cx="680085" cy="76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0085" cy="762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-1654810</wp:posOffset>
            </wp:positionV>
            <wp:extent cx="557530" cy="76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57530" cy="7620"/>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-1527175</wp:posOffset>
            </wp:positionV>
            <wp:extent cx="678815" cy="762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78815" cy="762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-1399540</wp:posOffset>
            </wp:positionV>
            <wp:extent cx="672465" cy="76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72465" cy="7620"/>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-1271905</wp:posOffset>
            </wp:positionV>
            <wp:extent cx="672465" cy="76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72465" cy="7620"/>
                    </a:xfrm>
                    <a:prstGeom prst="rect">
                      <a:avLst/>
                    </a:prstGeom>
                    <a:noFill/>
                  </pic:spPr>
                </pic:pic>
              </a:graphicData>
            </a:graphic>
          </wp:anchor>
        </w:drawing>
        <w:drawing>
          <wp:anchor simplePos="0" relativeHeight="251657728" behindDoc="1" locked="0" layoutInCell="0" allowOverlap="1">
            <wp:simplePos x="0" y="0"/>
            <wp:positionH relativeFrom="column">
              <wp:posOffset>1371600</wp:posOffset>
            </wp:positionH>
            <wp:positionV relativeFrom="paragraph">
              <wp:posOffset>-393700</wp:posOffset>
            </wp:positionV>
            <wp:extent cx="660400" cy="76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60400" cy="7620"/>
                    </a:xfrm>
                    <a:prstGeom prst="rect">
                      <a:avLst/>
                    </a:prstGeom>
                    <a:noFill/>
                  </pic:spPr>
                </pic:pic>
              </a:graphicData>
            </a:graphic>
          </wp:anchor>
        </w:drawing>
        <w:drawing>
          <wp:anchor simplePos="0" relativeHeight="251657728" behindDoc="1" locked="0" layoutInCell="0" allowOverlap="1">
            <wp:simplePos x="0" y="0"/>
            <wp:positionH relativeFrom="column">
              <wp:posOffset>6063615</wp:posOffset>
            </wp:positionH>
            <wp:positionV relativeFrom="paragraph">
              <wp:posOffset>-393700</wp:posOffset>
            </wp:positionV>
            <wp:extent cx="678815" cy="76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78815" cy="7620"/>
                    </a:xfrm>
                    <a:prstGeom prst="rect">
                      <a:avLst/>
                    </a:prstGeom>
                    <a:noFill/>
                  </pic:spPr>
                </pic:pic>
              </a:graphicData>
            </a:graphic>
          </wp:anchor>
        </w:drawing>
      </w:r>
    </w:p>
    <w:p>
      <w:pPr>
        <w:spacing w:after="0" w:line="153" w:lineRule="exact"/>
        <w:rPr>
          <w:sz w:val="20"/>
          <w:szCs w:val="20"/>
          <w:color w:val="auto"/>
        </w:rPr>
      </w:pPr>
    </w:p>
    <w:p>
      <w:pPr>
        <w:jc w:val="both"/>
        <w:ind w:firstLine="1220"/>
        <w:spacing w:after="0" w:line="256" w:lineRule="auto"/>
        <w:rPr>
          <w:sz w:val="20"/>
          <w:szCs w:val="20"/>
          <w:color w:val="auto"/>
        </w:rPr>
      </w:pPr>
      <w:r>
        <w:rPr>
          <w:rFonts w:ascii="Times New Roman" w:cs="Times New Roman" w:eastAsia="Times New Roman" w:hAnsi="Times New Roman"/>
          <w:sz w:val="17"/>
          <w:szCs w:val="17"/>
          <w:b w:val="1"/>
          <w:bCs w:val="1"/>
          <w:u w:val="single" w:color="auto"/>
          <w:color w:val="auto"/>
        </w:rPr>
        <w:t>SECTION 8.02 Effect of Termination</w:t>
      </w:r>
      <w:r>
        <w:rPr>
          <w:rFonts w:ascii="Times New Roman" w:cs="Times New Roman" w:eastAsia="Times New Roman" w:hAnsi="Times New Roman"/>
          <w:sz w:val="17"/>
          <w:szCs w:val="17"/>
          <w:color w:val="auto"/>
        </w:rPr>
        <w:t>. In the event of termination of this Agreement by either DXL or FBB in accordance with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8.01</w:t>
      </w:r>
      <w:r>
        <w:rPr>
          <w:rFonts w:ascii="Times New Roman" w:cs="Times New Roman" w:eastAsia="Times New Roman" w:hAnsi="Times New Roman"/>
          <w:sz w:val="17"/>
          <w:szCs w:val="17"/>
          <w:color w:val="auto"/>
        </w:rPr>
        <w:t xml:space="preserve">, this Agreement shall forthwith become void and have no effect, and none of DXL, FBB, any of their respective Subsidiaries or Affiliates or any of the officers or directors of any of the foregoing shall have any liability of any nature whatsoever under this Agreement, or in connection with the Merger and the other Transactions, except that (a) ‎Section 6.07, this ‎Section 8.02, and ‎Article IX (other than ‎Section 9.13) and the last sentence of </w:t>
      </w:r>
      <w:r>
        <w:rPr>
          <w:rFonts w:ascii="Times New Roman" w:cs="Times New Roman" w:eastAsia="Times New Roman" w:hAnsi="Times New Roman"/>
          <w:sz w:val="17"/>
          <w:szCs w:val="17"/>
          <w:u w:val="single" w:color="auto"/>
          <w:color w:val="auto"/>
        </w:rPr>
        <w:t>Section 6.03</w:t>
      </w:r>
      <w:r>
        <w:rPr>
          <w:rFonts w:ascii="Times New Roman" w:cs="Times New Roman" w:eastAsia="Times New Roman" w:hAnsi="Times New Roman"/>
          <w:sz w:val="17"/>
          <w:szCs w:val="17"/>
          <w:color w:val="auto"/>
        </w:rPr>
        <w:t>, as well as the Confidentiality Agreement, shall survive any termination of this Agreement and (b) notwithstanding any termination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1554480</wp:posOffset>
            </wp:positionH>
            <wp:positionV relativeFrom="paragraph">
              <wp:posOffset>-158750</wp:posOffset>
            </wp:positionV>
            <wp:extent cx="3192780" cy="76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192780" cy="762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84" w:name="page85"/>
    <w:bookmarkEnd w:id="84"/>
    <w:p>
      <w:pPr>
        <w:jc w:val="both"/>
        <w:spacing w:after="0" w:line="284" w:lineRule="auto"/>
        <w:rPr>
          <w:sz w:val="20"/>
          <w:szCs w:val="20"/>
          <w:color w:val="auto"/>
        </w:rPr>
      </w:pPr>
      <w:r>
        <w:rPr>
          <w:rFonts w:ascii="Times New Roman" w:cs="Times New Roman" w:eastAsia="Times New Roman" w:hAnsi="Times New Roman"/>
          <w:sz w:val="17"/>
          <w:szCs w:val="17"/>
          <w:color w:val="auto"/>
        </w:rPr>
        <w:t>any contrary provision contained in this Agreement, neither DXL nor FBB shall be relieved or released from liability resulting from the willful and material breach by such party of any of its representations, warranties, covenants or agreements set forth in this Agreement or for fraud.</w:t>
      </w:r>
    </w:p>
    <w:p>
      <w:pPr>
        <w:spacing w:after="0" w:line="127" w:lineRule="exact"/>
        <w:rPr>
          <w:sz w:val="20"/>
          <w:szCs w:val="20"/>
          <w:color w:val="auto"/>
        </w:rPr>
      </w:pPr>
    </w:p>
    <w:p>
      <w:pPr>
        <w:jc w:val="both"/>
        <w:ind w:firstLine="1220"/>
        <w:spacing w:after="0" w:line="252" w:lineRule="auto"/>
        <w:rPr>
          <w:sz w:val="20"/>
          <w:szCs w:val="20"/>
          <w:color w:val="auto"/>
        </w:rPr>
      </w:pPr>
      <w:r>
        <w:rPr>
          <w:rFonts w:ascii="Times New Roman" w:cs="Times New Roman" w:eastAsia="Times New Roman" w:hAnsi="Times New Roman"/>
          <w:sz w:val="17"/>
          <w:szCs w:val="17"/>
          <w:b w:val="1"/>
          <w:bCs w:val="1"/>
          <w:u w:val="single" w:color="auto"/>
          <w:color w:val="auto"/>
        </w:rPr>
        <w:t>SECTION 8.03 Amendment</w:t>
      </w:r>
      <w:r>
        <w:rPr>
          <w:rFonts w:ascii="Times New Roman" w:cs="Times New Roman" w:eastAsia="Times New Roman" w:hAnsi="Times New Roman"/>
          <w:sz w:val="17"/>
          <w:szCs w:val="17"/>
          <w:color w:val="auto"/>
        </w:rPr>
        <w:t>. Subject to compliance with applicable Law, this Agreement may be amended by DXL, Merger Sub and FBB,</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by action taken or authorized by their respective boards of directors, at any time before or after the FBB Stockholder Approval or the Required DXL Stockholder Vote; provided that (1) after the FBB Stockholder Approval has been obtained, any amendment of this Agreement that by applicable Law requires the further approval by the stockholders of FBB shall be effective only with the approval of such stockholders and (2) after the Required DXL Stockholder Vote has been obtained, any amendment of this Agreement that by applicable Law requires the further approval by the stockholders of DXL shall be effective only with the approval of such stockholders. This Agreement may not be amended except by an instrument in writing signed on behalf of each of the parties. Notwithstanding anything herein to the contrary, any amendment to this ‎Section 8.03 or </w:t>
      </w:r>
      <w:r>
        <w:rPr>
          <w:rFonts w:ascii="Times New Roman" w:cs="Times New Roman" w:eastAsia="Times New Roman" w:hAnsi="Times New Roman"/>
          <w:sz w:val="17"/>
          <w:szCs w:val="17"/>
          <w:u w:val="single" w:color="auto"/>
          <w:color w:val="auto"/>
        </w:rPr>
        <w:t>Section 9.14</w:t>
      </w:r>
      <w:r>
        <w:rPr>
          <w:rFonts w:ascii="Times New Roman" w:cs="Times New Roman" w:eastAsia="Times New Roman" w:hAnsi="Times New Roman"/>
          <w:sz w:val="17"/>
          <w:szCs w:val="17"/>
          <w:color w:val="auto"/>
        </w:rPr>
        <w:t xml:space="preserve"> (and, in each case, the related definitions in this Agreement used therein) that is adverse to any Financing Related Party shall not be made without the prior written consent of the affiliated Financing Source (to the extent there is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2442845</wp:posOffset>
            </wp:positionH>
            <wp:positionV relativeFrom="paragraph">
              <wp:posOffset>-156210</wp:posOffset>
            </wp:positionV>
            <wp:extent cx="549910" cy="76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49910" cy="7620"/>
                    </a:xfrm>
                    <a:prstGeom prst="rect">
                      <a:avLst/>
                    </a:prstGeom>
                    <a:noFill/>
                  </pic:spPr>
                </pic:pic>
              </a:graphicData>
            </a:graphic>
          </wp:anchor>
        </w:drawing>
      </w:r>
    </w:p>
    <w:p>
      <w:pPr>
        <w:spacing w:after="0" w:line="136" w:lineRule="exact"/>
        <w:rPr>
          <w:sz w:val="20"/>
          <w:szCs w:val="20"/>
          <w:color w:val="auto"/>
        </w:rPr>
      </w:pPr>
    </w:p>
    <w:p>
      <w:pPr>
        <w:jc w:val="both"/>
        <w:ind w:right="20" w:firstLine="1220"/>
        <w:spacing w:after="0" w:line="253" w:lineRule="auto"/>
        <w:rPr>
          <w:sz w:val="20"/>
          <w:szCs w:val="20"/>
          <w:color w:val="auto"/>
        </w:rPr>
      </w:pPr>
      <w:r>
        <w:rPr>
          <w:rFonts w:ascii="Times New Roman" w:cs="Times New Roman" w:eastAsia="Times New Roman" w:hAnsi="Times New Roman"/>
          <w:sz w:val="17"/>
          <w:szCs w:val="17"/>
          <w:b w:val="1"/>
          <w:bCs w:val="1"/>
          <w:u w:val="single" w:color="auto"/>
          <w:color w:val="auto"/>
        </w:rPr>
        <w:t>SECTION 8.04 Extension; Waiver</w:t>
      </w:r>
      <w:r>
        <w:rPr>
          <w:rFonts w:ascii="Times New Roman" w:cs="Times New Roman" w:eastAsia="Times New Roman" w:hAnsi="Times New Roman"/>
          <w:sz w:val="17"/>
          <w:szCs w:val="17"/>
          <w:color w:val="auto"/>
        </w:rPr>
        <w:t>. At any time prior to the Effective Time, DXL (on behalf of itself and Merger Sub) and FBB may,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extent legally allowed, (a) extend the time for the performance of any of the obligations or other acts of DXL or Merger Sub, in the case of FBB, or FBB, in the case of DXL, (b) waive any inaccuracies in the representations and warranties of DXL or Merger Sub, in the case of FBB, or FBB, in the case of DXL, contained in this Agreement, and (c) waive compliance by DXL or Merger Sub, in the case of FBB, or FBB, in the case of DXL, with any of the agreements or conditions contained in this Agreement. Any agreement on the part of a party to any such extension or waiver will be valid only if set forth in a written instrument signed by an authorized officer on behalf of such party, but such extension or waiver or failure to insist on strict compliance with an obligation, covenant, agreement or condition will not operate as a waiver of, or estoppel with respect to, any subsequent or other failure.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ARTICLE IX</w:t>
      </w:r>
    </w:p>
    <w:p>
      <w:pPr>
        <w:spacing w:after="0" w:line="195" w:lineRule="exact"/>
        <w:rPr>
          <w:sz w:val="20"/>
          <w:szCs w:val="20"/>
          <w:color w:val="auto"/>
        </w:rPr>
      </w:pPr>
    </w:p>
    <w:p>
      <w:pPr>
        <w:jc w:val="both"/>
        <w:ind w:firstLine="1220"/>
        <w:spacing w:after="0" w:line="267" w:lineRule="auto"/>
        <w:rPr>
          <w:sz w:val="20"/>
          <w:szCs w:val="20"/>
          <w:color w:val="auto"/>
        </w:rPr>
      </w:pPr>
      <w:r>
        <w:rPr>
          <w:rFonts w:ascii="Times New Roman" w:cs="Times New Roman" w:eastAsia="Times New Roman" w:hAnsi="Times New Roman"/>
          <w:sz w:val="17"/>
          <w:szCs w:val="17"/>
          <w:b w:val="1"/>
          <w:bCs w:val="1"/>
          <w:u w:val="single" w:color="auto"/>
          <w:color w:val="auto"/>
        </w:rPr>
        <w:t>SECTION 9.01 Non-survival of Representations and Warranties</w:t>
      </w:r>
      <w:r>
        <w:rPr>
          <w:rFonts w:ascii="Times New Roman" w:cs="Times New Roman" w:eastAsia="Times New Roman" w:hAnsi="Times New Roman"/>
          <w:sz w:val="17"/>
          <w:szCs w:val="17"/>
          <w:color w:val="auto"/>
        </w:rPr>
        <w:t>. None of the representations, warranties, covenants and agreements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Agreement or in any instrument delivered pursuant to this Agreement shall survive the Effective Time; provided that this ‎Section 9.01 shall not limit any covenant or agreement of the parties which by its terms contemplates performance after the Effective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5716905</wp:posOffset>
            </wp:positionH>
            <wp:positionV relativeFrom="paragraph">
              <wp:posOffset>-166370</wp:posOffset>
            </wp:positionV>
            <wp:extent cx="557530" cy="76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57530" cy="7620"/>
                    </a:xfrm>
                    <a:prstGeom prst="rect">
                      <a:avLst/>
                    </a:prstGeom>
                    <a:noFill/>
                  </pic:spPr>
                </pic:pic>
              </a:graphicData>
            </a:graphic>
          </wp:anchor>
        </w:drawing>
      </w:r>
    </w:p>
    <w:p>
      <w:pPr>
        <w:spacing w:after="0" w:line="120" w:lineRule="exact"/>
        <w:rPr>
          <w:sz w:val="20"/>
          <w:szCs w:val="20"/>
          <w:color w:val="auto"/>
        </w:rPr>
      </w:pPr>
    </w:p>
    <w:p>
      <w:pPr>
        <w:jc w:val="both"/>
        <w:ind w:right="20" w:firstLine="1220"/>
        <w:spacing w:after="0" w:line="255" w:lineRule="auto"/>
        <w:rPr>
          <w:sz w:val="20"/>
          <w:szCs w:val="20"/>
          <w:color w:val="auto"/>
        </w:rPr>
      </w:pPr>
      <w:r>
        <w:rPr>
          <w:rFonts w:ascii="Times New Roman" w:cs="Times New Roman" w:eastAsia="Times New Roman" w:hAnsi="Times New Roman"/>
          <w:sz w:val="17"/>
          <w:szCs w:val="17"/>
          <w:b w:val="1"/>
          <w:bCs w:val="1"/>
          <w:u w:val="single" w:color="auto"/>
          <w:color w:val="auto"/>
        </w:rPr>
        <w:t>SECTION 9.02 Notices</w:t>
      </w:r>
      <w:r>
        <w:rPr>
          <w:rFonts w:ascii="Times New Roman" w:cs="Times New Roman" w:eastAsia="Times New Roman" w:hAnsi="Times New Roman"/>
          <w:sz w:val="17"/>
          <w:szCs w:val="17"/>
          <w:color w:val="auto"/>
        </w:rPr>
        <w:t>. To be effective under this Agreement, all notices, requests, claims, demands and other communications under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shall be sent by facsimile transmission or email of a .pdf (or similar) attachment (providing confirmation of transmission), by reliable overnight delivery service (with proof of service) or by hand delivery, and shall be deemed given upon receipt by the parties at the following addresses (or at such other address for a party as shall be specified by like notice); provided, however, that any notice received by facsimile or email transmission or otherwise at the addressee’s location on any Business Day after 6:00 p.m. (addressee’s local time) shall be deemed to have been received at 9:00 a.m. (addressee’s local time) on the next Business Day:</w:t>
      </w:r>
    </w:p>
    <w:p>
      <w:pPr>
        <w:spacing w:after="0" w:line="359" w:lineRule="exact"/>
        <w:rPr>
          <w:sz w:val="20"/>
          <w:szCs w:val="20"/>
          <w:color w:val="auto"/>
        </w:rPr>
      </w:pPr>
    </w:p>
    <w:p>
      <w:pPr>
        <w:ind w:left="1500"/>
        <w:spacing w:after="0"/>
        <w:tabs>
          <w:tab w:leader="none" w:pos="1820" w:val="left"/>
        </w:tabs>
        <w:rPr>
          <w:sz w:val="20"/>
          <w:szCs w:val="20"/>
          <w:color w:val="auto"/>
        </w:rPr>
      </w:pPr>
      <w:r>
        <w:rPr>
          <w:rFonts w:ascii="Times New Roman" w:cs="Times New Roman" w:eastAsia="Times New Roman" w:hAnsi="Times New Roman"/>
          <w:sz w:val="17"/>
          <w:szCs w:val="17"/>
          <w:color w:val="auto"/>
        </w:rPr>
        <w:t>(a)</w:t>
        <w:tab/>
        <w:t>if to DXL or Merger Sub, to:</w:t>
      </w:r>
    </w:p>
    <w:p>
      <w:pPr>
        <w:spacing w:after="0" w:line="195"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color w:val="auto"/>
        </w:rPr>
        <w:t>Destination XL Group, Inc.</w:t>
      </w:r>
    </w:p>
    <w:p>
      <w:pPr>
        <w:spacing w:after="0" w:line="2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color w:val="auto"/>
        </w:rPr>
        <w:t>555 Turnpike Street</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85" w:name="page86"/>
    <w:bookmarkEnd w:id="85"/>
    <w:p>
      <w:pPr>
        <w:ind w:left="2240"/>
        <w:spacing w:after="0"/>
        <w:rPr>
          <w:sz w:val="20"/>
          <w:szCs w:val="20"/>
          <w:color w:val="auto"/>
        </w:rPr>
      </w:pPr>
      <w:r>
        <w:rPr>
          <w:rFonts w:ascii="Times New Roman" w:cs="Times New Roman" w:eastAsia="Times New Roman" w:hAnsi="Times New Roman"/>
          <w:sz w:val="17"/>
          <w:szCs w:val="17"/>
          <w:color w:val="auto"/>
        </w:rPr>
        <w:t>Canton, MA 02021</w:t>
      </w:r>
    </w:p>
    <w:p>
      <w:pPr>
        <w:spacing w:after="0" w:line="2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color w:val="auto"/>
        </w:rPr>
        <w:t>Attn: Harvey S. Kanter</w:t>
      </w:r>
    </w:p>
    <w:p>
      <w:pPr>
        <w:spacing w:after="0" w:line="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color w:val="auto"/>
        </w:rPr>
        <w:t>Email: hkanter@dxlg.com</w:t>
      </w:r>
    </w:p>
    <w:p>
      <w:pPr>
        <w:spacing w:after="0" w:line="18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color w:val="auto"/>
        </w:rPr>
        <w:t>with a copy (which shall not constitute notice) to:</w:t>
      </w:r>
    </w:p>
    <w:p>
      <w:pPr>
        <w:spacing w:after="0" w:line="2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color w:val="auto"/>
        </w:rPr>
        <w:t>Greenberg Traurig, LLP</w:t>
      </w:r>
    </w:p>
    <w:p>
      <w:pPr>
        <w:spacing w:after="0" w:line="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color w:val="auto"/>
        </w:rPr>
        <w:t>2375 E. Camelback Rd., Suite 800</w:t>
      </w:r>
    </w:p>
    <w:p>
      <w:pPr>
        <w:spacing w:after="0" w:line="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color w:val="auto"/>
        </w:rPr>
        <w:t>Phoenix, AZ 85016</w:t>
      </w:r>
    </w:p>
    <w:p>
      <w:pPr>
        <w:spacing w:after="0" w:line="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color w:val="auto"/>
        </w:rPr>
        <w:t>Attention: Brian H. Blaney</w:t>
      </w:r>
    </w:p>
    <w:p>
      <w:pPr>
        <w:spacing w:after="0" w:line="6" w:lineRule="exact"/>
        <w:rPr>
          <w:sz w:val="20"/>
          <w:szCs w:val="20"/>
          <w:color w:val="auto"/>
        </w:rPr>
      </w:pPr>
    </w:p>
    <w:p>
      <w:pPr>
        <w:ind w:left="2240"/>
        <w:spacing w:after="0"/>
        <w:tabs>
          <w:tab w:leader="none" w:pos="2920" w:val="left"/>
        </w:tabs>
        <w:rPr>
          <w:sz w:val="20"/>
          <w:szCs w:val="20"/>
          <w:color w:val="auto"/>
        </w:rPr>
      </w:pPr>
      <w:r>
        <w:rPr>
          <w:rFonts w:ascii="Times New Roman" w:cs="Times New Roman" w:eastAsia="Times New Roman" w:hAnsi="Times New Roman"/>
          <w:sz w:val="17"/>
          <w:szCs w:val="17"/>
          <w:color w:val="auto"/>
        </w:rPr>
        <w:t>E-mail:</w:t>
        <w:tab/>
        <w:t>blaneyb@gtlaw.com</w:t>
      </w:r>
    </w:p>
    <w:p>
      <w:pPr>
        <w:spacing w:after="0" w:line="175" w:lineRule="exact"/>
        <w:rPr>
          <w:sz w:val="20"/>
          <w:szCs w:val="20"/>
          <w:color w:val="auto"/>
        </w:rPr>
      </w:pPr>
    </w:p>
    <w:p>
      <w:pPr>
        <w:ind w:left="1500"/>
        <w:spacing w:after="0"/>
        <w:tabs>
          <w:tab w:leader="none" w:pos="1820" w:val="left"/>
        </w:tabs>
        <w:rPr>
          <w:sz w:val="20"/>
          <w:szCs w:val="20"/>
          <w:color w:val="auto"/>
        </w:rPr>
      </w:pPr>
      <w:r>
        <w:rPr>
          <w:rFonts w:ascii="Times New Roman" w:cs="Times New Roman" w:eastAsia="Times New Roman" w:hAnsi="Times New Roman"/>
          <w:sz w:val="17"/>
          <w:szCs w:val="17"/>
          <w:color w:val="auto"/>
        </w:rPr>
        <w:t>(b)</w:t>
        <w:tab/>
        <w:t>if to FBB, to:</w:t>
      </w:r>
    </w:p>
    <w:p>
      <w:pPr>
        <w:spacing w:after="0" w:line="195"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color w:val="auto"/>
        </w:rPr>
        <w:t>FBB Holdings I, Inc.</w:t>
      </w:r>
    </w:p>
    <w:p>
      <w:pPr>
        <w:spacing w:after="0" w:line="2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color w:val="auto"/>
        </w:rPr>
        <w:t>One New York Plaza</w:t>
      </w:r>
    </w:p>
    <w:p>
      <w:pPr>
        <w:spacing w:after="0" w:line="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color w:val="auto"/>
        </w:rPr>
        <w:t>Attn: Jim Fogarty (CEO); General Counsel</w:t>
      </w:r>
    </w:p>
    <w:p>
      <w:pPr>
        <w:spacing w:after="0" w:line="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color w:val="auto"/>
        </w:rPr>
        <w:t>E-mail: jfogarty@fbbrands.com; generalcounsel@fbbrands.com</w:t>
      </w:r>
    </w:p>
    <w:p>
      <w:pPr>
        <w:spacing w:after="0" w:line="18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color w:val="auto"/>
        </w:rPr>
        <w:t>with a copy (which shall not constitute notice) to:</w:t>
      </w:r>
    </w:p>
    <w:p>
      <w:pPr>
        <w:spacing w:after="0" w:line="20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color w:val="auto"/>
        </w:rPr>
        <w:t>Cleary Gottlieb Steen &amp; Hamilton LLP</w:t>
      </w:r>
    </w:p>
    <w:p>
      <w:pPr>
        <w:spacing w:after="0" w:line="2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color w:val="auto"/>
        </w:rPr>
        <w:t>One Liberty Plaza</w:t>
      </w:r>
    </w:p>
    <w:p>
      <w:pPr>
        <w:spacing w:after="0" w:line="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color w:val="auto"/>
        </w:rPr>
        <w:t>New York, NY 10006</w:t>
      </w:r>
    </w:p>
    <w:p>
      <w:pPr>
        <w:spacing w:after="0" w:line="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color w:val="auto"/>
        </w:rPr>
        <w:t>Attn: Paul J. Shim</w:t>
      </w:r>
    </w:p>
    <w:p>
      <w:pPr>
        <w:spacing w:after="0" w:line="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color w:val="auto"/>
        </w:rPr>
        <w:t>E-mail: pshim@cgsh.com</w:t>
      </w:r>
    </w:p>
    <w:p>
      <w:pPr>
        <w:spacing w:after="0" w:line="18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color w:val="auto"/>
        </w:rPr>
        <w:t>and</w:t>
      </w:r>
    </w:p>
    <w:p>
      <w:pPr>
        <w:spacing w:after="0" w:line="20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color w:val="auto"/>
        </w:rPr>
        <w:t>Cleary Gottlieb Steen &amp; Hamilton LLP</w:t>
      </w:r>
    </w:p>
    <w:p>
      <w:pPr>
        <w:spacing w:after="0" w:line="2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color w:val="auto"/>
        </w:rPr>
        <w:t>650 California St, Suite 2400</w:t>
      </w:r>
    </w:p>
    <w:p>
      <w:pPr>
        <w:spacing w:after="0" w:line="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color w:val="auto"/>
        </w:rPr>
        <w:t>San Francisco, CA 94108</w:t>
      </w:r>
    </w:p>
    <w:p>
      <w:pPr>
        <w:spacing w:after="0" w:line="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color w:val="auto"/>
        </w:rPr>
        <w:t>Attn: Benet J. O’Reilly</w:t>
      </w:r>
    </w:p>
    <w:p>
      <w:pPr>
        <w:spacing w:after="0" w:line="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color w:val="auto"/>
        </w:rPr>
        <w:t>E-mail: boreilly@cgsh.com</w:t>
      </w:r>
    </w:p>
    <w:p>
      <w:pPr>
        <w:spacing w:after="0" w:line="173" w:lineRule="exact"/>
        <w:rPr>
          <w:sz w:val="20"/>
          <w:szCs w:val="20"/>
          <w:color w:val="auto"/>
        </w:rPr>
      </w:pPr>
    </w:p>
    <w:p>
      <w:pPr>
        <w:ind w:left="1220"/>
        <w:spacing w:after="0"/>
        <w:tabs>
          <w:tab w:leader="none" w:pos="2580" w:val="left"/>
        </w:tabs>
        <w:rPr>
          <w:sz w:val="20"/>
          <w:szCs w:val="20"/>
          <w:color w:val="auto"/>
        </w:rPr>
      </w:pPr>
      <w:r>
        <w:rPr>
          <w:rFonts w:ascii="Times New Roman" w:cs="Times New Roman" w:eastAsia="Times New Roman" w:hAnsi="Times New Roman"/>
          <w:sz w:val="17"/>
          <w:szCs w:val="17"/>
          <w:b w:val="1"/>
          <w:bCs w:val="1"/>
          <w:u w:val="single" w:color="auto"/>
          <w:color w:val="auto"/>
        </w:rPr>
        <w:t>SECTION 9.03</w:t>
      </w:r>
      <w:r>
        <w:rPr>
          <w:sz w:val="20"/>
          <w:szCs w:val="20"/>
          <w:color w:val="auto"/>
        </w:rPr>
        <w:tab/>
      </w:r>
      <w:r>
        <w:rPr>
          <w:rFonts w:ascii="Times New Roman" w:cs="Times New Roman" w:eastAsia="Times New Roman" w:hAnsi="Times New Roman"/>
          <w:sz w:val="17"/>
          <w:szCs w:val="17"/>
          <w:b w:val="1"/>
          <w:bCs w:val="1"/>
          <w:u w:val="single" w:color="auto"/>
          <w:color w:val="auto"/>
        </w:rPr>
        <w:t>Definitions</w:t>
      </w:r>
      <w:r>
        <w:rPr>
          <w:rFonts w:ascii="Times New Roman" w:cs="Times New Roman" w:eastAsia="Times New Roman" w:hAnsi="Times New Roman"/>
          <w:sz w:val="17"/>
          <w:szCs w:val="17"/>
          <w:color w:val="auto"/>
        </w:rPr>
        <w:t>. As used in this Agreement, the following terms shall have the respective meanings set forth below:</w:t>
      </w:r>
    </w:p>
    <w:p>
      <w:pPr>
        <w:spacing w:after="0" w:line="197" w:lineRule="exact"/>
        <w:rPr>
          <w:sz w:val="20"/>
          <w:szCs w:val="20"/>
          <w:color w:val="auto"/>
        </w:rPr>
      </w:pPr>
    </w:p>
    <w:p>
      <w:pPr>
        <w:jc w:val="both"/>
        <w:ind w:right="20" w:firstLine="751"/>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A&amp;R Term Loan Facility</w:t>
      </w:r>
      <w:r>
        <w:rPr>
          <w:rFonts w:ascii="Times New Roman" w:cs="Times New Roman" w:eastAsia="Times New Roman" w:hAnsi="Times New Roman"/>
          <w:sz w:val="17"/>
          <w:szCs w:val="17"/>
          <w:color w:val="auto"/>
        </w:rPr>
        <w:t>” means that certain First Lien Term Loan Credit Agreement, dated as of August 2, 2022, among the FBB Holdings III, Inc., as borrower, FBB Holdings II, Inc., as holdings, the lenders from time to time party thereto and CB Corporate Finance, LLC as administrative agent (the “Existing Term Loan Facility”); as amended and restated pursuant to the A&amp;R Term Loan Amendment, as in effect immediately following the Closing.</w:t>
      </w:r>
    </w:p>
    <w:p>
      <w:pPr>
        <w:spacing w:after="0" w:line="145" w:lineRule="exact"/>
        <w:rPr>
          <w:sz w:val="20"/>
          <w:szCs w:val="20"/>
          <w:color w:val="auto"/>
        </w:rPr>
      </w:pPr>
    </w:p>
    <w:p>
      <w:pPr>
        <w:jc w:val="both"/>
        <w:ind w:firstLine="751"/>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Acceptable Confidentiality Agreement</w:t>
      </w:r>
      <w:r>
        <w:rPr>
          <w:rFonts w:ascii="Times New Roman" w:cs="Times New Roman" w:eastAsia="Times New Roman" w:hAnsi="Times New Roman"/>
          <w:sz w:val="17"/>
          <w:szCs w:val="17"/>
          <w:color w:val="auto"/>
        </w:rPr>
        <w:t>” means with respect to Section‎ 5.06 a confidentiality agreement determined by the DXL Board in good faith to provide for terms substantially no less restrictive to DXL’s counterparty thereto than those contained in the Confidentiality Agreement that are applicable to FBB (it being understood that such confidentiality agreement need not include any “standstill” or similar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-292100</wp:posOffset>
            </wp:positionV>
            <wp:extent cx="549910" cy="76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49910" cy="7620"/>
                    </a:xfrm>
                    <a:prstGeom prst="rect">
                      <a:avLst/>
                    </a:prstGeom>
                    <a:noFill/>
                  </pic:spPr>
                </pic:pic>
              </a:graphicData>
            </a:graphic>
          </wp:anchor>
        </w:drawing>
      </w:r>
    </w:p>
    <w:p>
      <w:pPr>
        <w:spacing w:after="0" w:line="125" w:lineRule="exact"/>
        <w:rPr>
          <w:sz w:val="20"/>
          <w:szCs w:val="20"/>
          <w:color w:val="auto"/>
        </w:rPr>
      </w:pPr>
    </w:p>
    <w:p>
      <w:pPr>
        <w:jc w:val="both"/>
        <w:ind w:firstLine="751"/>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Accredited Investor</w:t>
      </w:r>
      <w:r>
        <w:rPr>
          <w:rFonts w:ascii="Times New Roman" w:cs="Times New Roman" w:eastAsia="Times New Roman" w:hAnsi="Times New Roman"/>
          <w:sz w:val="17"/>
          <w:szCs w:val="17"/>
          <w:color w:val="auto"/>
        </w:rPr>
        <w:t>” means a Person that FBB reasonably believes is an “accredited investor” as that term is defined in Rule 501 of Regulation D of the Securities Act.</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86" w:name="page87"/>
    <w:bookmarkEnd w:id="86"/>
    <w:p>
      <w:pPr>
        <w:jc w:val="both"/>
        <w:ind w:firstLine="751"/>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means, as to any Person, any other Person that, directly or indirectly, controls, is controlled by, or is under common control with, such Person. For the purpose of this definition, “control” (including with correlative meanings, “controlled by” and “under common control with”), when used with respect to any specified Person means the possession, directly or indirectly, of the power to direct or cause the direction of the management and policies of such Person, whether through the ownership of voting securities, by Contract or otherwise.</w:t>
      </w:r>
    </w:p>
    <w:p>
      <w:pPr>
        <w:spacing w:after="0" w:line="150" w:lineRule="exact"/>
        <w:rPr>
          <w:sz w:val="20"/>
          <w:szCs w:val="20"/>
          <w:color w:val="auto"/>
        </w:rPr>
      </w:pPr>
    </w:p>
    <w:p>
      <w:pPr>
        <w:jc w:val="both"/>
        <w:ind w:firstLine="751"/>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means any day other than (a) a Saturday or a Sunday or (b) a day on which banking and savings and loan institutions are authorized or required by Law to be closed in New York, New York.</w:t>
      </w:r>
    </w:p>
    <w:p>
      <w:pPr>
        <w:spacing w:after="0" w:line="129" w:lineRule="exact"/>
        <w:rPr>
          <w:sz w:val="20"/>
          <w:szCs w:val="20"/>
          <w:color w:val="auto"/>
        </w:rPr>
      </w:pPr>
    </w:p>
    <w:p>
      <w:pPr>
        <w:jc w:val="both"/>
        <w:ind w:right="20" w:firstLine="751"/>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Charter Documents</w:t>
      </w:r>
      <w:r>
        <w:rPr>
          <w:rFonts w:ascii="Times New Roman" w:cs="Times New Roman" w:eastAsia="Times New Roman" w:hAnsi="Times New Roman"/>
          <w:sz w:val="17"/>
          <w:szCs w:val="17"/>
          <w:color w:val="auto"/>
        </w:rPr>
        <w:t>” means: (a) with respect to a corporation, the charter, articles or certificate of incorporation, as applicable, and bylaws thereof; (b) with respect to a limited liability company, the certificate of formation or organization, as applicable, and the operating or limited liability company agreement, as applicable, thereof; (c) with respect to a partnership, the certificate of formation and the partnership agreement; and (d) with respect to any other Person the organizational, constituent and/or governing documents and/or instruments of such Person.</w:t>
      </w:r>
    </w:p>
    <w:p>
      <w:pPr>
        <w:spacing w:after="0" w:line="15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Code</w:t>
      </w:r>
      <w:r>
        <w:rPr>
          <w:rFonts w:ascii="Times New Roman" w:cs="Times New Roman" w:eastAsia="Times New Roman" w:hAnsi="Times New Roman"/>
          <w:sz w:val="17"/>
          <w:szCs w:val="17"/>
          <w:color w:val="auto"/>
        </w:rPr>
        <w:t>” means the Internal Revenue Code of 1986, as amended.</w:t>
      </w:r>
    </w:p>
    <w:p>
      <w:pPr>
        <w:spacing w:after="0" w:line="19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Commitment and Subscription Agreement</w:t>
      </w:r>
      <w:r>
        <w:rPr>
          <w:rFonts w:ascii="Times New Roman" w:cs="Times New Roman" w:eastAsia="Times New Roman" w:hAnsi="Times New Roman"/>
          <w:sz w:val="17"/>
          <w:szCs w:val="17"/>
          <w:color w:val="auto"/>
        </w:rPr>
        <w:t>” means a Contract executed by an FBB Investor in connection with the Pre-Closing Investment.</w:t>
      </w:r>
    </w:p>
    <w:p>
      <w:pPr>
        <w:spacing w:after="0" w:line="195" w:lineRule="exact"/>
        <w:rPr>
          <w:sz w:val="20"/>
          <w:szCs w:val="20"/>
          <w:color w:val="auto"/>
        </w:rPr>
      </w:pPr>
    </w:p>
    <w:p>
      <w:pPr>
        <w:jc w:val="both"/>
        <w:ind w:right="20" w:firstLine="751"/>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Contract</w:t>
      </w:r>
      <w:r>
        <w:rPr>
          <w:rFonts w:ascii="Times New Roman" w:cs="Times New Roman" w:eastAsia="Times New Roman" w:hAnsi="Times New Roman"/>
          <w:sz w:val="17"/>
          <w:szCs w:val="17"/>
          <w:color w:val="auto"/>
        </w:rPr>
        <w:t>” means any contract, subcontract, agreement, binding commitment, note, bond, mortgage, indenture, lease, license, sublicense, franchise or other legally binding instrument, obligation or arrangement, whether oral or in writing.</w:t>
      </w:r>
    </w:p>
    <w:p>
      <w:pPr>
        <w:spacing w:after="0" w:line="12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Debt Documents</w:t>
      </w:r>
      <w:r>
        <w:rPr>
          <w:rFonts w:ascii="Times New Roman" w:cs="Times New Roman" w:eastAsia="Times New Roman" w:hAnsi="Times New Roman"/>
          <w:sz w:val="17"/>
          <w:szCs w:val="17"/>
          <w:color w:val="auto"/>
        </w:rPr>
        <w:t>” means any definitive agreement with respect to the Debt Financing.</w:t>
      </w:r>
    </w:p>
    <w:p>
      <w:pPr>
        <w:spacing w:after="0" w:line="19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Debt Financing</w:t>
      </w:r>
      <w:r>
        <w:rPr>
          <w:rFonts w:ascii="Times New Roman" w:cs="Times New Roman" w:eastAsia="Times New Roman" w:hAnsi="Times New Roman"/>
          <w:sz w:val="17"/>
          <w:szCs w:val="17"/>
          <w:color w:val="auto"/>
        </w:rPr>
        <w:t>” has the meaning set forth in Section‎ 6.16(c).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2527300</wp:posOffset>
            </wp:positionH>
            <wp:positionV relativeFrom="paragraph">
              <wp:posOffset>-5080</wp:posOffset>
            </wp:positionV>
            <wp:extent cx="635635" cy="76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35635" cy="7620"/>
                    </a:xfrm>
                    <a:prstGeom prst="rect">
                      <a:avLst/>
                    </a:prstGeom>
                    <a:noFill/>
                  </pic:spPr>
                </pic:pic>
              </a:graphicData>
            </a:graphic>
          </wp:anchor>
        </w:drawing>
      </w:r>
    </w:p>
    <w:p>
      <w:pPr>
        <w:spacing w:after="0" w:line="175" w:lineRule="exact"/>
        <w:rPr>
          <w:sz w:val="20"/>
          <w:szCs w:val="20"/>
          <w:color w:val="auto"/>
        </w:rPr>
      </w:pPr>
    </w:p>
    <w:p>
      <w:pPr>
        <w:jc w:val="both"/>
        <w:ind w:right="20" w:firstLine="751"/>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Debt Financing Sources</w:t>
      </w:r>
      <w:r>
        <w:rPr>
          <w:rFonts w:ascii="Times New Roman" w:cs="Times New Roman" w:eastAsia="Times New Roman" w:hAnsi="Times New Roman"/>
          <w:sz w:val="17"/>
          <w:szCs w:val="17"/>
          <w:color w:val="auto"/>
        </w:rPr>
        <w:t>” means any agent, arranger, lender or other entity that has committed to provide, arrange, underwrite or place, or has entered into definitive agreements related to, the Debt Financing, and the parties to any joinder agreements, amendments or credit agreements entered into pursuant thereto or relating thereto.</w:t>
      </w:r>
    </w:p>
    <w:p>
      <w:pPr>
        <w:spacing w:after="0" w:line="14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DXL Bylaws</w:t>
      </w:r>
      <w:r>
        <w:rPr>
          <w:rFonts w:ascii="Times New Roman" w:cs="Times New Roman" w:eastAsia="Times New Roman" w:hAnsi="Times New Roman"/>
          <w:sz w:val="17"/>
          <w:szCs w:val="17"/>
          <w:color w:val="auto"/>
        </w:rPr>
        <w:t>” means the Fourth Amended and Restated Bylaws of DXL, as amended and in effect as of the date hereof.</w:t>
      </w:r>
    </w:p>
    <w:p>
      <w:pPr>
        <w:spacing w:after="0" w:line="19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DXL CapEx Budget</w:t>
      </w:r>
      <w:r>
        <w:rPr>
          <w:rFonts w:ascii="Times New Roman" w:cs="Times New Roman" w:eastAsia="Times New Roman" w:hAnsi="Times New Roman"/>
          <w:sz w:val="17"/>
          <w:szCs w:val="17"/>
          <w:color w:val="auto"/>
        </w:rPr>
        <w:t>” means that certain capital expenditures budget of DXL and its Subsidiaries set forth in ‎Section 5.02(i) of the DXL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5421630</wp:posOffset>
            </wp:positionH>
            <wp:positionV relativeFrom="paragraph">
              <wp:posOffset>-5080</wp:posOffset>
            </wp:positionV>
            <wp:extent cx="654050" cy="762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54050" cy="762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Schedule.</w:t>
      </w:r>
    </w:p>
    <w:p>
      <w:pPr>
        <w:spacing w:after="0" w:line="17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DXL Charter</w:t>
      </w:r>
      <w:r>
        <w:rPr>
          <w:rFonts w:ascii="Times New Roman" w:cs="Times New Roman" w:eastAsia="Times New Roman" w:hAnsi="Times New Roman"/>
          <w:sz w:val="17"/>
          <w:szCs w:val="17"/>
          <w:color w:val="auto"/>
        </w:rPr>
        <w:t>” means the Restated Certificate of Incorporation of DXL, as amended and in effect as of the date hereof.</w:t>
      </w:r>
    </w:p>
    <w:p>
      <w:pPr>
        <w:spacing w:after="0" w:line="19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DXL Common Stock</w:t>
      </w:r>
      <w:r>
        <w:rPr>
          <w:rFonts w:ascii="Times New Roman" w:cs="Times New Roman" w:eastAsia="Times New Roman" w:hAnsi="Times New Roman"/>
          <w:sz w:val="17"/>
          <w:szCs w:val="17"/>
          <w:color w:val="auto"/>
        </w:rPr>
        <w:t>” means the common stock of DXL, par value $0.01 per share.</w:t>
      </w:r>
    </w:p>
    <w:p>
      <w:pPr>
        <w:spacing w:after="0" w:line="19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DXL Deferred Stock Award</w:t>
      </w:r>
      <w:r>
        <w:rPr>
          <w:rFonts w:ascii="Times New Roman" w:cs="Times New Roman" w:eastAsia="Times New Roman" w:hAnsi="Times New Roman"/>
          <w:sz w:val="17"/>
          <w:szCs w:val="17"/>
          <w:color w:val="auto"/>
        </w:rPr>
        <w:t>” means each award of deferred DXL Common Stock granted to non-employee directors under the DXL Equity Plans.</w:t>
      </w:r>
    </w:p>
    <w:p>
      <w:pPr>
        <w:spacing w:after="0" w:line="195" w:lineRule="exact"/>
        <w:rPr>
          <w:sz w:val="20"/>
          <w:szCs w:val="20"/>
          <w:color w:val="auto"/>
        </w:rPr>
      </w:pPr>
    </w:p>
    <w:p>
      <w:pPr>
        <w:jc w:val="both"/>
        <w:ind w:right="20" w:firstLine="751"/>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DXL Disclosure Schedule</w:t>
      </w:r>
      <w:r>
        <w:rPr>
          <w:rFonts w:ascii="Times New Roman" w:cs="Times New Roman" w:eastAsia="Times New Roman" w:hAnsi="Times New Roman"/>
          <w:sz w:val="17"/>
          <w:szCs w:val="17"/>
          <w:color w:val="auto"/>
        </w:rPr>
        <w:t>” means the disclosure schedule delivered by DXL and Merger Sub to FBB in connection with the execution of this Agreement.</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87" w:name="page88"/>
    <w:bookmarkEnd w:id="87"/>
    <w:p>
      <w:pPr>
        <w:ind w:left="745"/>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DXL Equity Plans</w:t>
      </w:r>
      <w:r>
        <w:rPr>
          <w:rFonts w:ascii="Times New Roman" w:cs="Times New Roman" w:eastAsia="Times New Roman" w:hAnsi="Times New Roman"/>
          <w:sz w:val="17"/>
          <w:szCs w:val="17"/>
          <w:color w:val="auto"/>
        </w:rPr>
        <w:t>” means (i) the 2006 Incentive Compensation Plan, as amended and/or restated from time to time, and any successor plan thereto,</w:t>
      </w:r>
    </w:p>
    <w:p>
      <w:pPr>
        <w:spacing w:after="0" w:line="26" w:lineRule="exact"/>
        <w:rPr>
          <w:sz w:val="20"/>
          <w:szCs w:val="20"/>
          <w:color w:val="auto"/>
        </w:rPr>
      </w:pPr>
    </w:p>
    <w:p>
      <w:pPr>
        <w:jc w:val="both"/>
        <w:ind w:left="5" w:hanging="5"/>
        <w:spacing w:after="0" w:line="253" w:lineRule="auto"/>
        <w:tabs>
          <w:tab w:leader="none" w:pos="263"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Second Amended and Restated 2016 Incentive Compensation Plan, as amended and/or restated from time to time, and any successor plan thereto, (iii) the Fourth Amended and Restated Long Term Incentive Plan, and (iv) the Seventh Amended and Restated Non-Employee Director Compensation Plan, as amended and/or restated from time to time, and any successor plan thereto.</w:t>
      </w:r>
    </w:p>
    <w:p>
      <w:pPr>
        <w:spacing w:after="0" w:line="154" w:lineRule="exact"/>
        <w:rPr>
          <w:sz w:val="20"/>
          <w:szCs w:val="20"/>
          <w:color w:val="auto"/>
        </w:rPr>
      </w:pPr>
    </w:p>
    <w:p>
      <w:pPr>
        <w:jc w:val="both"/>
        <w:ind w:left="5" w:right="20" w:firstLine="751"/>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DXL ERISA Affiliate</w:t>
      </w:r>
      <w:r>
        <w:rPr>
          <w:rFonts w:ascii="Times New Roman" w:cs="Times New Roman" w:eastAsia="Times New Roman" w:hAnsi="Times New Roman"/>
          <w:sz w:val="17"/>
          <w:szCs w:val="17"/>
          <w:color w:val="auto"/>
        </w:rPr>
        <w:t>” means all employers (whether or not incorporated) that would be treated together with DXL or any of its Subsidiaries as a “single employer” within the meaning of Section 414 of the Code and/or Section 4001(b)(1) of ERISA.</w:t>
      </w:r>
    </w:p>
    <w:p>
      <w:pPr>
        <w:spacing w:after="0" w:line="129"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DXL IP Rights</w:t>
      </w:r>
      <w:r>
        <w:rPr>
          <w:rFonts w:ascii="Times New Roman" w:cs="Times New Roman" w:eastAsia="Times New Roman" w:hAnsi="Times New Roman"/>
          <w:sz w:val="17"/>
          <w:szCs w:val="17"/>
          <w:color w:val="auto"/>
        </w:rPr>
        <w:t>” means all Intellectual Property Rights owned or purported to be owned by DXL or any of the DXL Subsidiaries.</w:t>
      </w:r>
    </w:p>
    <w:p>
      <w:pPr>
        <w:spacing w:after="0" w:line="195"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DXL Option</w:t>
      </w:r>
      <w:r>
        <w:rPr>
          <w:rFonts w:ascii="Times New Roman" w:cs="Times New Roman" w:eastAsia="Times New Roman" w:hAnsi="Times New Roman"/>
          <w:sz w:val="17"/>
          <w:szCs w:val="17"/>
          <w:color w:val="auto"/>
        </w:rPr>
        <w:t>” means each option to purchase shares of DXL Common Stock granted under the DXL Equity Plans.</w:t>
      </w:r>
    </w:p>
    <w:p>
      <w:pPr>
        <w:spacing w:after="0" w:line="195"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DXL Performance Share Award</w:t>
      </w:r>
      <w:r>
        <w:rPr>
          <w:rFonts w:ascii="Times New Roman" w:cs="Times New Roman" w:eastAsia="Times New Roman" w:hAnsi="Times New Roman"/>
          <w:sz w:val="17"/>
          <w:szCs w:val="17"/>
          <w:color w:val="auto"/>
        </w:rPr>
        <w:t>” means each performance share award with respect to shares of DXL Common Stock granted under the DXL Equity</w:t>
      </w:r>
    </w:p>
    <w:p>
      <w:pPr>
        <w:spacing w:after="0" w:line="2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auto"/>
        </w:rPr>
        <w:t>Plans.</w:t>
      </w:r>
    </w:p>
    <w:p>
      <w:pPr>
        <w:spacing w:after="0" w:line="175"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DXL Preferred Stock</w:t>
      </w:r>
      <w:r>
        <w:rPr>
          <w:rFonts w:ascii="Times New Roman" w:cs="Times New Roman" w:eastAsia="Times New Roman" w:hAnsi="Times New Roman"/>
          <w:sz w:val="17"/>
          <w:szCs w:val="17"/>
          <w:color w:val="auto"/>
        </w:rPr>
        <w:t>” means the preferred stock of DXL, par value $0.01 per share.</w:t>
      </w:r>
    </w:p>
    <w:p>
      <w:pPr>
        <w:spacing w:after="0" w:line="195" w:lineRule="exact"/>
        <w:rPr>
          <w:sz w:val="20"/>
          <w:szCs w:val="20"/>
          <w:color w:val="auto"/>
        </w:rPr>
      </w:pPr>
    </w:p>
    <w:p>
      <w:pPr>
        <w:jc w:val="both"/>
        <w:ind w:left="5" w:firstLine="751"/>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DXL Restricted Employee</w:t>
      </w:r>
      <w:r>
        <w:rPr>
          <w:rFonts w:ascii="Times New Roman" w:cs="Times New Roman" w:eastAsia="Times New Roman" w:hAnsi="Times New Roman"/>
          <w:sz w:val="17"/>
          <w:szCs w:val="17"/>
          <w:color w:val="auto"/>
        </w:rPr>
        <w:t>” means any employee of DXL whose annual base compensation is excess of $300,000, that is an “officer” as defined under Section 16(a) of the Exchange Act, or any other employee of DXL with the title of “senior vice president” or a substantially equivalent title.</w:t>
      </w:r>
    </w:p>
    <w:p>
      <w:pPr>
        <w:spacing w:after="0" w:line="129" w:lineRule="exact"/>
        <w:rPr>
          <w:sz w:val="20"/>
          <w:szCs w:val="20"/>
          <w:color w:val="auto"/>
        </w:rPr>
      </w:pPr>
    </w:p>
    <w:p>
      <w:pPr>
        <w:jc w:val="both"/>
        <w:ind w:left="5" w:right="20" w:firstLine="751"/>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DXL Restricted Stock Unit Award</w:t>
      </w:r>
      <w:r>
        <w:rPr>
          <w:rFonts w:ascii="Times New Roman" w:cs="Times New Roman" w:eastAsia="Times New Roman" w:hAnsi="Times New Roman"/>
          <w:sz w:val="17"/>
          <w:szCs w:val="17"/>
          <w:color w:val="auto"/>
        </w:rPr>
        <w:t>” means each time-vesting restricted stock unit award in respect of DXL Common Stock granted under the DXL Equity Plans.</w:t>
      </w:r>
    </w:p>
    <w:p>
      <w:pPr>
        <w:spacing w:after="0" w:line="129" w:lineRule="exact"/>
        <w:rPr>
          <w:sz w:val="20"/>
          <w:szCs w:val="20"/>
          <w:color w:val="auto"/>
        </w:rPr>
      </w:pPr>
    </w:p>
    <w:p>
      <w:pPr>
        <w:jc w:val="both"/>
        <w:ind w:left="5" w:firstLine="751"/>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DXL Stock Price</w:t>
      </w:r>
      <w:r>
        <w:rPr>
          <w:rFonts w:ascii="Times New Roman" w:cs="Times New Roman" w:eastAsia="Times New Roman" w:hAnsi="Times New Roman"/>
          <w:sz w:val="17"/>
          <w:szCs w:val="17"/>
          <w:color w:val="auto"/>
        </w:rPr>
        <w:t>” means the dollar value of the average of the daily volume-weighted average sales price per share of DXL Common Stock, as such daily volume-weighted average sales price per share is reported by Bloomberg L.P., calculated to four decimal places and determined without regard to after-hours trading or any other trading outside the regular trading session trading hours, for each of the ten (10) consecutive trading days immediately preceding the trading day two (2) days prior to the Closing Date.</w:t>
      </w:r>
    </w:p>
    <w:p>
      <w:pPr>
        <w:spacing w:after="0" w:line="150" w:lineRule="exact"/>
        <w:rPr>
          <w:sz w:val="20"/>
          <w:szCs w:val="20"/>
          <w:color w:val="auto"/>
        </w:rPr>
      </w:pPr>
    </w:p>
    <w:p>
      <w:pPr>
        <w:jc w:val="both"/>
        <w:ind w:left="5" w:right="20" w:firstLine="751"/>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DXL Top Supplier</w:t>
      </w:r>
      <w:r>
        <w:rPr>
          <w:rFonts w:ascii="Times New Roman" w:cs="Times New Roman" w:eastAsia="Times New Roman" w:hAnsi="Times New Roman"/>
          <w:sz w:val="17"/>
          <w:szCs w:val="17"/>
          <w:color w:val="auto"/>
        </w:rPr>
        <w:t>” shall mean a top twenty vendor or supplier of DXL and its Subsidiaries, taken as a whole, based on expenditures during the twelve months ended December 31, 2025.</w:t>
      </w:r>
    </w:p>
    <w:p>
      <w:pPr>
        <w:spacing w:after="0" w:line="129" w:lineRule="exact"/>
        <w:rPr>
          <w:sz w:val="20"/>
          <w:szCs w:val="20"/>
          <w:color w:val="auto"/>
        </w:rPr>
      </w:pPr>
    </w:p>
    <w:p>
      <w:pPr>
        <w:jc w:val="both"/>
        <w:ind w:left="5" w:right="20" w:firstLine="751"/>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Equity Documents</w:t>
      </w:r>
      <w:r>
        <w:rPr>
          <w:rFonts w:ascii="Times New Roman" w:cs="Times New Roman" w:eastAsia="Times New Roman" w:hAnsi="Times New Roman"/>
          <w:sz w:val="17"/>
          <w:szCs w:val="17"/>
          <w:color w:val="auto"/>
        </w:rPr>
        <w:t>” means any definitive agreement with respect to the Pre-Closing Investment, including the Commitment and Subscription Agreements.</w:t>
      </w:r>
    </w:p>
    <w:p>
      <w:pPr>
        <w:spacing w:after="0" w:line="129"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Equity Interest</w:t>
      </w:r>
      <w:r>
        <w:rPr>
          <w:rFonts w:ascii="Times New Roman" w:cs="Times New Roman" w:eastAsia="Times New Roman" w:hAnsi="Times New Roman"/>
          <w:sz w:val="17"/>
          <w:szCs w:val="17"/>
          <w:color w:val="auto"/>
        </w:rPr>
        <w:t>” of any Person means any (i) capital stock, membership or partnership interest, unit or other ownership interest of or in such Person,</w:t>
      </w:r>
    </w:p>
    <w:p>
      <w:pPr>
        <w:spacing w:after="0" w:line="26" w:lineRule="exact"/>
        <w:rPr>
          <w:sz w:val="20"/>
          <w:szCs w:val="20"/>
          <w:color w:val="auto"/>
        </w:rPr>
      </w:pPr>
    </w:p>
    <w:p>
      <w:pPr>
        <w:jc w:val="both"/>
        <w:ind w:left="5" w:hanging="5"/>
        <w:spacing w:after="0" w:line="251" w:lineRule="auto"/>
        <w:tabs>
          <w:tab w:leader="none" w:pos="285"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securities directly or indirectly convertible into or exchangeable for any for the foregoing, (iii) options, warrants or other rights directly or indirectly to purchase or subscribe for any of the foregoing or securities convertible into or exchangeable for any of the foregoing or (iv) Contracts, commitments, and agreements relating to the issuance of any of the foregoing or giving any Person the right to participate in or receive any payment based on the profits or performance of such Person (including any equity appreciation, phantom equity or similar plan or right).</w:t>
      </w:r>
    </w:p>
    <w:p>
      <w:pPr>
        <w:spacing w:after="0" w:line="156"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means the Securities Exchange Act of 1934, as amended, including the rules and regulations promulgated thereunder.</w:t>
      </w:r>
    </w:p>
    <w:p>
      <w:pPr>
        <w:spacing w:after="0" w:line="200" w:lineRule="exact"/>
        <w:rPr>
          <w:sz w:val="20"/>
          <w:szCs w:val="20"/>
          <w:color w:val="auto"/>
        </w:rPr>
      </w:pPr>
    </w:p>
    <w:p>
      <w:pPr>
        <w:spacing w:after="0" w:line="377"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54" w:right="319" w:bottom="1440" w:gutter="0" w:footer="0" w:header="0"/>
        </w:sectPr>
      </w:pPr>
    </w:p>
    <w:bookmarkStart w:id="88" w:name="page89"/>
    <w:bookmarkEnd w:id="88"/>
    <w:p>
      <w:pPr>
        <w:jc w:val="both"/>
        <w:ind w:right="20" w:firstLine="751"/>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 Ratio</w:t>
      </w:r>
      <w:r>
        <w:rPr>
          <w:rFonts w:ascii="Times New Roman" w:cs="Times New Roman" w:eastAsia="Times New Roman" w:hAnsi="Times New Roman"/>
          <w:sz w:val="17"/>
          <w:szCs w:val="17"/>
          <w:color w:val="auto"/>
        </w:rPr>
        <w:t>” means the New Issuance divided by the number of shares of FBB Common Stock issued and outstanding immediately prior to the Effective Time.</w:t>
      </w:r>
    </w:p>
    <w:p>
      <w:pPr>
        <w:spacing w:after="0" w:line="129" w:lineRule="exact"/>
        <w:rPr>
          <w:sz w:val="20"/>
          <w:szCs w:val="20"/>
          <w:color w:val="auto"/>
        </w:rPr>
      </w:pPr>
    </w:p>
    <w:p>
      <w:pPr>
        <w:jc w:val="both"/>
        <w:ind w:firstLine="751"/>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Existing DXL ABL Agreement</w:t>
      </w:r>
      <w:r>
        <w:rPr>
          <w:rFonts w:ascii="Times New Roman" w:cs="Times New Roman" w:eastAsia="Times New Roman" w:hAnsi="Times New Roman"/>
          <w:sz w:val="17"/>
          <w:szCs w:val="17"/>
          <w:color w:val="auto"/>
        </w:rPr>
        <w:t>” means that certain Credit Agreement, dated as of October 28, 2021, among Destination XL Group, Inc., as Lead Borrower, the other Borrowers and Guarantors party thereto, the lenders from time to time party thereto, and Citizens Bank, N.A., as Administrative Agent and Collateral Agent (as amended, restated, supplemented or otherwise modified from time to time prior to the date of this Agreement).</w:t>
      </w:r>
    </w:p>
    <w:p>
      <w:pPr>
        <w:spacing w:after="0" w:line="145" w:lineRule="exact"/>
        <w:rPr>
          <w:sz w:val="20"/>
          <w:szCs w:val="20"/>
          <w:color w:val="auto"/>
        </w:rPr>
      </w:pPr>
    </w:p>
    <w:p>
      <w:pPr>
        <w:jc w:val="both"/>
        <w:ind w:firstLine="751"/>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Existing FBB ABL Agreement</w:t>
      </w:r>
      <w:r>
        <w:rPr>
          <w:rFonts w:ascii="Times New Roman" w:cs="Times New Roman" w:eastAsia="Times New Roman" w:hAnsi="Times New Roman"/>
          <w:sz w:val="17"/>
          <w:szCs w:val="17"/>
          <w:color w:val="auto"/>
        </w:rPr>
        <w:t>” means that certain ABL Credit Agreement, dated as of February 7, 2019, among FBB Holdings III, Inc., the other borrowers party thereto, FBB Holdings II, Inc., the lenders party thereto and Citizens Bank, N.A., as administrative agent and collateral agent, as amended, restated, supplemented or otherwise modified prior to the date of this Agreement.</w:t>
      </w:r>
    </w:p>
    <w:p>
      <w:pPr>
        <w:spacing w:after="0" w:line="14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Existing Term Loan Facility</w:t>
      </w:r>
      <w:r>
        <w:rPr>
          <w:rFonts w:ascii="Times New Roman" w:cs="Times New Roman" w:eastAsia="Times New Roman" w:hAnsi="Times New Roman"/>
          <w:sz w:val="17"/>
          <w:szCs w:val="17"/>
          <w:color w:val="auto"/>
        </w:rPr>
        <w:t>” has the meaning set forth in the definition of “</w:t>
      </w:r>
      <w:r>
        <w:rPr>
          <w:rFonts w:ascii="Times New Roman" w:cs="Times New Roman" w:eastAsia="Times New Roman" w:hAnsi="Times New Roman"/>
          <w:sz w:val="17"/>
          <w:szCs w:val="17"/>
          <w:u w:val="single" w:color="auto"/>
          <w:color w:val="auto"/>
        </w:rPr>
        <w:t>A&amp;R Term Loan Facility</w:t>
      </w:r>
      <w:r>
        <w:rPr>
          <w:rFonts w:ascii="Times New Roman" w:cs="Times New Roman" w:eastAsia="Times New Roman" w:hAnsi="Times New Roman"/>
          <w:sz w:val="17"/>
          <w:szCs w:val="17"/>
          <w:color w:val="auto"/>
        </w:rPr>
        <w:t>”.</w:t>
      </w:r>
    </w:p>
    <w:p>
      <w:pPr>
        <w:spacing w:after="0" w:line="19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FBB Bylaws</w:t>
      </w:r>
      <w:r>
        <w:rPr>
          <w:rFonts w:ascii="Times New Roman" w:cs="Times New Roman" w:eastAsia="Times New Roman" w:hAnsi="Times New Roman"/>
          <w:sz w:val="17"/>
          <w:szCs w:val="17"/>
          <w:color w:val="auto"/>
        </w:rPr>
        <w:t>” means the Amended and Restated Bylaws of FBB, as amended and in effect as of the date hereof.</w:t>
      </w:r>
    </w:p>
    <w:p>
      <w:pPr>
        <w:spacing w:after="0" w:line="19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FBB CapEx Budget</w:t>
      </w:r>
      <w:r>
        <w:rPr>
          <w:rFonts w:ascii="Times New Roman" w:cs="Times New Roman" w:eastAsia="Times New Roman" w:hAnsi="Times New Roman"/>
          <w:sz w:val="17"/>
          <w:szCs w:val="17"/>
          <w:color w:val="auto"/>
        </w:rPr>
        <w:t>” means that certain capital expenditures budget of FBB and its Subsidiaries set forth in Section‎ 5.03(i) of the FBB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5429885</wp:posOffset>
            </wp:positionH>
            <wp:positionV relativeFrom="paragraph">
              <wp:posOffset>-5080</wp:posOffset>
            </wp:positionV>
            <wp:extent cx="661670" cy="762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61670" cy="762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Schedule.</w:t>
      </w:r>
    </w:p>
    <w:p>
      <w:pPr>
        <w:spacing w:after="0" w:line="17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FBB Charter</w:t>
      </w:r>
      <w:r>
        <w:rPr>
          <w:rFonts w:ascii="Times New Roman" w:cs="Times New Roman" w:eastAsia="Times New Roman" w:hAnsi="Times New Roman"/>
          <w:sz w:val="17"/>
          <w:szCs w:val="17"/>
          <w:color w:val="auto"/>
        </w:rPr>
        <w:t>” means the Amended and Restated Certificate of Incorporation of FBB, as amended and in effect as of the date hereof.</w:t>
      </w:r>
    </w:p>
    <w:p>
      <w:pPr>
        <w:spacing w:after="0" w:line="19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FBB Common Stock</w:t>
      </w:r>
      <w:r>
        <w:rPr>
          <w:rFonts w:ascii="Times New Roman" w:cs="Times New Roman" w:eastAsia="Times New Roman" w:hAnsi="Times New Roman"/>
          <w:sz w:val="17"/>
          <w:szCs w:val="17"/>
          <w:color w:val="auto"/>
        </w:rPr>
        <w:t>” means the common stock of FBB, par value $0.01 per share.</w:t>
      </w:r>
    </w:p>
    <w:p>
      <w:pPr>
        <w:spacing w:after="0" w:line="195" w:lineRule="exact"/>
        <w:rPr>
          <w:sz w:val="20"/>
          <w:szCs w:val="20"/>
          <w:color w:val="auto"/>
        </w:rPr>
      </w:pPr>
    </w:p>
    <w:p>
      <w:pPr>
        <w:jc w:val="both"/>
        <w:ind w:right="20" w:firstLine="751"/>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FBB Disclosure Schedule</w:t>
      </w:r>
      <w:r>
        <w:rPr>
          <w:rFonts w:ascii="Times New Roman" w:cs="Times New Roman" w:eastAsia="Times New Roman" w:hAnsi="Times New Roman"/>
          <w:sz w:val="17"/>
          <w:szCs w:val="17"/>
          <w:color w:val="auto"/>
        </w:rPr>
        <w:t>” means the disclosure schedule delivered by FBB to DXL and Merger Sub in connection with the execution of this Agreement.</w:t>
      </w:r>
    </w:p>
    <w:p>
      <w:pPr>
        <w:spacing w:after="0" w:line="12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FBB Equity Plan</w:t>
      </w:r>
      <w:r>
        <w:rPr>
          <w:rFonts w:ascii="Times New Roman" w:cs="Times New Roman" w:eastAsia="Times New Roman" w:hAnsi="Times New Roman"/>
          <w:sz w:val="17"/>
          <w:szCs w:val="17"/>
          <w:color w:val="auto"/>
        </w:rPr>
        <w:t>” means the 2019 Management Incentive Plan of FBB Holdings I, Inc., as amended and in effect as of the date hereof.</w:t>
      </w:r>
    </w:p>
    <w:p>
      <w:pPr>
        <w:spacing w:after="0" w:line="195" w:lineRule="exact"/>
        <w:rPr>
          <w:sz w:val="20"/>
          <w:szCs w:val="20"/>
          <w:color w:val="auto"/>
        </w:rPr>
      </w:pPr>
    </w:p>
    <w:p>
      <w:pPr>
        <w:jc w:val="both"/>
        <w:ind w:right="20" w:firstLine="751"/>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FBB ERISA Affiliate</w:t>
      </w:r>
      <w:r>
        <w:rPr>
          <w:rFonts w:ascii="Times New Roman" w:cs="Times New Roman" w:eastAsia="Times New Roman" w:hAnsi="Times New Roman"/>
          <w:sz w:val="17"/>
          <w:szCs w:val="17"/>
          <w:color w:val="auto"/>
        </w:rPr>
        <w:t>” means all employers (whether or not incorporated) that would be treated together with FBB as a “single employer” within the meaning of Section 414 of the Code and/or Section 4001(b)(1) of ERISA.</w:t>
      </w:r>
    </w:p>
    <w:p>
      <w:pPr>
        <w:spacing w:after="0" w:line="12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FBB Investors</w:t>
      </w:r>
      <w:r>
        <w:rPr>
          <w:rFonts w:ascii="Times New Roman" w:cs="Times New Roman" w:eastAsia="Times New Roman" w:hAnsi="Times New Roman"/>
          <w:sz w:val="17"/>
          <w:szCs w:val="17"/>
          <w:color w:val="auto"/>
        </w:rPr>
        <w:t>” means Persons that have entered into Commitment and Subscription Agreements to acquire shares of FBB Common Stock.</w:t>
      </w:r>
    </w:p>
    <w:p>
      <w:pPr>
        <w:spacing w:after="0" w:line="19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FBB IP Rights</w:t>
      </w:r>
      <w:r>
        <w:rPr>
          <w:rFonts w:ascii="Times New Roman" w:cs="Times New Roman" w:eastAsia="Times New Roman" w:hAnsi="Times New Roman"/>
          <w:sz w:val="17"/>
          <w:szCs w:val="17"/>
          <w:color w:val="auto"/>
        </w:rPr>
        <w:t>” means all Intellectual Property Rights owned or purported to be owned by FBB or any of the FBB Subsidiaries.</w:t>
      </w:r>
    </w:p>
    <w:p>
      <w:pPr>
        <w:spacing w:after="0" w:line="19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FBB Preferred Stock</w:t>
      </w:r>
      <w:r>
        <w:rPr>
          <w:rFonts w:ascii="Times New Roman" w:cs="Times New Roman" w:eastAsia="Times New Roman" w:hAnsi="Times New Roman"/>
          <w:sz w:val="17"/>
          <w:szCs w:val="17"/>
          <w:color w:val="auto"/>
        </w:rPr>
        <w:t>” means the preferred stock of FBB, par value $0.01 per share.</w:t>
      </w:r>
    </w:p>
    <w:p>
      <w:pPr>
        <w:spacing w:after="0" w:line="195" w:lineRule="exact"/>
        <w:rPr>
          <w:sz w:val="20"/>
          <w:szCs w:val="20"/>
          <w:color w:val="auto"/>
        </w:rPr>
      </w:pPr>
    </w:p>
    <w:p>
      <w:pPr>
        <w:jc w:val="both"/>
        <w:ind w:right="20" w:firstLine="751"/>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FBB Restricted Employee</w:t>
      </w:r>
      <w:r>
        <w:rPr>
          <w:rFonts w:ascii="Times New Roman" w:cs="Times New Roman" w:eastAsia="Times New Roman" w:hAnsi="Times New Roman"/>
          <w:sz w:val="17"/>
          <w:szCs w:val="17"/>
          <w:color w:val="auto"/>
        </w:rPr>
        <w:t>” means any employee of FBB whose annual base compensation is excess of $300,000 or any other employee of FBB with the title of “senior vice president” or a substantially equivalent title.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89" w:name="page90"/>
    <w:bookmarkEnd w:id="89"/>
    <w:p>
      <w:pPr>
        <w:ind w:left="7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FBB Restricted Stock Award</w:t>
      </w:r>
      <w:r>
        <w:rPr>
          <w:rFonts w:ascii="Times New Roman" w:cs="Times New Roman" w:eastAsia="Times New Roman" w:hAnsi="Times New Roman"/>
          <w:sz w:val="17"/>
          <w:szCs w:val="17"/>
          <w:color w:val="auto"/>
        </w:rPr>
        <w:t>” means each award in respect of a share of FBB Common Stock subject to vesting, repurchase or other lapse restriction.</w:t>
      </w:r>
    </w:p>
    <w:p>
      <w:pPr>
        <w:spacing w:after="0" w:line="19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FBB Significant Stockholders</w:t>
      </w:r>
      <w:r>
        <w:rPr>
          <w:rFonts w:ascii="Times New Roman" w:cs="Times New Roman" w:eastAsia="Times New Roman" w:hAnsi="Times New Roman"/>
          <w:sz w:val="17"/>
          <w:szCs w:val="17"/>
          <w:color w:val="auto"/>
        </w:rPr>
        <w:t>” means, collectively, the FBB Investors.</w:t>
      </w:r>
    </w:p>
    <w:p>
      <w:pPr>
        <w:spacing w:after="0" w:line="19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FBB Stockholder</w:t>
      </w:r>
      <w:r>
        <w:rPr>
          <w:rFonts w:ascii="Times New Roman" w:cs="Times New Roman" w:eastAsia="Times New Roman" w:hAnsi="Times New Roman"/>
          <w:sz w:val="17"/>
          <w:szCs w:val="17"/>
          <w:color w:val="auto"/>
        </w:rPr>
        <w:t>” means any Person who is a holder of FBB Common Stock.</w:t>
      </w:r>
    </w:p>
    <w:p>
      <w:pPr>
        <w:spacing w:after="0" w:line="19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FBB Stockholders Agreement</w:t>
      </w:r>
      <w:r>
        <w:rPr>
          <w:rFonts w:ascii="Times New Roman" w:cs="Times New Roman" w:eastAsia="Times New Roman" w:hAnsi="Times New Roman"/>
          <w:sz w:val="17"/>
          <w:szCs w:val="17"/>
          <w:color w:val="auto"/>
        </w:rPr>
        <w:t>” means that certain Stockholders Agreement of FBB, dated as of February 7, 2019, as amended from time to time.</w:t>
      </w:r>
    </w:p>
    <w:p>
      <w:pPr>
        <w:spacing w:after="0" w:line="195" w:lineRule="exact"/>
        <w:rPr>
          <w:sz w:val="20"/>
          <w:szCs w:val="20"/>
          <w:color w:val="auto"/>
        </w:rPr>
      </w:pPr>
    </w:p>
    <w:p>
      <w:pPr>
        <w:jc w:val="both"/>
        <w:ind w:right="20" w:firstLine="751"/>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FBB Top Customer</w:t>
      </w:r>
      <w:r>
        <w:rPr>
          <w:rFonts w:ascii="Times New Roman" w:cs="Times New Roman" w:eastAsia="Times New Roman" w:hAnsi="Times New Roman"/>
          <w:sz w:val="17"/>
          <w:szCs w:val="17"/>
          <w:color w:val="auto"/>
        </w:rPr>
        <w:t>” shall mean a top twenty customer of FBB and its Subsidiaries, taken as a whole, based on revenues during the twelve months ended December 31, 2025.</w:t>
      </w:r>
    </w:p>
    <w:p>
      <w:pPr>
        <w:spacing w:after="0" w:line="129" w:lineRule="exact"/>
        <w:rPr>
          <w:sz w:val="20"/>
          <w:szCs w:val="20"/>
          <w:color w:val="auto"/>
        </w:rPr>
      </w:pPr>
    </w:p>
    <w:p>
      <w:pPr>
        <w:jc w:val="both"/>
        <w:ind w:right="20" w:firstLine="751"/>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FBB Top Supplier</w:t>
      </w:r>
      <w:r>
        <w:rPr>
          <w:rFonts w:ascii="Times New Roman" w:cs="Times New Roman" w:eastAsia="Times New Roman" w:hAnsi="Times New Roman"/>
          <w:sz w:val="17"/>
          <w:szCs w:val="17"/>
          <w:color w:val="auto"/>
        </w:rPr>
        <w:t>” shall mean a top twenty vendor or supplier of FBB and its Subsidiaries, taken as a whole, based on expenditures during the twelve months ended December 31, 2025.</w:t>
      </w:r>
    </w:p>
    <w:p>
      <w:pPr>
        <w:spacing w:after="0" w:line="12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FBB Warrants</w:t>
      </w:r>
      <w:r>
        <w:rPr>
          <w:rFonts w:ascii="Times New Roman" w:cs="Times New Roman" w:eastAsia="Times New Roman" w:hAnsi="Times New Roman"/>
          <w:sz w:val="17"/>
          <w:szCs w:val="17"/>
          <w:color w:val="auto"/>
        </w:rPr>
        <w:t>” means each warrant to purchase shares of FBB Common Stock.</w:t>
      </w:r>
    </w:p>
    <w:p>
      <w:pPr>
        <w:spacing w:after="0" w:line="19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Financing</w:t>
      </w:r>
      <w:r>
        <w:rPr>
          <w:rFonts w:ascii="Times New Roman" w:cs="Times New Roman" w:eastAsia="Times New Roman" w:hAnsi="Times New Roman"/>
          <w:sz w:val="17"/>
          <w:szCs w:val="17"/>
          <w:color w:val="auto"/>
        </w:rPr>
        <w:t>” means, collectively, (i) the Debt Financing and (ii) the Pre-Closing Investment.</w:t>
      </w:r>
    </w:p>
    <w:p>
      <w:pPr>
        <w:spacing w:after="0" w:line="195" w:lineRule="exact"/>
        <w:rPr>
          <w:sz w:val="20"/>
          <w:szCs w:val="20"/>
          <w:color w:val="auto"/>
        </w:rPr>
      </w:pPr>
    </w:p>
    <w:p>
      <w:pPr>
        <w:jc w:val="both"/>
        <w:ind w:right="20" w:firstLine="751"/>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Financing Related Parties</w:t>
      </w:r>
      <w:r>
        <w:rPr>
          <w:rFonts w:ascii="Times New Roman" w:cs="Times New Roman" w:eastAsia="Times New Roman" w:hAnsi="Times New Roman"/>
          <w:sz w:val="17"/>
          <w:szCs w:val="17"/>
          <w:color w:val="auto"/>
        </w:rPr>
        <w:t>” means the Financing Sources and any of such Person’s Affiliates or its or their respective officers, directors, employees or representatives, partners, trustees, shareholders, controlling Persons, agents, successors or assigns.</w:t>
      </w:r>
    </w:p>
    <w:p>
      <w:pPr>
        <w:spacing w:after="0" w:line="12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Financing Sources</w:t>
      </w:r>
      <w:r>
        <w:rPr>
          <w:rFonts w:ascii="Times New Roman" w:cs="Times New Roman" w:eastAsia="Times New Roman" w:hAnsi="Times New Roman"/>
          <w:sz w:val="17"/>
          <w:szCs w:val="17"/>
          <w:color w:val="auto"/>
        </w:rPr>
        <w:t>” means, collectively, (i) the Debt Financing Sources and (ii) the FBB Investors.</w:t>
      </w:r>
    </w:p>
    <w:p>
      <w:pPr>
        <w:spacing w:after="0" w:line="195" w:lineRule="exact"/>
        <w:rPr>
          <w:sz w:val="20"/>
          <w:szCs w:val="20"/>
          <w:color w:val="auto"/>
        </w:rPr>
      </w:pPr>
    </w:p>
    <w:p>
      <w:pPr>
        <w:jc w:val="both"/>
        <w:ind w:firstLine="751"/>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Fully Diluted DXL Shares</w:t>
      </w:r>
      <w:r>
        <w:rPr>
          <w:rFonts w:ascii="Times New Roman" w:cs="Times New Roman" w:eastAsia="Times New Roman" w:hAnsi="Times New Roman"/>
          <w:sz w:val="17"/>
          <w:szCs w:val="17"/>
          <w:color w:val="auto"/>
        </w:rPr>
        <w:t>” means the number of outstanding shares of DXL Common Stock as of immediately before the Effective Time on a fully-diluted, as converted and as exercised basis in accordance with the treasury stock method, including (i) shares of DXL Common Stock underlying outstanding exercisable DXL Options, (ii) shares of DXL Common Stock underlying outstanding DXL Restricted Stock Unit Awards, (iii) shares of DXL Common Stock underlying outstanding DXL Performance Share Awards and (iv) any other outstanding securities convertible into or exercisable for shares of DXL Common Stock.</w:t>
      </w:r>
    </w:p>
    <w:p>
      <w:pPr>
        <w:spacing w:after="0" w:line="357" w:lineRule="exact"/>
        <w:rPr>
          <w:sz w:val="20"/>
          <w:szCs w:val="20"/>
          <w:color w:val="auto"/>
        </w:rPr>
      </w:pPr>
    </w:p>
    <w:p>
      <w:pPr>
        <w:jc w:val="both"/>
        <w:ind w:firstLine="751"/>
        <w:spacing w:after="0" w:line="25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Indebtedness</w:t>
      </w:r>
      <w:r>
        <w:rPr>
          <w:rFonts w:ascii="Times New Roman" w:cs="Times New Roman" w:eastAsia="Times New Roman" w:hAnsi="Times New Roman"/>
          <w:sz w:val="17"/>
          <w:szCs w:val="17"/>
          <w:color w:val="auto"/>
        </w:rPr>
        <w:t>” means, with respect to any Person, all obligations (including all obligations in respect of principal, accrued interest, penalties, fees and premiums) of such Person, whether direct or indirect, (a) for borrowed money (including overdraft facilities), (b) for liabilities secured by any Lien existing on property owned or acquired and subject thereto, (c) evidenced by notes, bonds, debentures or similar Contracts, (d) for the deferred purchase price of property, goods or services, including in connection with the acquisition of any business or non-competition agreement (other than trade payables or accruals incurred in the ordinary course of business), (e) under capital leases (in accordance with GAAP), (f) in respect of letters of credit and bankers’ acceptances, (g) for Contracts relating to interest rate protection, swap agreements, factoring, hedging and collar agreements, (h) in the nature of premiums (prepayment or otherwise) or penalties in connection with the obligations described in clauses (a) through (g) above, and (i) in the nature of guarantees of the obligations described in clauses (a) through (g) above of any other Person.</w:t>
      </w:r>
    </w:p>
    <w:p>
      <w:pPr>
        <w:spacing w:after="0" w:line="156" w:lineRule="exact"/>
        <w:rPr>
          <w:sz w:val="20"/>
          <w:szCs w:val="20"/>
          <w:color w:val="auto"/>
        </w:rPr>
      </w:pPr>
    </w:p>
    <w:p>
      <w:pPr>
        <w:jc w:val="both"/>
        <w:ind w:firstLine="751"/>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Intellectual Property Rights</w:t>
      </w:r>
      <w:r>
        <w:rPr>
          <w:rFonts w:ascii="Times New Roman" w:cs="Times New Roman" w:eastAsia="Times New Roman" w:hAnsi="Times New Roman"/>
          <w:sz w:val="17"/>
          <w:szCs w:val="17"/>
          <w:color w:val="auto"/>
        </w:rPr>
        <w:t>” means all intellectual property and associated rights in any jurisdiction, including all (a) trademarks, service marks, trade names, corporate names, company names, business names, fictitious business names, trade styles, logos, slogans, trade dress and all other source or business identifiers and all applications and registrations and renewals for, and goodwill associated with</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90" w:name="page91"/>
    <w:bookmarkEnd w:id="90"/>
    <w:p>
      <w:pPr>
        <w:jc w:val="both"/>
        <w:spacing w:after="0" w:line="253" w:lineRule="auto"/>
        <w:rPr>
          <w:sz w:val="20"/>
          <w:szCs w:val="20"/>
          <w:color w:val="auto"/>
        </w:rPr>
      </w:pPr>
      <w:r>
        <w:rPr>
          <w:rFonts w:ascii="Times New Roman" w:cs="Times New Roman" w:eastAsia="Times New Roman" w:hAnsi="Times New Roman"/>
          <w:sz w:val="17"/>
          <w:szCs w:val="17"/>
          <w:color w:val="auto"/>
        </w:rPr>
        <w:t>and symbolized by, any of the foregoing, (b) Internet domain names (including top level domain names and global top level domain names) and social media identifiers, handles and tags, (c) patent disclosures, patent applications, patents and inventions (whether or not patentable) and all registrations, continuations, continuations-in-part, divisionals, re-examinations, renewals, extensions and reissues and counterparts thereof, (d) trade secrets and know-how, including all proprietary or confidential inventions, improvements, processes, methods, techniques, protocols, formulae, recipes, compositions, models, layouts, designs, drawings, plans, specifications, methodologies and other proprietary or other confidential information (collectively, “</w:t>
      </w:r>
      <w:r>
        <w:rPr>
          <w:rFonts w:ascii="Times New Roman" w:cs="Times New Roman" w:eastAsia="Times New Roman" w:hAnsi="Times New Roman"/>
          <w:sz w:val="17"/>
          <w:szCs w:val="17"/>
          <w:u w:val="single" w:color="auto"/>
          <w:color w:val="auto"/>
        </w:rPr>
        <w:t>Trade Secrets</w:t>
      </w:r>
      <w:r>
        <w:rPr>
          <w:rFonts w:ascii="Times New Roman" w:cs="Times New Roman" w:eastAsia="Times New Roman" w:hAnsi="Times New Roman"/>
          <w:sz w:val="17"/>
          <w:szCs w:val="17"/>
          <w:color w:val="auto"/>
        </w:rPr>
        <w:t>”), (e) works of authorship (whether or not copyrightable), copyrights and registrations and applications therefor, and all renewals, extensions, restorations and reversions thereof, including website content, product artwork, promotion and marketing materials, copyrights in software, databases and database rights, and (f) rights of publicity.</w:t>
      </w:r>
    </w:p>
    <w:p>
      <w:pPr>
        <w:spacing w:after="0" w:line="15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IRS</w:t>
      </w:r>
      <w:r>
        <w:rPr>
          <w:rFonts w:ascii="Times New Roman" w:cs="Times New Roman" w:eastAsia="Times New Roman" w:hAnsi="Times New Roman"/>
          <w:sz w:val="17"/>
          <w:szCs w:val="17"/>
          <w:color w:val="auto"/>
        </w:rPr>
        <w:t>” means the U.S. Internal Revenue Service.</w:t>
      </w:r>
    </w:p>
    <w:p>
      <w:pPr>
        <w:spacing w:after="0" w:line="195" w:lineRule="exact"/>
        <w:rPr>
          <w:sz w:val="20"/>
          <w:szCs w:val="20"/>
          <w:color w:val="auto"/>
        </w:rPr>
      </w:pPr>
    </w:p>
    <w:p>
      <w:pPr>
        <w:jc w:val="both"/>
        <w:ind w:firstLine="751"/>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IT Assets</w:t>
      </w:r>
      <w:r>
        <w:rPr>
          <w:rFonts w:ascii="Times New Roman" w:cs="Times New Roman" w:eastAsia="Times New Roman" w:hAnsi="Times New Roman"/>
          <w:sz w:val="17"/>
          <w:szCs w:val="17"/>
          <w:color w:val="auto"/>
        </w:rPr>
        <w:t>” means all computers, computer software, computer programs and applications (including mobile applications), and computerized databases in any form, including all source code and object code, firmware, hardware (including computers, servers, databases, telecommunications equipment), middleware, workstations, routers, hubs, switches, data communications lines, networks, platforms and other information technology equipment or systems.</w:t>
      </w:r>
    </w:p>
    <w:p>
      <w:pPr>
        <w:spacing w:after="0" w:line="14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Knowledge</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knowledge</w:t>
      </w:r>
      <w:r>
        <w:rPr>
          <w:rFonts w:ascii="Times New Roman" w:cs="Times New Roman" w:eastAsia="Times New Roman" w:hAnsi="Times New Roman"/>
          <w:sz w:val="17"/>
          <w:szCs w:val="17"/>
          <w:color w:val="auto"/>
        </w:rPr>
        <w:t>” means (i) with respect to FBB, the actual knowledge of those persons set forth on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9.03 of the FBB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5543550</wp:posOffset>
            </wp:positionH>
            <wp:positionV relativeFrom="paragraph">
              <wp:posOffset>-5080</wp:posOffset>
            </wp:positionV>
            <wp:extent cx="549910" cy="76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49910" cy="7620"/>
                    </a:xfrm>
                    <a:prstGeom prst="rect">
                      <a:avLst/>
                    </a:prstGeom>
                    <a:noFill/>
                  </pic:spPr>
                </pic:pic>
              </a:graphicData>
            </a:graphic>
          </wp:anchor>
        </w:drawing>
      </w:r>
    </w:p>
    <w:p>
      <w:pPr>
        <w:spacing w:after="0" w:line="6"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7"/>
          <w:szCs w:val="17"/>
          <w:color w:val="auto"/>
        </w:rPr>
        <w:t>Schedule and (ii) with respect to DXL, the actual knowledge of those persons set forth on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9.03 of the DXL Disclosure Schedule, in each case after reasonable inquiry of those employees who would reasonably be expected to have actual knowledge of the matter in question.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-162560</wp:posOffset>
            </wp:positionV>
            <wp:extent cx="557530" cy="762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57530" cy="7620"/>
                    </a:xfrm>
                    <a:prstGeom prst="rect">
                      <a:avLst/>
                    </a:prstGeom>
                    <a:noFill/>
                  </pic:spPr>
                </pic:pic>
              </a:graphicData>
            </a:graphic>
          </wp:anchor>
        </w:drawing>
      </w:r>
    </w:p>
    <w:p>
      <w:pPr>
        <w:spacing w:after="0" w:line="12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Lien</w:t>
      </w:r>
      <w:r>
        <w:rPr>
          <w:rFonts w:ascii="Times New Roman" w:cs="Times New Roman" w:eastAsia="Times New Roman" w:hAnsi="Times New Roman"/>
          <w:sz w:val="17"/>
          <w:szCs w:val="17"/>
          <w:color w:val="auto"/>
        </w:rPr>
        <w:t>” means any lien, pledge, mortgage, option, right of first refusal, deed of trust, security interest or any similar encumbrance.</w:t>
      </w:r>
    </w:p>
    <w:p>
      <w:pPr>
        <w:spacing w:after="0" w:line="195" w:lineRule="exact"/>
        <w:rPr>
          <w:sz w:val="20"/>
          <w:szCs w:val="20"/>
          <w:color w:val="auto"/>
        </w:rPr>
      </w:pPr>
    </w:p>
    <w:p>
      <w:pPr>
        <w:jc w:val="both"/>
        <w:ind w:firstLine="751"/>
        <w:spacing w:after="0" w:line="24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Material Adverse Effect</w:t>
      </w:r>
      <w:r>
        <w:rPr>
          <w:rFonts w:ascii="Times New Roman" w:cs="Times New Roman" w:eastAsia="Times New Roman" w:hAnsi="Times New Roman"/>
          <w:sz w:val="17"/>
          <w:szCs w:val="17"/>
          <w:color w:val="auto"/>
        </w:rPr>
        <w:t>” with respect to any Person means any change, event, violation, effect inaccuracy, circumstance or developments (a “</w:t>
      </w:r>
      <w:r>
        <w:rPr>
          <w:rFonts w:ascii="Times New Roman" w:cs="Times New Roman" w:eastAsia="Times New Roman" w:hAnsi="Times New Roman"/>
          <w:sz w:val="17"/>
          <w:szCs w:val="17"/>
          <w:u w:val="single" w:color="auto"/>
          <w:color w:val="auto"/>
        </w:rPr>
        <w:t>Change</w:t>
      </w:r>
      <w:r>
        <w:rPr>
          <w:rFonts w:ascii="Times New Roman" w:cs="Times New Roman" w:eastAsia="Times New Roman" w:hAnsi="Times New Roman"/>
          <w:sz w:val="17"/>
          <w:szCs w:val="17"/>
          <w:color w:val="auto"/>
        </w:rPr>
        <w:t>”) that, individually or in the aggregate with all other Changes that have occurred on or prior to the date of determination of the occurrence of the Material Adverse Effect, and regardless of whether or not such Change constitutes a breach of the representations or warranties made by such Person, have, or are reasonably expected to have, a material adverse effect on the business, properties, assets (including intangible assets), condition (financial or otherwise), prospects, capitalization, liabilities, financial condition or results of operations of such Person and its Subsidiaries, taken as a whole; provided, however, that none of the following (by itself or when aggregated) will be deemed to be or constitute a Material Adverse Effect or will be taken into account when determining whether a Material Adverse Effect has occurred or may, would or could occur (subject to the limitations set forth below): (i) changes in general economic conditions in the United States or any other country or region in the world, or changes in conditions in the global economy generally; (ii) changes in conditions in the financial markets, credit markets or capital markets in the United States or any other country or region in the world, including (1) changes in interest rates or credit ratings in the United States or any other country; (2) changes in exchange rates for the currencies of any country; or (3) any suspension of trading in securities (whether equity, debt, derivative or hybrid securities) generally on any securities exchange or over-the-counter market operating in the United States or any other country or region in the world; (iii) changes in conditions in the industries in which such Persons generally conduct business; (iv) changes in regulatory, legislative or political conditions in the United States or any other country or region in the world; (v) any geopolitical conditions, outbreak of hostilities, acts of war, sabotage, terrorism (including cyberattacks or cyberterrorism) or military actions (including any escalation or general worsening of any such hostilities, acts of war, sabotage, terrorism or military actions) in the United States or any other country or region in</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91" w:name="page92"/>
    <w:bookmarkEnd w:id="91"/>
    <w:p>
      <w:pPr>
        <w:jc w:val="both"/>
        <w:ind w:left="5"/>
        <w:spacing w:after="0" w:line="250" w:lineRule="auto"/>
        <w:rPr>
          <w:sz w:val="20"/>
          <w:szCs w:val="20"/>
          <w:color w:val="auto"/>
        </w:rPr>
      </w:pPr>
      <w:r>
        <w:rPr>
          <w:rFonts w:ascii="Times New Roman" w:cs="Times New Roman" w:eastAsia="Times New Roman" w:hAnsi="Times New Roman"/>
          <w:sz w:val="17"/>
          <w:szCs w:val="17"/>
          <w:color w:val="auto"/>
        </w:rPr>
        <w:t>the world; (vi) earthquakes, hurricanes, tsunamis, tornadoes, floods, mudslides, wild fires or other natural disasters, weather conditions, epidemics, pandemics or disease outbreaks and other force majeure events in the United States or any other country or region in the world; (vii) any Change resulting from the announcement of this Agreement or the pendency of the Merger and the Transactions, including the impact thereof on the relationships, contractual or otherwise, of such Persons with employees, labor unions, suppliers, customers, lessors, partners, vendors or any other third Person; (viii) the compliance by any party with the terms of this Agreement, including any action taken or refrained from being taken pursuant to or in accordance with this Agreement; (ix) any action taken or refrained from being taken, in each case which such Person has expressly approved, consented to or requested in writing following the date hereof; (x) changes or proposed changes in GAAP or other accounting standards or in any applicable laws or regulations (or the enforcement or interpretation of any of the foregoing);</w:t>
      </w:r>
    </w:p>
    <w:p>
      <w:pPr>
        <w:spacing w:after="0" w:line="2" w:lineRule="exact"/>
        <w:rPr>
          <w:sz w:val="20"/>
          <w:szCs w:val="20"/>
          <w:color w:val="auto"/>
        </w:rPr>
      </w:pPr>
    </w:p>
    <w:p>
      <w:pPr>
        <w:jc w:val="both"/>
        <w:ind w:left="5" w:hanging="5"/>
        <w:spacing w:after="0" w:line="248" w:lineRule="auto"/>
        <w:tabs>
          <w:tab w:leader="none" w:pos="312"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price or trading volume of the DXL Common Stock, in and of itself (it being understood that any cause of such change may be deemed to constitute, in and of itself, a Material Adverse Effect and may be taken into consideration when determining whether a Material Adverse Effect has occurred, to the extent not otherwise excluded hereunder); and (xii) any failure, in and of itself, by such Person to meet (A) any public estimates or expectations of revenue, earnings or other financial performance or results of operations for any period; or (B) any internal budgets, plans, projections or forecasts of its revenues, earnings or other financial performance or results of operations (it being understood that any cause of any such failure may be deemed to constitute, in and of itself, a Material Adverse Effect and may be taken into consideration when determining whether a Material Adverse Effect has occurred, to the extent not otherwise excluded hereunder) except, with respect to clauses (i), (ii), (iv), (v), (vi) and (x), to the extent that such Change has had a disproportionate adverse effect on such Person relative to other companies of a similar size operating in the industries in which such Person conducted business, in which case only the incremental disproportionate adverse impact may be taken into account in determining whether there has occurred a Material Adverse Effect.</w:t>
      </w:r>
    </w:p>
    <w:p>
      <w:pPr>
        <w:spacing w:after="0" w:line="161" w:lineRule="exact"/>
        <w:rPr>
          <w:sz w:val="20"/>
          <w:szCs w:val="20"/>
          <w:color w:val="auto"/>
        </w:rPr>
      </w:pPr>
    </w:p>
    <w:p>
      <w:pPr>
        <w:jc w:val="both"/>
        <w:ind w:left="5" w:right="20" w:firstLine="751"/>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Maximum Number of Takedowns</w:t>
      </w:r>
      <w:r>
        <w:rPr>
          <w:rFonts w:ascii="Times New Roman" w:cs="Times New Roman" w:eastAsia="Times New Roman" w:hAnsi="Times New Roman"/>
          <w:sz w:val="17"/>
          <w:szCs w:val="17"/>
          <w:color w:val="auto"/>
        </w:rPr>
        <w:t xml:space="preserve">” means, as to each FBB Significant Stockholder, a number equal to the quotient of (a) the percent of </w:t>
      </w:r>
      <w:r>
        <w:rPr>
          <w:rFonts w:ascii="Times New Roman" w:cs="Times New Roman" w:eastAsia="Times New Roman" w:hAnsi="Times New Roman"/>
          <w:sz w:val="15"/>
          <w:szCs w:val="15"/>
          <w:color w:val="auto"/>
        </w:rPr>
        <w:t>the total DXL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 xml:space="preserve">Common Stock held by such FBB Significant Stockholder immediately after the Effective Time </w:t>
      </w:r>
      <w:r>
        <w:rPr>
          <w:rFonts w:ascii="Times New Roman" w:cs="Times New Roman" w:eastAsia="Times New Roman" w:hAnsi="Times New Roman"/>
          <w:sz w:val="17"/>
          <w:szCs w:val="17"/>
          <w:color w:val="auto"/>
        </w:rPr>
        <w:t>divided by (b) five percent (5%).</w:t>
      </w:r>
    </w:p>
    <w:p>
      <w:pPr>
        <w:spacing w:after="0" w:line="129" w:lineRule="exact"/>
        <w:rPr>
          <w:sz w:val="20"/>
          <w:szCs w:val="20"/>
          <w:color w:val="auto"/>
        </w:rPr>
      </w:pPr>
    </w:p>
    <w:p>
      <w:pPr>
        <w:jc w:val="both"/>
        <w:ind w:left="5" w:right="20" w:firstLine="751"/>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New Issuance</w:t>
      </w:r>
      <w:r>
        <w:rPr>
          <w:rFonts w:ascii="Times New Roman" w:cs="Times New Roman" w:eastAsia="Times New Roman" w:hAnsi="Times New Roman"/>
          <w:sz w:val="17"/>
          <w:szCs w:val="17"/>
          <w:color w:val="auto"/>
        </w:rPr>
        <w:t>” means a number of shares equal to (a) the Fully Diluted DXL Shares multiplied by (b) the quotient of fifty five percent (55%) divided by forty five percent (45%).</w:t>
      </w:r>
    </w:p>
    <w:p>
      <w:pPr>
        <w:spacing w:after="0" w:line="129" w:lineRule="exact"/>
        <w:rPr>
          <w:sz w:val="20"/>
          <w:szCs w:val="20"/>
          <w:color w:val="auto"/>
        </w:rPr>
      </w:pPr>
    </w:p>
    <w:p>
      <w:pPr>
        <w:jc w:val="both"/>
        <w:ind w:left="5" w:firstLine="751"/>
        <w:spacing w:after="0" w:line="25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Lien</w:t>
      </w:r>
      <w:r>
        <w:rPr>
          <w:rFonts w:ascii="Times New Roman" w:cs="Times New Roman" w:eastAsia="Times New Roman" w:hAnsi="Times New Roman"/>
          <w:sz w:val="17"/>
          <w:szCs w:val="17"/>
          <w:color w:val="auto"/>
        </w:rPr>
        <w:t>” means (i) cashiers’, landlords’, mechanics’, materialmens’, carriers’, workmens’, repairmens’, contractors’ and warehousemens’ Liens imposed by Law and arising or incurred in the ordinary course of business and for amounts which are not yet due and payable or delinquent, and for which appropriate reserves have been established in accordance with GAAP, (ii) easements, rights of way, covenants, conditions, restrictions and other similar non-monetary charges and encumbrances of record, including those identified on title policies or preliminary title reports, in each case, which (a) individually or in the aggregate, are not violated in any material respect and do not and would not reasonably be expected to interfere materially with the ordinary course of business of the applicable company or the use, value, marketability or occupancy of any real property, (b) do not secure the payment of a sum of money and (c) are not violated and, (iii) Liens for Taxes not yet due and payable or delinquent or for Taxes that the taxpayer is contesting in good faith by appropriate action or proceeding and for which appropriate reserves have been established in the financial statements in accordance with GAAP, (iv) purchase money Liens securing rental payments under capital lease arrangements, (v) zoning, building and other generally applicable land use Laws imposed by any Governmental Entity having jurisdiction over such parcel of real property which are not violated in any material respect, and (vi) non-exclusive licenses of Intellectual Property Rights granted to contractors or service providers in the ordinary course of business.</w:t>
      </w:r>
    </w:p>
    <w:p>
      <w:pPr>
        <w:spacing w:after="0" w:line="200" w:lineRule="exact"/>
        <w:rPr>
          <w:sz w:val="20"/>
          <w:szCs w:val="20"/>
          <w:color w:val="auto"/>
        </w:rPr>
      </w:pPr>
    </w:p>
    <w:p>
      <w:pPr>
        <w:spacing w:after="0" w:line="343"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54" w:right="319" w:bottom="1440" w:gutter="0" w:footer="0" w:header="0"/>
        </w:sectPr>
      </w:pPr>
    </w:p>
    <w:bookmarkStart w:id="92" w:name="page93"/>
    <w:bookmarkEnd w:id="92"/>
    <w:p>
      <w:pPr>
        <w:jc w:val="both"/>
        <w:ind w:right="20" w:firstLine="751"/>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means any natural person, firm, corporation, partnership, company, limited liability company, trust, joint venture, association, Governmental Entity or other entity.</w:t>
      </w:r>
    </w:p>
    <w:p>
      <w:pPr>
        <w:spacing w:after="0" w:line="129" w:lineRule="exact"/>
        <w:rPr>
          <w:sz w:val="20"/>
          <w:szCs w:val="20"/>
          <w:color w:val="auto"/>
        </w:rPr>
      </w:pPr>
    </w:p>
    <w:p>
      <w:pPr>
        <w:jc w:val="both"/>
        <w:ind w:right="20" w:firstLine="751"/>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Personal Information</w:t>
      </w:r>
      <w:r>
        <w:rPr>
          <w:rFonts w:ascii="Times New Roman" w:cs="Times New Roman" w:eastAsia="Times New Roman" w:hAnsi="Times New Roman"/>
          <w:sz w:val="17"/>
          <w:szCs w:val="17"/>
          <w:color w:val="auto"/>
        </w:rPr>
        <w:t>” means all data and information that, alone or in combination with other information, identifies, relates to, describes, is reasonably capable of being associated with, or could reasonably be linked, directly or indirectly, to a particular individual or household or any other information that constitutes “personal data,” “personal information”, “personal health information,” or any similar defined term.</w:t>
      </w:r>
    </w:p>
    <w:p>
      <w:pPr>
        <w:spacing w:after="0" w:line="145" w:lineRule="exact"/>
        <w:rPr>
          <w:sz w:val="20"/>
          <w:szCs w:val="20"/>
          <w:color w:val="auto"/>
        </w:rPr>
      </w:pPr>
    </w:p>
    <w:p>
      <w:pPr>
        <w:jc w:val="both"/>
        <w:ind w:firstLine="751"/>
        <w:spacing w:after="0" w:line="25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Pre-Closing Investment</w:t>
      </w:r>
      <w:r>
        <w:rPr>
          <w:rFonts w:ascii="Times New Roman" w:cs="Times New Roman" w:eastAsia="Times New Roman" w:hAnsi="Times New Roman"/>
          <w:sz w:val="17"/>
          <w:szCs w:val="17"/>
          <w:color w:val="auto"/>
        </w:rPr>
        <w:t>” means the issuance and sale by FBB to the FBB Investors of an aggregate number of shares of FBB Common Stock pursuant to those certain Commitment and Subscription Agreements for an aggregate purchase price as set forth in such Commitment and Subscription Agreements (as may be reduced as set forth therein), in one or more private placements to be consummated substantially concurrently with, but immediately prior to, the Closing, on the terms and subject to the conditions set forth in the Commitment and Subscription Agreements, and including any preemptive rights or rights offering that may, at FBB’s sole discretion, be conducted for additional sales of FBB Common Stock.</w:t>
      </w:r>
    </w:p>
    <w:p>
      <w:pPr>
        <w:spacing w:after="0" w:line="15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Privacy Laws</w:t>
      </w:r>
      <w:r>
        <w:rPr>
          <w:rFonts w:ascii="Times New Roman" w:cs="Times New Roman" w:eastAsia="Times New Roman" w:hAnsi="Times New Roman"/>
          <w:sz w:val="17"/>
          <w:szCs w:val="17"/>
          <w:color w:val="auto"/>
        </w:rPr>
        <w:t>” means all data protection, privacy and other applicable Laws that concern the Processing of any Personal Information.</w:t>
      </w:r>
    </w:p>
    <w:p>
      <w:pPr>
        <w:spacing w:after="0" w:line="195" w:lineRule="exact"/>
        <w:rPr>
          <w:sz w:val="20"/>
          <w:szCs w:val="20"/>
          <w:color w:val="auto"/>
        </w:rPr>
      </w:pPr>
    </w:p>
    <w:p>
      <w:pPr>
        <w:jc w:val="both"/>
        <w:ind w:right="20" w:firstLine="751"/>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Processing</w:t>
      </w:r>
      <w:r>
        <w:rPr>
          <w:rFonts w:ascii="Times New Roman" w:cs="Times New Roman" w:eastAsia="Times New Roman" w:hAnsi="Times New Roman"/>
          <w:sz w:val="17"/>
          <w:szCs w:val="17"/>
          <w:color w:val="auto"/>
        </w:rPr>
        <w:t>” means any operation or set of operations which is performed upon Personal Information, by any means, such as collection, recording, organization, storage, adaptation or alteration, retrieval, consultation, use, disclosure by transmission, dissemination or otherwise making available, alignment or combination, blocking, erasure or destruction.</w:t>
      </w:r>
    </w:p>
    <w:p>
      <w:pPr>
        <w:spacing w:after="0" w:line="145" w:lineRule="exact"/>
        <w:rPr>
          <w:sz w:val="20"/>
          <w:szCs w:val="20"/>
          <w:color w:val="auto"/>
        </w:rPr>
      </w:pPr>
    </w:p>
    <w:p>
      <w:pPr>
        <w:jc w:val="both"/>
        <w:ind w:right="20" w:firstLine="751"/>
        <w:spacing w:after="0" w:line="25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Registration Expenses</w:t>
      </w:r>
      <w:r>
        <w:rPr>
          <w:rFonts w:ascii="Times New Roman" w:cs="Times New Roman" w:eastAsia="Times New Roman" w:hAnsi="Times New Roman"/>
          <w:sz w:val="17"/>
          <w:szCs w:val="17"/>
          <w:color w:val="auto"/>
        </w:rPr>
        <w:t>” means all expenses incurred in connection with the performance of or compliance with Section‎ 6.02, including (a) all SEC, stock exchange or FINRA registration and filing fees (excluding, if applicable, the fees and expenses of any “qualified independent underwriter,” as such term is defined in Rule 5121 of FINRA, and of its counsel); (b) all fees and expenses of complying with securities or blue sky laws (including fees and disbursements of counsel for the underwriters in connection with blue sky qualifications and FINRA registration of the Registrable Securities); (c) all printing, messenger and delivery expenses, and fees and expenses of DXL’s transfer agent; (d) all fees and expenses incurred in connection with the listing of the Registrable Securities on any securities exchange; (e) the reasonable fees and disbursements of counsel for DXL and of its independent public accountants, including any comfort letters required by or incident to such performance and compliance; and (f) the costs and expenses of DXL relating to analyst and investor presentations or any “road show” undertaken in connection with the registration and/or marketing of the Registrable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5538470</wp:posOffset>
            </wp:positionH>
            <wp:positionV relativeFrom="paragraph">
              <wp:posOffset>-923925</wp:posOffset>
            </wp:positionV>
            <wp:extent cx="557530" cy="762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57530" cy="7620"/>
                    </a:xfrm>
                    <a:prstGeom prst="rect">
                      <a:avLst/>
                    </a:prstGeom>
                    <a:noFill/>
                  </pic:spPr>
                </pic:pic>
              </a:graphicData>
            </a:graphic>
          </wp:anchor>
        </w:drawing>
      </w:r>
    </w:p>
    <w:p>
      <w:pPr>
        <w:spacing w:after="0" w:line="136" w:lineRule="exact"/>
        <w:rPr>
          <w:sz w:val="20"/>
          <w:szCs w:val="20"/>
          <w:color w:val="auto"/>
        </w:rPr>
      </w:pPr>
    </w:p>
    <w:p>
      <w:pPr>
        <w:jc w:val="both"/>
        <w:ind w:firstLine="751"/>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Registered IP</w:t>
      </w:r>
      <w:r>
        <w:rPr>
          <w:rFonts w:ascii="Times New Roman" w:cs="Times New Roman" w:eastAsia="Times New Roman" w:hAnsi="Times New Roman"/>
          <w:sz w:val="17"/>
          <w:szCs w:val="17"/>
          <w:color w:val="auto"/>
        </w:rPr>
        <w:t>” means all Intellectual Property Rights that are registered, applied-for, issued or granted under the authority of, with or by any Governmental Entity or registrar (in the case of internet domain names).</w:t>
      </w:r>
    </w:p>
    <w:p>
      <w:pPr>
        <w:spacing w:after="0" w:line="129" w:lineRule="exact"/>
        <w:rPr>
          <w:sz w:val="20"/>
          <w:szCs w:val="20"/>
          <w:color w:val="auto"/>
        </w:rPr>
      </w:pPr>
    </w:p>
    <w:p>
      <w:pPr>
        <w:jc w:val="both"/>
        <w:ind w:right="20" w:firstLine="751"/>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Representative</w:t>
      </w:r>
      <w:r>
        <w:rPr>
          <w:rFonts w:ascii="Times New Roman" w:cs="Times New Roman" w:eastAsia="Times New Roman" w:hAnsi="Times New Roman"/>
          <w:sz w:val="17"/>
          <w:szCs w:val="17"/>
          <w:color w:val="auto"/>
        </w:rPr>
        <w:t>” means, with respect to any Person, such Person’s and each of its respective Subsidiaries’ and controlled Affiliates’ directors, officers, employees, investment bankers, financial advisors, attorneys, accountants or other advisors, agents or representatives.</w:t>
      </w:r>
    </w:p>
    <w:p>
      <w:pPr>
        <w:spacing w:after="0" w:line="12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w:t>
      </w:r>
      <w:r>
        <w:rPr>
          <w:rFonts w:ascii="Times New Roman" w:cs="Times New Roman" w:eastAsia="Times New Roman" w:hAnsi="Times New Roman"/>
          <w:sz w:val="17"/>
          <w:szCs w:val="17"/>
          <w:color w:val="auto"/>
        </w:rPr>
        <w:t>” means the U.S. Securities and Exchange Commission.</w:t>
      </w:r>
    </w:p>
    <w:p>
      <w:pPr>
        <w:spacing w:after="0" w:line="19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means the Securities Act of 1933, as amended, including the rules and regulations promulgated thereunder.</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93" w:name="page94"/>
    <w:bookmarkEnd w:id="93"/>
    <w:p>
      <w:pPr>
        <w:jc w:val="both"/>
        <w:ind w:right="20" w:firstLine="751"/>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Selling Expenses</w:t>
      </w:r>
      <w:r>
        <w:rPr>
          <w:rFonts w:ascii="Times New Roman" w:cs="Times New Roman" w:eastAsia="Times New Roman" w:hAnsi="Times New Roman"/>
          <w:sz w:val="17"/>
          <w:szCs w:val="17"/>
          <w:color w:val="auto"/>
        </w:rPr>
        <w:t>” means all underwriting discounts, selling commissions and stock transfer taxes applicable to the sale of Registrable Securities, any fees and disbursements of underwriters and fees and expenses of legal counsel engaged by any FBB Significant Stockholder in respect of the sale of Registrable Securities.</w:t>
      </w:r>
    </w:p>
    <w:p>
      <w:pPr>
        <w:spacing w:after="0" w:line="145" w:lineRule="exact"/>
        <w:rPr>
          <w:sz w:val="20"/>
          <w:szCs w:val="20"/>
          <w:color w:val="auto"/>
        </w:rPr>
      </w:pPr>
    </w:p>
    <w:p>
      <w:pPr>
        <w:jc w:val="both"/>
        <w:ind w:right="20" w:firstLine="751"/>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Subsequent Transaction</w:t>
      </w:r>
      <w:r>
        <w:rPr>
          <w:rFonts w:ascii="Times New Roman" w:cs="Times New Roman" w:eastAsia="Times New Roman" w:hAnsi="Times New Roman"/>
          <w:sz w:val="17"/>
          <w:szCs w:val="17"/>
          <w:color w:val="auto"/>
        </w:rPr>
        <w:t>” means, as applicable a transaction with respect to or pursuant to a DXL Takeover Proposal (with all references to 20% in the definition of “DXL Takeover Proposal” being treated as references to 50% for these purposes).</w:t>
      </w:r>
    </w:p>
    <w:p>
      <w:pPr>
        <w:spacing w:after="0" w:line="129" w:lineRule="exact"/>
        <w:rPr>
          <w:sz w:val="20"/>
          <w:szCs w:val="20"/>
          <w:color w:val="auto"/>
        </w:rPr>
      </w:pPr>
    </w:p>
    <w:p>
      <w:pPr>
        <w:jc w:val="both"/>
        <w:ind w:right="20" w:firstLine="751"/>
        <w:spacing w:after="0" w:line="25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Subsidiary</w:t>
      </w:r>
      <w:r>
        <w:rPr>
          <w:rFonts w:ascii="Times New Roman" w:cs="Times New Roman" w:eastAsia="Times New Roman" w:hAnsi="Times New Roman"/>
          <w:sz w:val="17"/>
          <w:szCs w:val="17"/>
          <w:color w:val="auto"/>
        </w:rPr>
        <w:t>,” when used with respect to any Person, means any other Person, whether incorporated or unincorporated, (A) of which such Person or any other Subsidiary of such Person is a general partner (excluding partnerships, the general partnership interests of which held by such Person or any Subsidiary of such Person do not have a majority of the voting interests in such partnership) or (B) a majority of the Equity Interests of which having by their terms ordinary voting power to elect a majority of the board of directors or others performing similar functions with respect to such corporation or other organization is directly or indirectly owned or controlled by such Person or by any one or more of its Subsidiaries, or by such Person and one or more of its Subsidiaries. The term “</w:t>
      </w:r>
      <w:r>
        <w:rPr>
          <w:rFonts w:ascii="Times New Roman" w:cs="Times New Roman" w:eastAsia="Times New Roman" w:hAnsi="Times New Roman"/>
          <w:sz w:val="17"/>
          <w:szCs w:val="17"/>
          <w:u w:val="single" w:color="auto"/>
          <w:color w:val="auto"/>
        </w:rPr>
        <w:t>DXL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Subsidiary</w:t>
      </w:r>
      <w:r>
        <w:rPr>
          <w:rFonts w:ascii="Times New Roman" w:cs="Times New Roman" w:eastAsia="Times New Roman" w:hAnsi="Times New Roman"/>
          <w:sz w:val="17"/>
          <w:szCs w:val="17"/>
          <w:color w:val="auto"/>
        </w:rPr>
        <w:t>” means any direct or indirect Subsidiary of DXL and the term “</w:t>
      </w:r>
      <w:r>
        <w:rPr>
          <w:rFonts w:ascii="Times New Roman" w:cs="Times New Roman" w:eastAsia="Times New Roman" w:hAnsi="Times New Roman"/>
          <w:sz w:val="17"/>
          <w:szCs w:val="17"/>
          <w:u w:val="single" w:color="auto"/>
          <w:color w:val="auto"/>
        </w:rPr>
        <w:t>FBB Subsidiary</w:t>
      </w:r>
      <w:r>
        <w:rPr>
          <w:rFonts w:ascii="Times New Roman" w:cs="Times New Roman" w:eastAsia="Times New Roman" w:hAnsi="Times New Roman"/>
          <w:sz w:val="17"/>
          <w:szCs w:val="17"/>
          <w:color w:val="auto"/>
        </w:rPr>
        <w:t>” means any direct or indirect Subsidiary of FBB.</w:t>
      </w:r>
    </w:p>
    <w:p>
      <w:pPr>
        <w:spacing w:after="0" w:line="154" w:lineRule="exact"/>
        <w:rPr>
          <w:sz w:val="20"/>
          <w:szCs w:val="20"/>
          <w:color w:val="auto"/>
        </w:rPr>
      </w:pPr>
    </w:p>
    <w:p>
      <w:pPr>
        <w:jc w:val="both"/>
        <w:ind w:firstLine="751"/>
        <w:spacing w:after="0" w:line="25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w:t>
      </w:r>
      <w:r>
        <w:rPr>
          <w:rFonts w:ascii="Times New Roman" w:cs="Times New Roman" w:eastAsia="Times New Roman" w:hAnsi="Times New Roman"/>
          <w:sz w:val="17"/>
          <w:szCs w:val="17"/>
          <w:color w:val="auto"/>
        </w:rPr>
        <w:t xml:space="preserve">” means (a) any taxes (including foreign, federal, state, county or local income, sales and use, excise, franchise, real and personal property, gross receipt, capital gains, land betterment, purchase, alternative minimum, profit, value added, net worth, documentary stamp, production, business and occupation, disability, employment, health tax, national insurance, payroll or severance), levies, imposts, duties, deductions, withholdings (including backup withholding), assessments, fees or other similar charges imposed by any Governmental Entity, including any interest, linkage differentials, indexing, additions to tax or penalties applicable thereto, (b) any liability for Taxes described in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xml:space="preserve"> under Treasury Regulation Section 1.1502-6 (or any similar provision of state, local or foreign Law) and (c) any liability for Taxes described in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as a transferee or successor.</w:t>
      </w:r>
    </w:p>
    <w:p>
      <w:pPr>
        <w:spacing w:after="0" w:line="15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 Authority</w:t>
      </w:r>
      <w:r>
        <w:rPr>
          <w:rFonts w:ascii="Times New Roman" w:cs="Times New Roman" w:eastAsia="Times New Roman" w:hAnsi="Times New Roman"/>
          <w:sz w:val="17"/>
          <w:szCs w:val="17"/>
          <w:color w:val="auto"/>
        </w:rPr>
        <w:t>” means the IRS and any other Governmental Entity responsible for the administration of Tax.</w:t>
      </w:r>
    </w:p>
    <w:p>
      <w:pPr>
        <w:spacing w:after="0" w:line="195" w:lineRule="exact"/>
        <w:rPr>
          <w:sz w:val="20"/>
          <w:szCs w:val="20"/>
          <w:color w:val="auto"/>
        </w:rPr>
      </w:pPr>
    </w:p>
    <w:p>
      <w:pPr>
        <w:jc w:val="both"/>
        <w:ind w:right="20" w:firstLine="751"/>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 Return</w:t>
      </w:r>
      <w:r>
        <w:rPr>
          <w:rFonts w:ascii="Times New Roman" w:cs="Times New Roman" w:eastAsia="Times New Roman" w:hAnsi="Times New Roman"/>
          <w:sz w:val="17"/>
          <w:szCs w:val="17"/>
          <w:color w:val="auto"/>
        </w:rPr>
        <w:t>” means any return, filing, report, questionnaire, information statement or other document (including elections, declarations, disclosures, schedules, estimates, claims for refund and information returns) relating to Taxes, including any amendments thereof.</w:t>
      </w:r>
    </w:p>
    <w:p>
      <w:pPr>
        <w:spacing w:after="0" w:line="12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Transactions</w:t>
      </w:r>
      <w:r>
        <w:rPr>
          <w:rFonts w:ascii="Times New Roman" w:cs="Times New Roman" w:eastAsia="Times New Roman" w:hAnsi="Times New Roman"/>
          <w:sz w:val="17"/>
          <w:szCs w:val="17"/>
          <w:color w:val="auto"/>
        </w:rPr>
        <w:t>” means, collectively, the Merger and the other transactions contemplated by this Agreement.</w:t>
      </w:r>
    </w:p>
    <w:p>
      <w:pPr>
        <w:spacing w:after="0" w:line="19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Unaccredited Investor</w:t>
      </w:r>
      <w:r>
        <w:rPr>
          <w:rFonts w:ascii="Times New Roman" w:cs="Times New Roman" w:eastAsia="Times New Roman" w:hAnsi="Times New Roman"/>
          <w:sz w:val="17"/>
          <w:szCs w:val="17"/>
          <w:color w:val="auto"/>
        </w:rPr>
        <w:t>” means any FBB Stockholder that is not an Accredited Investor.</w:t>
      </w:r>
    </w:p>
    <w:p>
      <w:pPr>
        <w:spacing w:after="0" w:line="195" w:lineRule="exact"/>
        <w:rPr>
          <w:sz w:val="20"/>
          <w:szCs w:val="20"/>
          <w:color w:val="auto"/>
        </w:rPr>
      </w:pPr>
    </w:p>
    <w:p>
      <w:pPr>
        <w:jc w:val="both"/>
        <w:ind w:right="20" w:firstLine="751"/>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Unaccredited Investor Cash Consideration</w:t>
      </w:r>
      <w:r>
        <w:rPr>
          <w:rFonts w:ascii="Times New Roman" w:cs="Times New Roman" w:eastAsia="Times New Roman" w:hAnsi="Times New Roman"/>
          <w:sz w:val="17"/>
          <w:szCs w:val="17"/>
          <w:color w:val="auto"/>
        </w:rPr>
        <w:t>” means, with respect to each share of FBB Common Stock owned by a FBB Stockholder that is an Unaccredited Investor, an amount in cash equal to the product of (a) the Exchange Ratio and (b) the DXL Stock Price.</w:t>
      </w:r>
    </w:p>
    <w:p>
      <w:pPr>
        <w:spacing w:after="0" w:line="129" w:lineRule="exact"/>
        <w:rPr>
          <w:sz w:val="20"/>
          <w:szCs w:val="20"/>
          <w:color w:val="auto"/>
        </w:rPr>
      </w:pPr>
    </w:p>
    <w:p>
      <w:pPr>
        <w:jc w:val="both"/>
        <w:ind w:right="20" w:firstLine="751"/>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Underwritten Offering</w:t>
      </w:r>
      <w:r>
        <w:rPr>
          <w:rFonts w:ascii="Times New Roman" w:cs="Times New Roman" w:eastAsia="Times New Roman" w:hAnsi="Times New Roman"/>
          <w:sz w:val="17"/>
          <w:szCs w:val="17"/>
          <w:color w:val="auto"/>
        </w:rPr>
        <w:t>” means a sale of Registrable Securities to an underwriter or underwriters for reoffering to the public, including in a block trade or overnight “bought deal” offered and sold through an underwriter or underwriters.</w:t>
      </w:r>
    </w:p>
    <w:p>
      <w:pPr>
        <w:spacing w:after="0" w:line="127" w:lineRule="exact"/>
        <w:rPr>
          <w:sz w:val="20"/>
          <w:szCs w:val="20"/>
          <w:color w:val="auto"/>
        </w:rPr>
      </w:pPr>
    </w:p>
    <w:p>
      <w:pPr>
        <w:ind w:left="1220"/>
        <w:spacing w:after="0"/>
        <w:tabs>
          <w:tab w:leader="none" w:pos="2600" w:val="left"/>
        </w:tabs>
        <w:rPr>
          <w:sz w:val="20"/>
          <w:szCs w:val="20"/>
          <w:color w:val="auto"/>
        </w:rPr>
      </w:pPr>
      <w:r>
        <w:rPr>
          <w:rFonts w:ascii="Times New Roman" w:cs="Times New Roman" w:eastAsia="Times New Roman" w:hAnsi="Times New Roman"/>
          <w:sz w:val="17"/>
          <w:szCs w:val="17"/>
          <w:b w:val="1"/>
          <w:bCs w:val="1"/>
          <w:u w:val="single" w:color="auto"/>
          <w:color w:val="auto"/>
        </w:rPr>
        <w:t>SECTION 9.04</w:t>
      </w:r>
      <w:r>
        <w:rPr>
          <w:sz w:val="20"/>
          <w:szCs w:val="20"/>
          <w:color w:val="auto"/>
        </w:rPr>
        <w:tab/>
      </w:r>
      <w:r>
        <w:rPr>
          <w:rFonts w:ascii="Times New Roman" w:cs="Times New Roman" w:eastAsia="Times New Roman" w:hAnsi="Times New Roman"/>
          <w:sz w:val="17"/>
          <w:szCs w:val="17"/>
          <w:u w:val="single" w:color="auto"/>
          <w:color w:val="auto"/>
        </w:rPr>
        <w:t>Other Defined Terms</w:t>
      </w:r>
      <w:r>
        <w:rPr>
          <w:rFonts w:ascii="Times New Roman" w:cs="Times New Roman" w:eastAsia="Times New Roman" w:hAnsi="Times New Roman"/>
          <w:sz w:val="17"/>
          <w:szCs w:val="17"/>
          <w:color w:val="auto"/>
        </w:rPr>
        <w:t>. The following capitalized terms have the meanings in the locations within this Agreement indicated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below.</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95"/>
        </w:trPr>
        <w:tc>
          <w:tcPr>
            <w:tcW w:w="680" w:type="dxa"/>
            <w:vAlign w:val="bottom"/>
          </w:tcPr>
          <w:p>
            <w:pPr>
              <w:spacing w:after="0"/>
              <w:rPr>
                <w:sz w:val="17"/>
                <w:szCs w:val="17"/>
                <w:color w:val="auto"/>
              </w:rPr>
            </w:pPr>
          </w:p>
        </w:tc>
        <w:tc>
          <w:tcPr>
            <w:tcW w:w="1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Defined Term</w:t>
            </w:r>
          </w:p>
        </w:tc>
        <w:tc>
          <w:tcPr>
            <w:tcW w:w="278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Location</w:t>
            </w:r>
          </w:p>
        </w:tc>
        <w:tc>
          <w:tcPr>
            <w:tcW w:w="1740" w:type="dxa"/>
            <w:vAlign w:val="bottom"/>
          </w:tcPr>
          <w:p>
            <w:pPr>
              <w:spacing w:after="0"/>
              <w:rPr>
                <w:sz w:val="17"/>
                <w:szCs w:val="17"/>
                <w:color w:val="auto"/>
              </w:rPr>
            </w:pPr>
          </w:p>
        </w:tc>
      </w:tr>
      <w:tr>
        <w:trPr>
          <w:trHeight w:val="385"/>
        </w:trPr>
        <w:tc>
          <w:tcPr>
            <w:tcW w:w="680" w:type="dxa"/>
            <w:vAlign w:val="bottom"/>
          </w:tcPr>
          <w:p>
            <w:pPr>
              <w:spacing w:after="0"/>
              <w:rPr>
                <w:sz w:val="24"/>
                <w:szCs w:val="24"/>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Advisor</w:t>
            </w:r>
          </w:p>
        </w:tc>
        <w:tc>
          <w:tcPr>
            <w:tcW w:w="6760" w:type="dxa"/>
            <w:vAlign w:val="bottom"/>
            <w:gridSpan w:val="3"/>
          </w:tcPr>
          <w:p>
            <w:pPr>
              <w:jc w:val="center"/>
              <w:ind w:left="2533"/>
              <w:spacing w:after="0"/>
              <w:rPr>
                <w:sz w:val="20"/>
                <w:szCs w:val="20"/>
                <w:color w:val="auto"/>
              </w:rPr>
            </w:pPr>
            <w:r>
              <w:rPr>
                <w:rFonts w:ascii="Times New Roman" w:cs="Times New Roman" w:eastAsia="Times New Roman" w:hAnsi="Times New Roman"/>
                <w:sz w:val="17"/>
                <w:szCs w:val="17"/>
                <w:color w:val="auto"/>
              </w:rPr>
              <w:t>‎Section 3.07</w:t>
            </w:r>
          </w:p>
        </w:tc>
      </w:tr>
      <w:tr>
        <w:trPr>
          <w:trHeight w:val="201"/>
        </w:trPr>
        <w:tc>
          <w:tcPr>
            <w:tcW w:w="680" w:type="dxa"/>
            <w:vAlign w:val="bottom"/>
          </w:tcPr>
          <w:p>
            <w:pPr>
              <w:spacing w:after="0"/>
              <w:rPr>
                <w:sz w:val="17"/>
                <w:szCs w:val="17"/>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Agreement</w:t>
            </w:r>
          </w:p>
        </w:tc>
        <w:tc>
          <w:tcPr>
            <w:tcW w:w="4360" w:type="dxa"/>
            <w:vAlign w:val="bottom"/>
          </w:tcPr>
          <w:p>
            <w:pPr>
              <w:spacing w:after="0"/>
              <w:rPr>
                <w:sz w:val="17"/>
                <w:szCs w:val="17"/>
                <w:color w:val="auto"/>
              </w:rPr>
            </w:pPr>
          </w:p>
        </w:tc>
        <w:tc>
          <w:tcPr>
            <w:tcW w:w="2400" w:type="dxa"/>
            <w:vAlign w:val="bottom"/>
            <w:gridSpan w:val="2"/>
          </w:tcPr>
          <w:p>
            <w:pPr>
              <w:jc w:val="center"/>
              <w:ind w:right="1740"/>
              <w:spacing w:after="0"/>
              <w:rPr>
                <w:sz w:val="20"/>
                <w:szCs w:val="20"/>
                <w:color w:val="auto"/>
              </w:rPr>
            </w:pPr>
            <w:r>
              <w:rPr>
                <w:rFonts w:ascii="Times New Roman" w:cs="Times New Roman" w:eastAsia="Times New Roman" w:hAnsi="Times New Roman"/>
                <w:sz w:val="17"/>
                <w:szCs w:val="17"/>
                <w:color w:val="auto"/>
              </w:rPr>
              <w:t>Preamble</w:t>
            </w:r>
          </w:p>
        </w:tc>
      </w:tr>
      <w:tr>
        <w:trPr>
          <w:trHeight w:val="201"/>
        </w:trPr>
        <w:tc>
          <w:tcPr>
            <w:tcW w:w="680" w:type="dxa"/>
            <w:vAlign w:val="bottom"/>
          </w:tcPr>
          <w:p>
            <w:pPr>
              <w:spacing w:after="0"/>
              <w:rPr>
                <w:sz w:val="17"/>
                <w:szCs w:val="17"/>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Anti-Corruption Laws</w:t>
            </w:r>
          </w:p>
        </w:tc>
        <w:tc>
          <w:tcPr>
            <w:tcW w:w="6760" w:type="dxa"/>
            <w:vAlign w:val="bottom"/>
            <w:gridSpan w:val="3"/>
          </w:tcPr>
          <w:p>
            <w:pPr>
              <w:jc w:val="center"/>
              <w:ind w:left="2533"/>
              <w:spacing w:after="0"/>
              <w:rPr>
                <w:sz w:val="20"/>
                <w:szCs w:val="20"/>
                <w:color w:val="auto"/>
              </w:rPr>
            </w:pPr>
            <w:r>
              <w:rPr>
                <w:rFonts w:ascii="Times New Roman" w:cs="Times New Roman" w:eastAsia="Times New Roman" w:hAnsi="Times New Roman"/>
                <w:sz w:val="17"/>
                <w:szCs w:val="17"/>
                <w:color w:val="auto"/>
              </w:rPr>
              <w:t>‎Section 3.23</w:t>
            </w:r>
          </w:p>
        </w:tc>
      </w:tr>
      <w:tr>
        <w:trPr>
          <w:trHeight w:val="201"/>
        </w:trPr>
        <w:tc>
          <w:tcPr>
            <w:tcW w:w="680" w:type="dxa"/>
            <w:vAlign w:val="bottom"/>
          </w:tcPr>
          <w:p>
            <w:pPr>
              <w:spacing w:after="0"/>
              <w:rPr>
                <w:sz w:val="17"/>
                <w:szCs w:val="17"/>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Antitrust Laws</w:t>
            </w:r>
          </w:p>
        </w:tc>
        <w:tc>
          <w:tcPr>
            <w:tcW w:w="6760" w:type="dxa"/>
            <w:vAlign w:val="bottom"/>
            <w:gridSpan w:val="3"/>
          </w:tcPr>
          <w:p>
            <w:pPr>
              <w:jc w:val="center"/>
              <w:ind w:left="2533"/>
              <w:spacing w:after="0"/>
              <w:rPr>
                <w:sz w:val="20"/>
                <w:szCs w:val="20"/>
                <w:color w:val="auto"/>
              </w:rPr>
            </w:pPr>
            <w:r>
              <w:rPr>
                <w:rFonts w:ascii="Times New Roman" w:cs="Times New Roman" w:eastAsia="Times New Roman" w:hAnsi="Times New Roman"/>
                <w:sz w:val="17"/>
                <w:szCs w:val="17"/>
                <w:color w:val="auto"/>
              </w:rPr>
              <w:t>‎Section 3.04</w:t>
            </w:r>
          </w:p>
        </w:tc>
      </w:tr>
      <w:tr>
        <w:trPr>
          <w:trHeight w:val="201"/>
        </w:trPr>
        <w:tc>
          <w:tcPr>
            <w:tcW w:w="680" w:type="dxa"/>
            <w:vAlign w:val="bottom"/>
          </w:tcPr>
          <w:p>
            <w:pPr>
              <w:spacing w:after="0"/>
              <w:rPr>
                <w:sz w:val="17"/>
                <w:szCs w:val="17"/>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Appraisal Shares</w:t>
            </w:r>
          </w:p>
        </w:tc>
        <w:tc>
          <w:tcPr>
            <w:tcW w:w="6760" w:type="dxa"/>
            <w:vAlign w:val="bottom"/>
            <w:gridSpan w:val="3"/>
          </w:tcPr>
          <w:p>
            <w:pPr>
              <w:jc w:val="center"/>
              <w:ind w:left="2533"/>
              <w:spacing w:after="0"/>
              <w:rPr>
                <w:sz w:val="20"/>
                <w:szCs w:val="20"/>
                <w:color w:val="auto"/>
              </w:rPr>
            </w:pPr>
            <w:r>
              <w:rPr>
                <w:rFonts w:ascii="Times New Roman" w:cs="Times New Roman" w:eastAsia="Times New Roman" w:hAnsi="Times New Roman"/>
                <w:sz w:val="17"/>
                <w:szCs w:val="17"/>
                <w:color w:val="auto"/>
              </w:rPr>
              <w:t>‎Section 2.01(b)</w:t>
            </w:r>
          </w:p>
        </w:tc>
      </w:tr>
      <w:tr>
        <w:trPr>
          <w:trHeight w:val="201"/>
        </w:trPr>
        <w:tc>
          <w:tcPr>
            <w:tcW w:w="680" w:type="dxa"/>
            <w:vAlign w:val="bottom"/>
          </w:tcPr>
          <w:p>
            <w:pPr>
              <w:spacing w:after="0"/>
              <w:rPr>
                <w:sz w:val="17"/>
                <w:szCs w:val="17"/>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Automatic Shelf Registration Statement</w:t>
            </w:r>
          </w:p>
        </w:tc>
        <w:tc>
          <w:tcPr>
            <w:tcW w:w="6760" w:type="dxa"/>
            <w:vAlign w:val="bottom"/>
            <w:gridSpan w:val="3"/>
          </w:tcPr>
          <w:p>
            <w:pPr>
              <w:jc w:val="center"/>
              <w:ind w:left="2533"/>
              <w:spacing w:after="0"/>
              <w:rPr>
                <w:sz w:val="20"/>
                <w:szCs w:val="20"/>
                <w:color w:val="auto"/>
              </w:rPr>
            </w:pPr>
            <w:r>
              <w:rPr>
                <w:rFonts w:ascii="Times New Roman" w:cs="Times New Roman" w:eastAsia="Times New Roman" w:hAnsi="Times New Roman"/>
                <w:sz w:val="17"/>
                <w:szCs w:val="17"/>
                <w:color w:val="auto"/>
              </w:rPr>
              <w:t>‎Section 6.02(b)</w:t>
            </w:r>
          </w:p>
        </w:tc>
      </w:tr>
      <w:tr>
        <w:trPr>
          <w:trHeight w:val="201"/>
        </w:trPr>
        <w:tc>
          <w:tcPr>
            <w:tcW w:w="680" w:type="dxa"/>
            <w:vAlign w:val="bottom"/>
          </w:tcPr>
          <w:p>
            <w:pPr>
              <w:spacing w:after="0"/>
              <w:rPr>
                <w:sz w:val="17"/>
                <w:szCs w:val="17"/>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Book-Entry Share</w:t>
            </w:r>
          </w:p>
        </w:tc>
        <w:tc>
          <w:tcPr>
            <w:tcW w:w="6760" w:type="dxa"/>
            <w:vAlign w:val="bottom"/>
            <w:gridSpan w:val="3"/>
          </w:tcPr>
          <w:p>
            <w:pPr>
              <w:jc w:val="center"/>
              <w:ind w:left="2533"/>
              <w:spacing w:after="0"/>
              <w:rPr>
                <w:sz w:val="20"/>
                <w:szCs w:val="20"/>
                <w:color w:val="auto"/>
              </w:rPr>
            </w:pPr>
            <w:r>
              <w:rPr>
                <w:rFonts w:ascii="Times New Roman" w:cs="Times New Roman" w:eastAsia="Times New Roman" w:hAnsi="Times New Roman"/>
                <w:sz w:val="17"/>
                <w:szCs w:val="17"/>
                <w:color w:val="auto"/>
              </w:rPr>
              <w:t>‎Section 2.01(a)(i)</w:t>
            </w:r>
          </w:p>
        </w:tc>
      </w:tr>
      <w:tr>
        <w:trPr>
          <w:trHeight w:val="201"/>
        </w:trPr>
        <w:tc>
          <w:tcPr>
            <w:tcW w:w="680" w:type="dxa"/>
            <w:vAlign w:val="bottom"/>
          </w:tcPr>
          <w:p>
            <w:pPr>
              <w:spacing w:after="0"/>
              <w:rPr>
                <w:sz w:val="17"/>
                <w:szCs w:val="17"/>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Certificate</w:t>
            </w:r>
          </w:p>
        </w:tc>
        <w:tc>
          <w:tcPr>
            <w:tcW w:w="6760" w:type="dxa"/>
            <w:vAlign w:val="bottom"/>
            <w:gridSpan w:val="3"/>
          </w:tcPr>
          <w:p>
            <w:pPr>
              <w:jc w:val="center"/>
              <w:ind w:left="2533"/>
              <w:spacing w:after="0"/>
              <w:rPr>
                <w:sz w:val="20"/>
                <w:szCs w:val="20"/>
                <w:color w:val="auto"/>
              </w:rPr>
            </w:pPr>
            <w:r>
              <w:rPr>
                <w:rFonts w:ascii="Times New Roman" w:cs="Times New Roman" w:eastAsia="Times New Roman" w:hAnsi="Times New Roman"/>
                <w:sz w:val="17"/>
                <w:szCs w:val="17"/>
                <w:color w:val="auto"/>
              </w:rPr>
              <w:t>‎Section 2.01(a)(i)</w:t>
            </w:r>
          </w:p>
        </w:tc>
      </w:tr>
      <w:tr>
        <w:trPr>
          <w:trHeight w:val="201"/>
        </w:trPr>
        <w:tc>
          <w:tcPr>
            <w:tcW w:w="680" w:type="dxa"/>
            <w:vAlign w:val="bottom"/>
          </w:tcPr>
          <w:p>
            <w:pPr>
              <w:spacing w:after="0"/>
              <w:rPr>
                <w:sz w:val="17"/>
                <w:szCs w:val="17"/>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Certificate of Designation</w:t>
            </w:r>
          </w:p>
        </w:tc>
        <w:tc>
          <w:tcPr>
            <w:tcW w:w="6760" w:type="dxa"/>
            <w:vAlign w:val="bottom"/>
            <w:gridSpan w:val="3"/>
          </w:tcPr>
          <w:p>
            <w:pPr>
              <w:jc w:val="center"/>
              <w:ind w:left="2533"/>
              <w:spacing w:after="0"/>
              <w:rPr>
                <w:sz w:val="20"/>
                <w:szCs w:val="20"/>
                <w:color w:val="auto"/>
              </w:rPr>
            </w:pPr>
            <w:r>
              <w:rPr>
                <w:rFonts w:ascii="Times New Roman" w:cs="Times New Roman" w:eastAsia="Times New Roman" w:hAnsi="Times New Roman"/>
                <w:sz w:val="17"/>
                <w:szCs w:val="17"/>
                <w:color w:val="auto"/>
              </w:rPr>
              <w:t>‎Section 6.19</w:t>
            </w:r>
          </w:p>
        </w:tc>
      </w:tr>
      <w:tr>
        <w:trPr>
          <w:trHeight w:val="201"/>
        </w:trPr>
        <w:tc>
          <w:tcPr>
            <w:tcW w:w="680" w:type="dxa"/>
            <w:vAlign w:val="bottom"/>
          </w:tcPr>
          <w:p>
            <w:pPr>
              <w:spacing w:after="0"/>
              <w:rPr>
                <w:sz w:val="17"/>
                <w:szCs w:val="17"/>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Certificate of Merger</w:t>
            </w:r>
          </w:p>
        </w:tc>
        <w:tc>
          <w:tcPr>
            <w:tcW w:w="6760" w:type="dxa"/>
            <w:vAlign w:val="bottom"/>
            <w:gridSpan w:val="3"/>
          </w:tcPr>
          <w:p>
            <w:pPr>
              <w:jc w:val="center"/>
              <w:ind w:left="2533"/>
              <w:spacing w:after="0"/>
              <w:rPr>
                <w:sz w:val="20"/>
                <w:szCs w:val="20"/>
                <w:color w:val="auto"/>
              </w:rPr>
            </w:pPr>
            <w:r>
              <w:rPr>
                <w:rFonts w:ascii="Times New Roman" w:cs="Times New Roman" w:eastAsia="Times New Roman" w:hAnsi="Times New Roman"/>
                <w:sz w:val="17"/>
                <w:szCs w:val="17"/>
                <w:color w:val="auto"/>
              </w:rPr>
              <w:t>‎Section 1.03</w:t>
            </w:r>
          </w:p>
        </w:tc>
      </w:tr>
      <w:tr>
        <w:trPr>
          <w:trHeight w:val="201"/>
        </w:trPr>
        <w:tc>
          <w:tcPr>
            <w:tcW w:w="680" w:type="dxa"/>
            <w:vAlign w:val="bottom"/>
          </w:tcPr>
          <w:p>
            <w:pPr>
              <w:spacing w:after="0"/>
              <w:rPr>
                <w:sz w:val="17"/>
                <w:szCs w:val="17"/>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Clearance Date</w:t>
            </w:r>
          </w:p>
        </w:tc>
        <w:tc>
          <w:tcPr>
            <w:tcW w:w="6760" w:type="dxa"/>
            <w:vAlign w:val="bottom"/>
            <w:gridSpan w:val="3"/>
          </w:tcPr>
          <w:p>
            <w:pPr>
              <w:jc w:val="center"/>
              <w:ind w:left="2533"/>
              <w:spacing w:after="0"/>
              <w:rPr>
                <w:sz w:val="20"/>
                <w:szCs w:val="20"/>
                <w:color w:val="auto"/>
              </w:rPr>
            </w:pPr>
            <w:r>
              <w:rPr>
                <w:rFonts w:ascii="Times New Roman" w:cs="Times New Roman" w:eastAsia="Times New Roman" w:hAnsi="Times New Roman"/>
                <w:sz w:val="17"/>
                <w:szCs w:val="17"/>
                <w:color w:val="auto"/>
              </w:rPr>
              <w:t>‎Section 6.01(b)</w:t>
            </w:r>
          </w:p>
        </w:tc>
      </w:tr>
      <w:tr>
        <w:trPr>
          <w:trHeight w:val="201"/>
        </w:trPr>
        <w:tc>
          <w:tcPr>
            <w:tcW w:w="680" w:type="dxa"/>
            <w:vAlign w:val="bottom"/>
          </w:tcPr>
          <w:p>
            <w:pPr>
              <w:spacing w:after="0"/>
              <w:rPr>
                <w:sz w:val="17"/>
                <w:szCs w:val="17"/>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Closing</w:t>
            </w:r>
          </w:p>
        </w:tc>
        <w:tc>
          <w:tcPr>
            <w:tcW w:w="6760" w:type="dxa"/>
            <w:vAlign w:val="bottom"/>
            <w:gridSpan w:val="3"/>
          </w:tcPr>
          <w:p>
            <w:pPr>
              <w:jc w:val="center"/>
              <w:ind w:left="2533"/>
              <w:spacing w:after="0"/>
              <w:rPr>
                <w:sz w:val="20"/>
                <w:szCs w:val="20"/>
                <w:color w:val="auto"/>
              </w:rPr>
            </w:pPr>
            <w:r>
              <w:rPr>
                <w:rFonts w:ascii="Times New Roman" w:cs="Times New Roman" w:eastAsia="Times New Roman" w:hAnsi="Times New Roman"/>
                <w:sz w:val="17"/>
                <w:szCs w:val="17"/>
                <w:color w:val="auto"/>
              </w:rPr>
              <w:t>‎Section 1.02</w:t>
            </w:r>
          </w:p>
        </w:tc>
      </w:tr>
      <w:tr>
        <w:trPr>
          <w:trHeight w:val="201"/>
        </w:trPr>
        <w:tc>
          <w:tcPr>
            <w:tcW w:w="680" w:type="dxa"/>
            <w:vAlign w:val="bottom"/>
          </w:tcPr>
          <w:p>
            <w:pPr>
              <w:spacing w:after="0"/>
              <w:rPr>
                <w:sz w:val="17"/>
                <w:szCs w:val="17"/>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Closing Date</w:t>
            </w:r>
          </w:p>
        </w:tc>
        <w:tc>
          <w:tcPr>
            <w:tcW w:w="6760" w:type="dxa"/>
            <w:vAlign w:val="bottom"/>
            <w:gridSpan w:val="3"/>
          </w:tcPr>
          <w:p>
            <w:pPr>
              <w:jc w:val="center"/>
              <w:ind w:left="2533"/>
              <w:spacing w:after="0"/>
              <w:rPr>
                <w:sz w:val="20"/>
                <w:szCs w:val="20"/>
                <w:color w:val="auto"/>
              </w:rPr>
            </w:pPr>
            <w:r>
              <w:rPr>
                <w:rFonts w:ascii="Times New Roman" w:cs="Times New Roman" w:eastAsia="Times New Roman" w:hAnsi="Times New Roman"/>
                <w:sz w:val="17"/>
                <w:szCs w:val="17"/>
                <w:color w:val="auto"/>
              </w:rPr>
              <w:t>‎Section 1.02</w:t>
            </w:r>
          </w:p>
        </w:tc>
      </w:tr>
      <w:tr>
        <w:trPr>
          <w:trHeight w:val="201"/>
        </w:trPr>
        <w:tc>
          <w:tcPr>
            <w:tcW w:w="680" w:type="dxa"/>
            <w:vAlign w:val="bottom"/>
          </w:tcPr>
          <w:p>
            <w:pPr>
              <w:spacing w:after="0"/>
              <w:rPr>
                <w:sz w:val="17"/>
                <w:szCs w:val="17"/>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COD Amendment</w:t>
            </w:r>
          </w:p>
        </w:tc>
        <w:tc>
          <w:tcPr>
            <w:tcW w:w="6760" w:type="dxa"/>
            <w:vAlign w:val="bottom"/>
            <w:gridSpan w:val="3"/>
          </w:tcPr>
          <w:p>
            <w:pPr>
              <w:jc w:val="center"/>
              <w:ind w:left="2533"/>
              <w:spacing w:after="0"/>
              <w:rPr>
                <w:sz w:val="20"/>
                <w:szCs w:val="20"/>
                <w:color w:val="auto"/>
              </w:rPr>
            </w:pPr>
            <w:r>
              <w:rPr>
                <w:rFonts w:ascii="Times New Roman" w:cs="Times New Roman" w:eastAsia="Times New Roman" w:hAnsi="Times New Roman"/>
                <w:sz w:val="17"/>
                <w:szCs w:val="17"/>
                <w:color w:val="auto"/>
              </w:rPr>
              <w:t>‎Section 6.19</w:t>
            </w:r>
          </w:p>
        </w:tc>
      </w:tr>
      <w:tr>
        <w:trPr>
          <w:trHeight w:val="201"/>
        </w:trPr>
        <w:tc>
          <w:tcPr>
            <w:tcW w:w="680" w:type="dxa"/>
            <w:vAlign w:val="bottom"/>
          </w:tcPr>
          <w:p>
            <w:pPr>
              <w:spacing w:after="0"/>
              <w:rPr>
                <w:sz w:val="17"/>
                <w:szCs w:val="17"/>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Confidentiality Agreement</w:t>
            </w:r>
          </w:p>
        </w:tc>
        <w:tc>
          <w:tcPr>
            <w:tcW w:w="6760" w:type="dxa"/>
            <w:vAlign w:val="bottom"/>
            <w:gridSpan w:val="3"/>
          </w:tcPr>
          <w:p>
            <w:pPr>
              <w:jc w:val="center"/>
              <w:ind w:left="2533"/>
              <w:spacing w:after="0"/>
              <w:rPr>
                <w:sz w:val="20"/>
                <w:szCs w:val="20"/>
                <w:color w:val="auto"/>
              </w:rPr>
            </w:pPr>
            <w:r>
              <w:rPr>
                <w:rFonts w:ascii="Times New Roman" w:cs="Times New Roman" w:eastAsia="Times New Roman" w:hAnsi="Times New Roman"/>
                <w:sz w:val="17"/>
                <w:szCs w:val="17"/>
                <w:color w:val="auto"/>
              </w:rPr>
              <w:t>‎Section 6.02</w:t>
            </w:r>
          </w:p>
        </w:tc>
      </w:tr>
      <w:tr>
        <w:trPr>
          <w:trHeight w:val="201"/>
        </w:trPr>
        <w:tc>
          <w:tcPr>
            <w:tcW w:w="680" w:type="dxa"/>
            <w:vAlign w:val="bottom"/>
          </w:tcPr>
          <w:p>
            <w:pPr>
              <w:spacing w:after="0"/>
              <w:rPr>
                <w:sz w:val="17"/>
                <w:szCs w:val="17"/>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Consents</w:t>
            </w:r>
          </w:p>
        </w:tc>
        <w:tc>
          <w:tcPr>
            <w:tcW w:w="6760" w:type="dxa"/>
            <w:vAlign w:val="bottom"/>
            <w:gridSpan w:val="3"/>
          </w:tcPr>
          <w:p>
            <w:pPr>
              <w:jc w:val="center"/>
              <w:ind w:left="2533"/>
              <w:spacing w:after="0"/>
              <w:rPr>
                <w:sz w:val="20"/>
                <w:szCs w:val="20"/>
                <w:color w:val="auto"/>
              </w:rPr>
            </w:pPr>
            <w:r>
              <w:rPr>
                <w:rFonts w:ascii="Times New Roman" w:cs="Times New Roman" w:eastAsia="Times New Roman" w:hAnsi="Times New Roman"/>
                <w:sz w:val="17"/>
                <w:szCs w:val="17"/>
                <w:color w:val="auto"/>
              </w:rPr>
              <w:t>‎Section 6.04(a)</w:t>
            </w:r>
          </w:p>
        </w:tc>
      </w:tr>
      <w:tr>
        <w:trPr>
          <w:trHeight w:val="201"/>
        </w:trPr>
        <w:tc>
          <w:tcPr>
            <w:tcW w:w="680" w:type="dxa"/>
            <w:vAlign w:val="bottom"/>
          </w:tcPr>
          <w:p>
            <w:pPr>
              <w:spacing w:after="0"/>
              <w:rPr>
                <w:sz w:val="17"/>
                <w:szCs w:val="17"/>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Demand Notice</w:t>
            </w:r>
          </w:p>
        </w:tc>
        <w:tc>
          <w:tcPr>
            <w:tcW w:w="6760" w:type="dxa"/>
            <w:vAlign w:val="bottom"/>
            <w:gridSpan w:val="3"/>
          </w:tcPr>
          <w:p>
            <w:pPr>
              <w:jc w:val="center"/>
              <w:ind w:left="2533"/>
              <w:spacing w:after="0"/>
              <w:rPr>
                <w:sz w:val="20"/>
                <w:szCs w:val="20"/>
                <w:color w:val="auto"/>
              </w:rPr>
            </w:pPr>
            <w:r>
              <w:rPr>
                <w:rFonts w:ascii="Times New Roman" w:cs="Times New Roman" w:eastAsia="Times New Roman" w:hAnsi="Times New Roman"/>
                <w:sz w:val="17"/>
                <w:szCs w:val="17"/>
                <w:color w:val="auto"/>
              </w:rPr>
              <w:t>‎Section 6.02(d)</w:t>
            </w:r>
          </w:p>
        </w:tc>
      </w:tr>
      <w:tr>
        <w:trPr>
          <w:trHeight w:val="201"/>
        </w:trPr>
        <w:tc>
          <w:tcPr>
            <w:tcW w:w="680" w:type="dxa"/>
            <w:vAlign w:val="bottom"/>
          </w:tcPr>
          <w:p>
            <w:pPr>
              <w:spacing w:after="0"/>
              <w:rPr>
                <w:sz w:val="17"/>
                <w:szCs w:val="17"/>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DGCL</w:t>
            </w:r>
          </w:p>
        </w:tc>
        <w:tc>
          <w:tcPr>
            <w:tcW w:w="6760" w:type="dxa"/>
            <w:vAlign w:val="bottom"/>
            <w:gridSpan w:val="3"/>
          </w:tcPr>
          <w:p>
            <w:pPr>
              <w:jc w:val="center"/>
              <w:ind w:left="2533"/>
              <w:spacing w:after="0"/>
              <w:rPr>
                <w:sz w:val="20"/>
                <w:szCs w:val="20"/>
                <w:color w:val="auto"/>
              </w:rPr>
            </w:pPr>
            <w:r>
              <w:rPr>
                <w:rFonts w:ascii="Times New Roman" w:cs="Times New Roman" w:eastAsia="Times New Roman" w:hAnsi="Times New Roman"/>
                <w:sz w:val="17"/>
                <w:szCs w:val="17"/>
                <w:color w:val="auto"/>
              </w:rPr>
              <w:t>‎Section 1.01</w:t>
            </w:r>
          </w:p>
        </w:tc>
      </w:tr>
      <w:tr>
        <w:trPr>
          <w:trHeight w:val="201"/>
        </w:trPr>
        <w:tc>
          <w:tcPr>
            <w:tcW w:w="680" w:type="dxa"/>
            <w:vAlign w:val="bottom"/>
          </w:tcPr>
          <w:p>
            <w:pPr>
              <w:spacing w:after="0"/>
              <w:rPr>
                <w:sz w:val="17"/>
                <w:szCs w:val="17"/>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Dispute</w:t>
            </w:r>
          </w:p>
        </w:tc>
        <w:tc>
          <w:tcPr>
            <w:tcW w:w="6760" w:type="dxa"/>
            <w:vAlign w:val="bottom"/>
            <w:gridSpan w:val="3"/>
          </w:tcPr>
          <w:p>
            <w:pPr>
              <w:jc w:val="center"/>
              <w:ind w:left="2533"/>
              <w:spacing w:after="0"/>
              <w:rPr>
                <w:sz w:val="20"/>
                <w:szCs w:val="20"/>
                <w:color w:val="auto"/>
              </w:rPr>
            </w:pPr>
            <w:r>
              <w:rPr>
                <w:rFonts w:ascii="Times New Roman" w:cs="Times New Roman" w:eastAsia="Times New Roman" w:hAnsi="Times New Roman"/>
                <w:sz w:val="17"/>
                <w:szCs w:val="17"/>
                <w:color w:val="auto"/>
              </w:rPr>
              <w:t>‎Section 9.09</w:t>
            </w:r>
          </w:p>
        </w:tc>
      </w:tr>
      <w:tr>
        <w:trPr>
          <w:trHeight w:val="201"/>
        </w:trPr>
        <w:tc>
          <w:tcPr>
            <w:tcW w:w="680" w:type="dxa"/>
            <w:vAlign w:val="bottom"/>
          </w:tcPr>
          <w:p>
            <w:pPr>
              <w:spacing w:after="0"/>
              <w:rPr>
                <w:sz w:val="17"/>
                <w:szCs w:val="17"/>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DXL</w:t>
            </w:r>
          </w:p>
        </w:tc>
        <w:tc>
          <w:tcPr>
            <w:tcW w:w="4360" w:type="dxa"/>
            <w:vAlign w:val="bottom"/>
          </w:tcPr>
          <w:p>
            <w:pPr>
              <w:spacing w:after="0"/>
              <w:rPr>
                <w:sz w:val="17"/>
                <w:szCs w:val="17"/>
                <w:color w:val="auto"/>
              </w:rPr>
            </w:pPr>
          </w:p>
        </w:tc>
        <w:tc>
          <w:tcPr>
            <w:tcW w:w="2400" w:type="dxa"/>
            <w:vAlign w:val="bottom"/>
            <w:gridSpan w:val="2"/>
          </w:tcPr>
          <w:p>
            <w:pPr>
              <w:jc w:val="center"/>
              <w:ind w:right="1740"/>
              <w:spacing w:after="0"/>
              <w:rPr>
                <w:sz w:val="20"/>
                <w:szCs w:val="20"/>
                <w:color w:val="auto"/>
              </w:rPr>
            </w:pPr>
            <w:r>
              <w:rPr>
                <w:rFonts w:ascii="Times New Roman" w:cs="Times New Roman" w:eastAsia="Times New Roman" w:hAnsi="Times New Roman"/>
                <w:sz w:val="17"/>
                <w:szCs w:val="17"/>
                <w:color w:val="auto"/>
              </w:rPr>
              <w:t>Preamble</w:t>
            </w:r>
          </w:p>
        </w:tc>
      </w:tr>
      <w:tr>
        <w:trPr>
          <w:trHeight w:val="201"/>
        </w:trPr>
        <w:tc>
          <w:tcPr>
            <w:tcW w:w="680" w:type="dxa"/>
            <w:vAlign w:val="bottom"/>
          </w:tcPr>
          <w:p>
            <w:pPr>
              <w:spacing w:after="0"/>
              <w:rPr>
                <w:sz w:val="17"/>
                <w:szCs w:val="17"/>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DXL Acquisition Agreement</w:t>
            </w:r>
          </w:p>
        </w:tc>
        <w:tc>
          <w:tcPr>
            <w:tcW w:w="6760" w:type="dxa"/>
            <w:vAlign w:val="bottom"/>
            <w:gridSpan w:val="3"/>
          </w:tcPr>
          <w:p>
            <w:pPr>
              <w:jc w:val="center"/>
              <w:ind w:left="2533"/>
              <w:spacing w:after="0"/>
              <w:rPr>
                <w:sz w:val="20"/>
                <w:szCs w:val="20"/>
                <w:color w:val="auto"/>
              </w:rPr>
            </w:pPr>
            <w:r>
              <w:rPr>
                <w:rFonts w:ascii="Times New Roman" w:cs="Times New Roman" w:eastAsia="Times New Roman" w:hAnsi="Times New Roman"/>
                <w:sz w:val="17"/>
                <w:szCs w:val="17"/>
                <w:color w:val="auto"/>
              </w:rPr>
              <w:t>‎Section 5.06(a)</w:t>
            </w:r>
          </w:p>
        </w:tc>
      </w:tr>
      <w:tr>
        <w:trPr>
          <w:trHeight w:val="201"/>
        </w:trPr>
        <w:tc>
          <w:tcPr>
            <w:tcW w:w="680" w:type="dxa"/>
            <w:vAlign w:val="bottom"/>
          </w:tcPr>
          <w:p>
            <w:pPr>
              <w:spacing w:after="0"/>
              <w:rPr>
                <w:sz w:val="17"/>
                <w:szCs w:val="17"/>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DXL Adverse Recommendation Change</w:t>
            </w:r>
          </w:p>
        </w:tc>
        <w:tc>
          <w:tcPr>
            <w:tcW w:w="6760" w:type="dxa"/>
            <w:vAlign w:val="bottom"/>
            <w:gridSpan w:val="3"/>
          </w:tcPr>
          <w:p>
            <w:pPr>
              <w:jc w:val="center"/>
              <w:ind w:left="2513"/>
              <w:spacing w:after="0"/>
              <w:rPr>
                <w:sz w:val="20"/>
                <w:szCs w:val="20"/>
                <w:color w:val="auto"/>
              </w:rPr>
            </w:pPr>
            <w:r>
              <w:rPr>
                <w:rFonts w:ascii="Times New Roman" w:cs="Times New Roman" w:eastAsia="Times New Roman" w:hAnsi="Times New Roman"/>
                <w:sz w:val="17"/>
                <w:szCs w:val="17"/>
                <w:color w:val="auto"/>
              </w:rPr>
              <w:t>‎Section 5.06(f)</w:t>
            </w:r>
          </w:p>
        </w:tc>
      </w:tr>
      <w:tr>
        <w:trPr>
          <w:trHeight w:val="201"/>
        </w:trPr>
        <w:tc>
          <w:tcPr>
            <w:tcW w:w="680" w:type="dxa"/>
            <w:vAlign w:val="bottom"/>
          </w:tcPr>
          <w:p>
            <w:pPr>
              <w:spacing w:after="0"/>
              <w:rPr>
                <w:sz w:val="17"/>
                <w:szCs w:val="17"/>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DXL Benefit Plan</w:t>
            </w:r>
          </w:p>
        </w:tc>
        <w:tc>
          <w:tcPr>
            <w:tcW w:w="6760" w:type="dxa"/>
            <w:vAlign w:val="bottom"/>
            <w:gridSpan w:val="3"/>
          </w:tcPr>
          <w:p>
            <w:pPr>
              <w:jc w:val="center"/>
              <w:ind w:left="2533"/>
              <w:spacing w:after="0"/>
              <w:rPr>
                <w:sz w:val="20"/>
                <w:szCs w:val="20"/>
                <w:color w:val="auto"/>
              </w:rPr>
            </w:pPr>
            <w:r>
              <w:rPr>
                <w:rFonts w:ascii="Times New Roman" w:cs="Times New Roman" w:eastAsia="Times New Roman" w:hAnsi="Times New Roman"/>
                <w:sz w:val="17"/>
                <w:szCs w:val="17"/>
                <w:color w:val="auto"/>
              </w:rPr>
              <w:t>‎Section 3.11(a)</w:t>
            </w:r>
          </w:p>
        </w:tc>
      </w:tr>
      <w:tr>
        <w:trPr>
          <w:trHeight w:val="201"/>
        </w:trPr>
        <w:tc>
          <w:tcPr>
            <w:tcW w:w="680" w:type="dxa"/>
            <w:vAlign w:val="bottom"/>
          </w:tcPr>
          <w:p>
            <w:pPr>
              <w:spacing w:after="0"/>
              <w:rPr>
                <w:sz w:val="17"/>
                <w:szCs w:val="17"/>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DXL Board</w:t>
            </w:r>
          </w:p>
        </w:tc>
        <w:tc>
          <w:tcPr>
            <w:tcW w:w="4360" w:type="dxa"/>
            <w:vAlign w:val="bottom"/>
          </w:tcPr>
          <w:p>
            <w:pPr>
              <w:spacing w:after="0"/>
              <w:rPr>
                <w:sz w:val="17"/>
                <w:szCs w:val="17"/>
                <w:color w:val="auto"/>
              </w:rPr>
            </w:pPr>
          </w:p>
        </w:tc>
        <w:tc>
          <w:tcPr>
            <w:tcW w:w="2400" w:type="dxa"/>
            <w:vAlign w:val="bottom"/>
            <w:gridSpan w:val="2"/>
          </w:tcPr>
          <w:p>
            <w:pPr>
              <w:jc w:val="center"/>
              <w:ind w:right="1740"/>
              <w:spacing w:after="0"/>
              <w:rPr>
                <w:sz w:val="20"/>
                <w:szCs w:val="20"/>
                <w:color w:val="auto"/>
              </w:rPr>
            </w:pPr>
            <w:r>
              <w:rPr>
                <w:rFonts w:ascii="Times New Roman" w:cs="Times New Roman" w:eastAsia="Times New Roman" w:hAnsi="Times New Roman"/>
                <w:sz w:val="17"/>
                <w:szCs w:val="17"/>
                <w:color w:val="auto"/>
                <w:w w:val="98"/>
              </w:rPr>
              <w:t>Recitals</w:t>
            </w:r>
          </w:p>
        </w:tc>
      </w:tr>
      <w:tr>
        <w:trPr>
          <w:trHeight w:val="201"/>
        </w:trPr>
        <w:tc>
          <w:tcPr>
            <w:tcW w:w="680" w:type="dxa"/>
            <w:vAlign w:val="bottom"/>
          </w:tcPr>
          <w:p>
            <w:pPr>
              <w:spacing w:after="0"/>
              <w:rPr>
                <w:sz w:val="17"/>
                <w:szCs w:val="17"/>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DXL Capital Stock</w:t>
            </w:r>
          </w:p>
        </w:tc>
        <w:tc>
          <w:tcPr>
            <w:tcW w:w="6760" w:type="dxa"/>
            <w:vAlign w:val="bottom"/>
            <w:gridSpan w:val="3"/>
          </w:tcPr>
          <w:p>
            <w:pPr>
              <w:jc w:val="center"/>
              <w:ind w:left="2533"/>
              <w:spacing w:after="0"/>
              <w:rPr>
                <w:sz w:val="20"/>
                <w:szCs w:val="20"/>
                <w:color w:val="auto"/>
              </w:rPr>
            </w:pPr>
            <w:r>
              <w:rPr>
                <w:rFonts w:ascii="Times New Roman" w:cs="Times New Roman" w:eastAsia="Times New Roman" w:hAnsi="Times New Roman"/>
                <w:sz w:val="17"/>
                <w:szCs w:val="17"/>
                <w:color w:val="auto"/>
              </w:rPr>
              <w:t>‎Section 3.02(a)(i)</w:t>
            </w:r>
          </w:p>
        </w:tc>
      </w:tr>
      <w:tr>
        <w:trPr>
          <w:trHeight w:val="201"/>
        </w:trPr>
        <w:tc>
          <w:tcPr>
            <w:tcW w:w="680" w:type="dxa"/>
            <w:vAlign w:val="bottom"/>
          </w:tcPr>
          <w:p>
            <w:pPr>
              <w:spacing w:after="0"/>
              <w:rPr>
                <w:sz w:val="17"/>
                <w:szCs w:val="17"/>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DXL Employees</w:t>
            </w:r>
          </w:p>
        </w:tc>
        <w:tc>
          <w:tcPr>
            <w:tcW w:w="6760" w:type="dxa"/>
            <w:vAlign w:val="bottom"/>
            <w:gridSpan w:val="3"/>
          </w:tcPr>
          <w:p>
            <w:pPr>
              <w:jc w:val="center"/>
              <w:ind w:left="2533"/>
              <w:spacing w:after="0"/>
              <w:rPr>
                <w:sz w:val="20"/>
                <w:szCs w:val="20"/>
                <w:color w:val="auto"/>
              </w:rPr>
            </w:pPr>
            <w:r>
              <w:rPr>
                <w:rFonts w:ascii="Times New Roman" w:cs="Times New Roman" w:eastAsia="Times New Roman" w:hAnsi="Times New Roman"/>
                <w:sz w:val="17"/>
                <w:szCs w:val="17"/>
                <w:color w:val="auto"/>
              </w:rPr>
              <w:t>‎Section 3.12(a)</w:t>
            </w:r>
          </w:p>
        </w:tc>
      </w:tr>
      <w:tr>
        <w:trPr>
          <w:trHeight w:val="201"/>
        </w:trPr>
        <w:tc>
          <w:tcPr>
            <w:tcW w:w="680" w:type="dxa"/>
            <w:vAlign w:val="bottom"/>
          </w:tcPr>
          <w:p>
            <w:pPr>
              <w:spacing w:after="0"/>
              <w:rPr>
                <w:sz w:val="17"/>
                <w:szCs w:val="17"/>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DXL Fairness Opinion</w:t>
            </w:r>
          </w:p>
        </w:tc>
        <w:tc>
          <w:tcPr>
            <w:tcW w:w="6760" w:type="dxa"/>
            <w:vAlign w:val="bottom"/>
            <w:gridSpan w:val="3"/>
          </w:tcPr>
          <w:p>
            <w:pPr>
              <w:jc w:val="center"/>
              <w:ind w:left="2533"/>
              <w:spacing w:after="0"/>
              <w:rPr>
                <w:sz w:val="20"/>
                <w:szCs w:val="20"/>
                <w:color w:val="auto"/>
              </w:rPr>
            </w:pPr>
            <w:r>
              <w:rPr>
                <w:rFonts w:ascii="Times New Roman" w:cs="Times New Roman" w:eastAsia="Times New Roman" w:hAnsi="Times New Roman"/>
                <w:sz w:val="17"/>
                <w:szCs w:val="17"/>
                <w:color w:val="auto"/>
              </w:rPr>
              <w:t>‎Section 3.24</w:t>
            </w:r>
          </w:p>
        </w:tc>
      </w:tr>
      <w:tr>
        <w:trPr>
          <w:trHeight w:val="201"/>
        </w:trPr>
        <w:tc>
          <w:tcPr>
            <w:tcW w:w="680" w:type="dxa"/>
            <w:vAlign w:val="bottom"/>
          </w:tcPr>
          <w:p>
            <w:pPr>
              <w:spacing w:after="0"/>
              <w:rPr>
                <w:sz w:val="17"/>
                <w:szCs w:val="17"/>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DXL Initiated Registration</w:t>
            </w:r>
          </w:p>
        </w:tc>
        <w:tc>
          <w:tcPr>
            <w:tcW w:w="6760" w:type="dxa"/>
            <w:vAlign w:val="bottom"/>
            <w:gridSpan w:val="3"/>
          </w:tcPr>
          <w:p>
            <w:pPr>
              <w:jc w:val="center"/>
              <w:ind w:left="2533"/>
              <w:spacing w:after="0"/>
              <w:rPr>
                <w:sz w:val="20"/>
                <w:szCs w:val="20"/>
                <w:color w:val="auto"/>
              </w:rPr>
            </w:pPr>
            <w:r>
              <w:rPr>
                <w:rFonts w:ascii="Times New Roman" w:cs="Times New Roman" w:eastAsia="Times New Roman" w:hAnsi="Times New Roman"/>
                <w:sz w:val="17"/>
                <w:szCs w:val="17"/>
                <w:color w:val="auto"/>
              </w:rPr>
              <w:t>‎Section 6.02(e)</w:t>
            </w:r>
          </w:p>
        </w:tc>
      </w:tr>
      <w:tr>
        <w:trPr>
          <w:trHeight w:val="201"/>
        </w:trPr>
        <w:tc>
          <w:tcPr>
            <w:tcW w:w="680" w:type="dxa"/>
            <w:vAlign w:val="bottom"/>
          </w:tcPr>
          <w:p>
            <w:pPr>
              <w:spacing w:after="0"/>
              <w:rPr>
                <w:sz w:val="17"/>
                <w:szCs w:val="17"/>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DXL Leased Real Property</w:t>
            </w:r>
          </w:p>
        </w:tc>
        <w:tc>
          <w:tcPr>
            <w:tcW w:w="6760" w:type="dxa"/>
            <w:vAlign w:val="bottom"/>
            <w:gridSpan w:val="3"/>
          </w:tcPr>
          <w:p>
            <w:pPr>
              <w:jc w:val="center"/>
              <w:ind w:left="2533"/>
              <w:spacing w:after="0"/>
              <w:rPr>
                <w:sz w:val="20"/>
                <w:szCs w:val="20"/>
                <w:color w:val="auto"/>
              </w:rPr>
            </w:pPr>
            <w:r>
              <w:rPr>
                <w:rFonts w:ascii="Times New Roman" w:cs="Times New Roman" w:eastAsia="Times New Roman" w:hAnsi="Times New Roman"/>
                <w:sz w:val="17"/>
                <w:szCs w:val="17"/>
                <w:color w:val="auto"/>
              </w:rPr>
              <w:t>‎Section 3.22(b)</w:t>
            </w:r>
          </w:p>
        </w:tc>
      </w:tr>
      <w:tr>
        <w:trPr>
          <w:trHeight w:val="201"/>
        </w:trPr>
        <w:tc>
          <w:tcPr>
            <w:tcW w:w="680" w:type="dxa"/>
            <w:vAlign w:val="bottom"/>
          </w:tcPr>
          <w:p>
            <w:pPr>
              <w:spacing w:after="0"/>
              <w:rPr>
                <w:sz w:val="17"/>
                <w:szCs w:val="17"/>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DXL Licenses</w:t>
            </w:r>
          </w:p>
        </w:tc>
        <w:tc>
          <w:tcPr>
            <w:tcW w:w="6760" w:type="dxa"/>
            <w:vAlign w:val="bottom"/>
            <w:gridSpan w:val="3"/>
          </w:tcPr>
          <w:p>
            <w:pPr>
              <w:jc w:val="center"/>
              <w:ind w:left="2533"/>
              <w:spacing w:after="0"/>
              <w:rPr>
                <w:sz w:val="20"/>
                <w:szCs w:val="20"/>
                <w:color w:val="auto"/>
              </w:rPr>
            </w:pPr>
            <w:r>
              <w:rPr>
                <w:rFonts w:ascii="Times New Roman" w:cs="Times New Roman" w:eastAsia="Times New Roman" w:hAnsi="Times New Roman"/>
                <w:sz w:val="17"/>
                <w:szCs w:val="17"/>
                <w:color w:val="auto"/>
              </w:rPr>
              <w:t>‎Section 3.14(a)</w:t>
            </w:r>
          </w:p>
        </w:tc>
      </w:tr>
      <w:tr>
        <w:trPr>
          <w:trHeight w:val="201"/>
        </w:trPr>
        <w:tc>
          <w:tcPr>
            <w:tcW w:w="680" w:type="dxa"/>
            <w:vAlign w:val="bottom"/>
          </w:tcPr>
          <w:p>
            <w:pPr>
              <w:spacing w:after="0"/>
              <w:rPr>
                <w:sz w:val="17"/>
                <w:szCs w:val="17"/>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DXL Material Contract</w:t>
            </w:r>
          </w:p>
        </w:tc>
        <w:tc>
          <w:tcPr>
            <w:tcW w:w="6760" w:type="dxa"/>
            <w:vAlign w:val="bottom"/>
            <w:gridSpan w:val="3"/>
          </w:tcPr>
          <w:p>
            <w:pPr>
              <w:jc w:val="center"/>
              <w:ind w:left="2533"/>
              <w:spacing w:after="0"/>
              <w:rPr>
                <w:sz w:val="20"/>
                <w:szCs w:val="20"/>
                <w:color w:val="auto"/>
              </w:rPr>
            </w:pPr>
            <w:r>
              <w:rPr>
                <w:rFonts w:ascii="Times New Roman" w:cs="Times New Roman" w:eastAsia="Times New Roman" w:hAnsi="Times New Roman"/>
                <w:sz w:val="17"/>
                <w:szCs w:val="17"/>
                <w:color w:val="auto"/>
              </w:rPr>
              <w:t>‎Section 3.15(a)</w:t>
            </w:r>
          </w:p>
        </w:tc>
      </w:tr>
      <w:tr>
        <w:trPr>
          <w:trHeight w:val="201"/>
        </w:trPr>
        <w:tc>
          <w:tcPr>
            <w:tcW w:w="680" w:type="dxa"/>
            <w:vAlign w:val="bottom"/>
          </w:tcPr>
          <w:p>
            <w:pPr>
              <w:spacing w:after="0"/>
              <w:rPr>
                <w:sz w:val="17"/>
                <w:szCs w:val="17"/>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DXL Nominee Directors</w:t>
            </w:r>
          </w:p>
        </w:tc>
        <w:tc>
          <w:tcPr>
            <w:tcW w:w="6760" w:type="dxa"/>
            <w:vAlign w:val="bottom"/>
            <w:gridSpan w:val="3"/>
          </w:tcPr>
          <w:p>
            <w:pPr>
              <w:jc w:val="center"/>
              <w:ind w:left="2533"/>
              <w:spacing w:after="0"/>
              <w:rPr>
                <w:sz w:val="20"/>
                <w:szCs w:val="20"/>
                <w:color w:val="auto"/>
              </w:rPr>
            </w:pPr>
            <w:r>
              <w:rPr>
                <w:rFonts w:ascii="Times New Roman" w:cs="Times New Roman" w:eastAsia="Times New Roman" w:hAnsi="Times New Roman"/>
                <w:sz w:val="17"/>
                <w:szCs w:val="17"/>
                <w:color w:val="auto"/>
              </w:rPr>
              <w:t>‎Section 6.09(a)</w:t>
            </w:r>
          </w:p>
        </w:tc>
      </w:tr>
      <w:tr>
        <w:trPr>
          <w:trHeight w:val="201"/>
        </w:trPr>
        <w:tc>
          <w:tcPr>
            <w:tcW w:w="680" w:type="dxa"/>
            <w:vAlign w:val="bottom"/>
          </w:tcPr>
          <w:p>
            <w:pPr>
              <w:spacing w:after="0"/>
              <w:rPr>
                <w:sz w:val="17"/>
                <w:szCs w:val="17"/>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DXL Owned Real Property</w:t>
            </w:r>
          </w:p>
        </w:tc>
        <w:tc>
          <w:tcPr>
            <w:tcW w:w="6760" w:type="dxa"/>
            <w:vAlign w:val="bottom"/>
            <w:gridSpan w:val="3"/>
          </w:tcPr>
          <w:p>
            <w:pPr>
              <w:jc w:val="center"/>
              <w:ind w:left="2533"/>
              <w:spacing w:after="0"/>
              <w:rPr>
                <w:sz w:val="20"/>
                <w:szCs w:val="20"/>
                <w:color w:val="auto"/>
              </w:rPr>
            </w:pPr>
            <w:r>
              <w:rPr>
                <w:rFonts w:ascii="Times New Roman" w:cs="Times New Roman" w:eastAsia="Times New Roman" w:hAnsi="Times New Roman"/>
                <w:sz w:val="17"/>
                <w:szCs w:val="17"/>
                <w:color w:val="auto"/>
              </w:rPr>
              <w:t>‎Section 3.22(a)</w:t>
            </w:r>
          </w:p>
        </w:tc>
      </w:tr>
      <w:tr>
        <w:trPr>
          <w:trHeight w:val="201"/>
        </w:trPr>
        <w:tc>
          <w:tcPr>
            <w:tcW w:w="680" w:type="dxa"/>
            <w:vAlign w:val="bottom"/>
          </w:tcPr>
          <w:p>
            <w:pPr>
              <w:spacing w:after="0"/>
              <w:rPr>
                <w:sz w:val="17"/>
                <w:szCs w:val="17"/>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DXL Real Property Lease</w:t>
            </w:r>
          </w:p>
        </w:tc>
        <w:tc>
          <w:tcPr>
            <w:tcW w:w="6760" w:type="dxa"/>
            <w:vAlign w:val="bottom"/>
            <w:gridSpan w:val="3"/>
          </w:tcPr>
          <w:p>
            <w:pPr>
              <w:jc w:val="center"/>
              <w:ind w:left="2533"/>
              <w:spacing w:after="0"/>
              <w:rPr>
                <w:sz w:val="20"/>
                <w:szCs w:val="20"/>
                <w:color w:val="auto"/>
              </w:rPr>
            </w:pPr>
            <w:r>
              <w:rPr>
                <w:rFonts w:ascii="Times New Roman" w:cs="Times New Roman" w:eastAsia="Times New Roman" w:hAnsi="Times New Roman"/>
                <w:sz w:val="17"/>
                <w:szCs w:val="17"/>
                <w:color w:val="auto"/>
              </w:rPr>
              <w:t>‎Section 3.22(b)</w:t>
            </w:r>
          </w:p>
        </w:tc>
      </w:tr>
      <w:tr>
        <w:trPr>
          <w:trHeight w:val="201"/>
        </w:trPr>
        <w:tc>
          <w:tcPr>
            <w:tcW w:w="680" w:type="dxa"/>
            <w:vAlign w:val="bottom"/>
          </w:tcPr>
          <w:p>
            <w:pPr>
              <w:spacing w:after="0"/>
              <w:rPr>
                <w:sz w:val="17"/>
                <w:szCs w:val="17"/>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DXL SEC Reports</w:t>
            </w:r>
          </w:p>
        </w:tc>
        <w:tc>
          <w:tcPr>
            <w:tcW w:w="6760" w:type="dxa"/>
            <w:vAlign w:val="bottom"/>
            <w:gridSpan w:val="3"/>
          </w:tcPr>
          <w:p>
            <w:pPr>
              <w:jc w:val="center"/>
              <w:ind w:left="2533"/>
              <w:spacing w:after="0"/>
              <w:rPr>
                <w:sz w:val="20"/>
                <w:szCs w:val="20"/>
                <w:color w:val="auto"/>
              </w:rPr>
            </w:pPr>
            <w:r>
              <w:rPr>
                <w:rFonts w:ascii="Times New Roman" w:cs="Times New Roman" w:eastAsia="Times New Roman" w:hAnsi="Times New Roman"/>
                <w:sz w:val="17"/>
                <w:szCs w:val="17"/>
                <w:color w:val="auto"/>
              </w:rPr>
              <w:t>‎Section 3.05</w:t>
            </w:r>
          </w:p>
        </w:tc>
      </w:tr>
      <w:tr>
        <w:trPr>
          <w:trHeight w:val="201"/>
        </w:trPr>
        <w:tc>
          <w:tcPr>
            <w:tcW w:w="680" w:type="dxa"/>
            <w:vAlign w:val="bottom"/>
          </w:tcPr>
          <w:p>
            <w:pPr>
              <w:spacing w:after="0"/>
              <w:rPr>
                <w:sz w:val="17"/>
                <w:szCs w:val="17"/>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DXL Stockholder Matters</w:t>
            </w:r>
          </w:p>
        </w:tc>
        <w:tc>
          <w:tcPr>
            <w:tcW w:w="6760" w:type="dxa"/>
            <w:vAlign w:val="bottom"/>
            <w:gridSpan w:val="3"/>
          </w:tcPr>
          <w:p>
            <w:pPr>
              <w:jc w:val="center"/>
              <w:ind w:left="2533"/>
              <w:spacing w:after="0"/>
              <w:rPr>
                <w:sz w:val="20"/>
                <w:szCs w:val="20"/>
                <w:color w:val="auto"/>
              </w:rPr>
            </w:pPr>
            <w:r>
              <w:rPr>
                <w:rFonts w:ascii="Times New Roman" w:cs="Times New Roman" w:eastAsia="Times New Roman" w:hAnsi="Times New Roman"/>
                <w:sz w:val="17"/>
                <w:szCs w:val="17"/>
                <w:color w:val="auto"/>
              </w:rPr>
              <w:t>‎Section 3.03(b)</w:t>
            </w:r>
          </w:p>
        </w:tc>
      </w:tr>
      <w:tr>
        <w:trPr>
          <w:trHeight w:val="201"/>
        </w:trPr>
        <w:tc>
          <w:tcPr>
            <w:tcW w:w="680" w:type="dxa"/>
            <w:vAlign w:val="bottom"/>
          </w:tcPr>
          <w:p>
            <w:pPr>
              <w:spacing w:after="0"/>
              <w:rPr>
                <w:sz w:val="17"/>
                <w:szCs w:val="17"/>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DXL Stockholders Meeting</w:t>
            </w:r>
          </w:p>
        </w:tc>
        <w:tc>
          <w:tcPr>
            <w:tcW w:w="6760" w:type="dxa"/>
            <w:vAlign w:val="bottom"/>
            <w:gridSpan w:val="3"/>
          </w:tcPr>
          <w:p>
            <w:pPr>
              <w:jc w:val="center"/>
              <w:ind w:left="2533"/>
              <w:spacing w:after="0"/>
              <w:rPr>
                <w:sz w:val="20"/>
                <w:szCs w:val="20"/>
                <w:color w:val="auto"/>
              </w:rPr>
            </w:pPr>
            <w:r>
              <w:rPr>
                <w:rFonts w:ascii="Times New Roman" w:cs="Times New Roman" w:eastAsia="Times New Roman" w:hAnsi="Times New Roman"/>
                <w:sz w:val="17"/>
                <w:szCs w:val="17"/>
                <w:color w:val="auto"/>
              </w:rPr>
              <w:t>‎Section 3.03(b)</w:t>
            </w:r>
          </w:p>
        </w:tc>
      </w:tr>
      <w:tr>
        <w:trPr>
          <w:trHeight w:val="201"/>
        </w:trPr>
        <w:tc>
          <w:tcPr>
            <w:tcW w:w="680" w:type="dxa"/>
            <w:vAlign w:val="bottom"/>
          </w:tcPr>
          <w:p>
            <w:pPr>
              <w:spacing w:after="0"/>
              <w:rPr>
                <w:sz w:val="17"/>
                <w:szCs w:val="17"/>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DXL Superior Proposal</w:t>
            </w:r>
          </w:p>
        </w:tc>
        <w:tc>
          <w:tcPr>
            <w:tcW w:w="6760" w:type="dxa"/>
            <w:vAlign w:val="bottom"/>
            <w:gridSpan w:val="3"/>
          </w:tcPr>
          <w:p>
            <w:pPr>
              <w:jc w:val="center"/>
              <w:ind w:left="2533"/>
              <w:spacing w:after="0"/>
              <w:rPr>
                <w:sz w:val="20"/>
                <w:szCs w:val="20"/>
                <w:color w:val="auto"/>
              </w:rPr>
            </w:pPr>
            <w:r>
              <w:rPr>
                <w:rFonts w:ascii="Times New Roman" w:cs="Times New Roman" w:eastAsia="Times New Roman" w:hAnsi="Times New Roman"/>
                <w:sz w:val="17"/>
                <w:szCs w:val="17"/>
                <w:color w:val="auto"/>
              </w:rPr>
              <w:t>‎Section 5.06(e)</w:t>
            </w:r>
          </w:p>
        </w:tc>
      </w:tr>
      <w:tr>
        <w:trPr>
          <w:trHeight w:val="201"/>
        </w:trPr>
        <w:tc>
          <w:tcPr>
            <w:tcW w:w="680" w:type="dxa"/>
            <w:vAlign w:val="bottom"/>
          </w:tcPr>
          <w:p>
            <w:pPr>
              <w:spacing w:after="0"/>
              <w:rPr>
                <w:sz w:val="17"/>
                <w:szCs w:val="17"/>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DXL Takeover Proposal</w:t>
            </w:r>
          </w:p>
        </w:tc>
        <w:tc>
          <w:tcPr>
            <w:tcW w:w="6760" w:type="dxa"/>
            <w:vAlign w:val="bottom"/>
            <w:gridSpan w:val="3"/>
          </w:tcPr>
          <w:p>
            <w:pPr>
              <w:jc w:val="center"/>
              <w:ind w:left="2533"/>
              <w:spacing w:after="0"/>
              <w:rPr>
                <w:sz w:val="20"/>
                <w:szCs w:val="20"/>
                <w:color w:val="auto"/>
              </w:rPr>
            </w:pPr>
            <w:r>
              <w:rPr>
                <w:rFonts w:ascii="Times New Roman" w:cs="Times New Roman" w:eastAsia="Times New Roman" w:hAnsi="Times New Roman"/>
                <w:sz w:val="17"/>
                <w:szCs w:val="17"/>
                <w:color w:val="auto"/>
              </w:rPr>
              <w:t>‎Section 5.06(b)</w:t>
            </w:r>
          </w:p>
        </w:tc>
      </w:tr>
      <w:tr>
        <w:trPr>
          <w:trHeight w:val="201"/>
        </w:trPr>
        <w:tc>
          <w:tcPr>
            <w:tcW w:w="680" w:type="dxa"/>
            <w:vAlign w:val="bottom"/>
          </w:tcPr>
          <w:p>
            <w:pPr>
              <w:spacing w:after="0"/>
              <w:rPr>
                <w:sz w:val="17"/>
                <w:szCs w:val="17"/>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DXL Termination Fee</w:t>
            </w:r>
          </w:p>
        </w:tc>
        <w:tc>
          <w:tcPr>
            <w:tcW w:w="6760" w:type="dxa"/>
            <w:vAlign w:val="bottom"/>
            <w:gridSpan w:val="3"/>
          </w:tcPr>
          <w:p>
            <w:pPr>
              <w:jc w:val="center"/>
              <w:ind w:left="2533"/>
              <w:spacing w:after="0"/>
              <w:rPr>
                <w:sz w:val="20"/>
                <w:szCs w:val="20"/>
                <w:color w:val="auto"/>
              </w:rPr>
            </w:pPr>
            <w:r>
              <w:rPr>
                <w:rFonts w:ascii="Times New Roman" w:cs="Times New Roman" w:eastAsia="Times New Roman" w:hAnsi="Times New Roman"/>
                <w:sz w:val="17"/>
                <w:szCs w:val="17"/>
                <w:color w:val="auto"/>
              </w:rPr>
              <w:t>‎Section 6.07(b)</w:t>
            </w:r>
          </w:p>
        </w:tc>
      </w:tr>
      <w:tr>
        <w:trPr>
          <w:trHeight w:val="201"/>
        </w:trPr>
        <w:tc>
          <w:tcPr>
            <w:tcW w:w="680" w:type="dxa"/>
            <w:vAlign w:val="bottom"/>
          </w:tcPr>
          <w:p>
            <w:pPr>
              <w:spacing w:after="0"/>
              <w:rPr>
                <w:sz w:val="17"/>
                <w:szCs w:val="17"/>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DXL Voting Debt</w:t>
            </w:r>
          </w:p>
        </w:tc>
        <w:tc>
          <w:tcPr>
            <w:tcW w:w="6760" w:type="dxa"/>
            <w:vAlign w:val="bottom"/>
            <w:gridSpan w:val="3"/>
          </w:tcPr>
          <w:p>
            <w:pPr>
              <w:jc w:val="center"/>
              <w:ind w:left="2533"/>
              <w:spacing w:after="0"/>
              <w:rPr>
                <w:sz w:val="20"/>
                <w:szCs w:val="20"/>
                <w:color w:val="auto"/>
              </w:rPr>
            </w:pPr>
            <w:r>
              <w:rPr>
                <w:rFonts w:ascii="Times New Roman" w:cs="Times New Roman" w:eastAsia="Times New Roman" w:hAnsi="Times New Roman"/>
                <w:sz w:val="17"/>
                <w:szCs w:val="17"/>
                <w:color w:val="auto"/>
              </w:rPr>
              <w:t>‎Section 3.02(b)</w:t>
            </w:r>
          </w:p>
        </w:tc>
      </w:tr>
      <w:tr>
        <w:trPr>
          <w:trHeight w:val="201"/>
        </w:trPr>
        <w:tc>
          <w:tcPr>
            <w:tcW w:w="680" w:type="dxa"/>
            <w:vAlign w:val="bottom"/>
          </w:tcPr>
          <w:p>
            <w:pPr>
              <w:spacing w:after="0"/>
              <w:rPr>
                <w:sz w:val="17"/>
                <w:szCs w:val="17"/>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DXL’s Financial Advisor</w:t>
            </w:r>
          </w:p>
        </w:tc>
        <w:tc>
          <w:tcPr>
            <w:tcW w:w="6760" w:type="dxa"/>
            <w:vAlign w:val="bottom"/>
            <w:gridSpan w:val="3"/>
          </w:tcPr>
          <w:p>
            <w:pPr>
              <w:jc w:val="center"/>
              <w:ind w:left="2533"/>
              <w:spacing w:after="0"/>
              <w:rPr>
                <w:sz w:val="20"/>
                <w:szCs w:val="20"/>
                <w:color w:val="auto"/>
              </w:rPr>
            </w:pPr>
            <w:r>
              <w:rPr>
                <w:rFonts w:ascii="Times New Roman" w:cs="Times New Roman" w:eastAsia="Times New Roman" w:hAnsi="Times New Roman"/>
                <w:sz w:val="17"/>
                <w:szCs w:val="17"/>
                <w:color w:val="auto"/>
              </w:rPr>
              <w:t>‎Section 3.07</w:t>
            </w:r>
          </w:p>
        </w:tc>
      </w:tr>
      <w:tr>
        <w:trPr>
          <w:trHeight w:val="201"/>
        </w:trPr>
        <w:tc>
          <w:tcPr>
            <w:tcW w:w="680" w:type="dxa"/>
            <w:vAlign w:val="bottom"/>
          </w:tcPr>
          <w:p>
            <w:pPr>
              <w:spacing w:after="0"/>
              <w:rPr>
                <w:sz w:val="17"/>
                <w:szCs w:val="17"/>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D&amp;O Indemnified Parties</w:t>
            </w:r>
          </w:p>
        </w:tc>
        <w:tc>
          <w:tcPr>
            <w:tcW w:w="6760" w:type="dxa"/>
            <w:vAlign w:val="bottom"/>
            <w:gridSpan w:val="3"/>
          </w:tcPr>
          <w:p>
            <w:pPr>
              <w:jc w:val="center"/>
              <w:ind w:left="2533"/>
              <w:spacing w:after="0"/>
              <w:rPr>
                <w:sz w:val="20"/>
                <w:szCs w:val="20"/>
                <w:color w:val="auto"/>
              </w:rPr>
            </w:pPr>
            <w:r>
              <w:rPr>
                <w:rFonts w:ascii="Times New Roman" w:cs="Times New Roman" w:eastAsia="Times New Roman" w:hAnsi="Times New Roman"/>
                <w:sz w:val="17"/>
                <w:szCs w:val="17"/>
                <w:color w:val="auto"/>
              </w:rPr>
              <w:t>‎Section 6.11(a)</w:t>
            </w:r>
          </w:p>
        </w:tc>
      </w:tr>
      <w:tr>
        <w:trPr>
          <w:trHeight w:val="201"/>
        </w:trPr>
        <w:tc>
          <w:tcPr>
            <w:tcW w:w="680" w:type="dxa"/>
            <w:vAlign w:val="bottom"/>
          </w:tcPr>
          <w:p>
            <w:pPr>
              <w:spacing w:after="0"/>
              <w:rPr>
                <w:sz w:val="17"/>
                <w:szCs w:val="17"/>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Effective Time</w:t>
            </w:r>
          </w:p>
        </w:tc>
        <w:tc>
          <w:tcPr>
            <w:tcW w:w="6760" w:type="dxa"/>
            <w:vAlign w:val="bottom"/>
            <w:gridSpan w:val="3"/>
          </w:tcPr>
          <w:p>
            <w:pPr>
              <w:jc w:val="center"/>
              <w:ind w:left="2533"/>
              <w:spacing w:after="0"/>
              <w:rPr>
                <w:sz w:val="20"/>
                <w:szCs w:val="20"/>
                <w:color w:val="auto"/>
              </w:rPr>
            </w:pPr>
            <w:r>
              <w:rPr>
                <w:rFonts w:ascii="Times New Roman" w:cs="Times New Roman" w:eastAsia="Times New Roman" w:hAnsi="Times New Roman"/>
                <w:sz w:val="17"/>
                <w:szCs w:val="17"/>
                <w:color w:val="auto"/>
              </w:rPr>
              <w:t>‎Section 1.03</w:t>
            </w:r>
          </w:p>
        </w:tc>
      </w:tr>
      <w:tr>
        <w:trPr>
          <w:trHeight w:val="201"/>
        </w:trPr>
        <w:tc>
          <w:tcPr>
            <w:tcW w:w="680" w:type="dxa"/>
            <w:vAlign w:val="bottom"/>
          </w:tcPr>
          <w:p>
            <w:pPr>
              <w:spacing w:after="0"/>
              <w:rPr>
                <w:sz w:val="17"/>
                <w:szCs w:val="17"/>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Employment Matters</w:t>
            </w:r>
          </w:p>
        </w:tc>
        <w:tc>
          <w:tcPr>
            <w:tcW w:w="6760" w:type="dxa"/>
            <w:vAlign w:val="bottom"/>
            <w:gridSpan w:val="3"/>
          </w:tcPr>
          <w:p>
            <w:pPr>
              <w:jc w:val="center"/>
              <w:ind w:left="2533"/>
              <w:spacing w:after="0"/>
              <w:rPr>
                <w:sz w:val="20"/>
                <w:szCs w:val="20"/>
                <w:color w:val="auto"/>
              </w:rPr>
            </w:pPr>
            <w:r>
              <w:rPr>
                <w:rFonts w:ascii="Times New Roman" w:cs="Times New Roman" w:eastAsia="Times New Roman" w:hAnsi="Times New Roman"/>
                <w:sz w:val="17"/>
                <w:szCs w:val="17"/>
                <w:color w:val="auto"/>
              </w:rPr>
              <w:t>‎Section 3.12(d)</w:t>
            </w:r>
          </w:p>
        </w:tc>
      </w:tr>
      <w:tr>
        <w:trPr>
          <w:trHeight w:val="201"/>
        </w:trPr>
        <w:tc>
          <w:tcPr>
            <w:tcW w:w="680" w:type="dxa"/>
            <w:vAlign w:val="bottom"/>
          </w:tcPr>
          <w:p>
            <w:pPr>
              <w:spacing w:after="0"/>
              <w:rPr>
                <w:sz w:val="17"/>
                <w:szCs w:val="17"/>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End Date</w:t>
            </w:r>
          </w:p>
        </w:tc>
        <w:tc>
          <w:tcPr>
            <w:tcW w:w="6760" w:type="dxa"/>
            <w:vAlign w:val="bottom"/>
            <w:gridSpan w:val="3"/>
          </w:tcPr>
          <w:p>
            <w:pPr>
              <w:jc w:val="center"/>
              <w:ind w:left="2533"/>
              <w:spacing w:after="0"/>
              <w:rPr>
                <w:sz w:val="20"/>
                <w:szCs w:val="20"/>
                <w:color w:val="auto"/>
              </w:rPr>
            </w:pPr>
            <w:r>
              <w:rPr>
                <w:rFonts w:ascii="Times New Roman" w:cs="Times New Roman" w:eastAsia="Times New Roman" w:hAnsi="Times New Roman"/>
                <w:sz w:val="17"/>
                <w:szCs w:val="17"/>
                <w:color w:val="auto"/>
              </w:rPr>
              <w:t>‎Section 8.01(e)</w:t>
            </w:r>
          </w:p>
        </w:tc>
      </w:tr>
      <w:tr>
        <w:trPr>
          <w:trHeight w:val="201"/>
        </w:trPr>
        <w:tc>
          <w:tcPr>
            <w:tcW w:w="680" w:type="dxa"/>
            <w:vAlign w:val="bottom"/>
          </w:tcPr>
          <w:p>
            <w:pPr>
              <w:spacing w:after="0"/>
              <w:rPr>
                <w:sz w:val="17"/>
                <w:szCs w:val="17"/>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Enforceability Exceptions</w:t>
            </w:r>
          </w:p>
        </w:tc>
        <w:tc>
          <w:tcPr>
            <w:tcW w:w="6760" w:type="dxa"/>
            <w:vAlign w:val="bottom"/>
            <w:gridSpan w:val="3"/>
          </w:tcPr>
          <w:p>
            <w:pPr>
              <w:jc w:val="center"/>
              <w:ind w:left="2533"/>
              <w:spacing w:after="0"/>
              <w:rPr>
                <w:sz w:val="20"/>
                <w:szCs w:val="20"/>
                <w:color w:val="auto"/>
              </w:rPr>
            </w:pPr>
            <w:r>
              <w:rPr>
                <w:rFonts w:ascii="Times New Roman" w:cs="Times New Roman" w:eastAsia="Times New Roman" w:hAnsi="Times New Roman"/>
                <w:sz w:val="17"/>
                <w:szCs w:val="17"/>
                <w:color w:val="auto"/>
              </w:rPr>
              <w:t>‎Section 3.03(a)</w:t>
            </w:r>
          </w:p>
        </w:tc>
      </w:tr>
      <w:tr>
        <w:trPr>
          <w:trHeight w:val="201"/>
        </w:trPr>
        <w:tc>
          <w:tcPr>
            <w:tcW w:w="680" w:type="dxa"/>
            <w:vAlign w:val="bottom"/>
          </w:tcPr>
          <w:p>
            <w:pPr>
              <w:spacing w:after="0"/>
              <w:rPr>
                <w:sz w:val="17"/>
                <w:szCs w:val="17"/>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Environmental Claims</w:t>
            </w:r>
          </w:p>
        </w:tc>
        <w:tc>
          <w:tcPr>
            <w:tcW w:w="6760" w:type="dxa"/>
            <w:vAlign w:val="bottom"/>
            <w:gridSpan w:val="3"/>
          </w:tcPr>
          <w:p>
            <w:pPr>
              <w:jc w:val="center"/>
              <w:ind w:left="2533"/>
              <w:spacing w:after="0"/>
              <w:rPr>
                <w:sz w:val="20"/>
                <w:szCs w:val="20"/>
                <w:color w:val="auto"/>
              </w:rPr>
            </w:pPr>
            <w:r>
              <w:rPr>
                <w:rFonts w:ascii="Times New Roman" w:cs="Times New Roman" w:eastAsia="Times New Roman" w:hAnsi="Times New Roman"/>
                <w:sz w:val="17"/>
                <w:szCs w:val="17"/>
                <w:color w:val="auto"/>
              </w:rPr>
              <w:t>‎Section 3.16(e)(i)</w:t>
            </w:r>
          </w:p>
        </w:tc>
      </w:tr>
      <w:tr>
        <w:trPr>
          <w:trHeight w:val="226"/>
        </w:trPr>
        <w:tc>
          <w:tcPr>
            <w:tcW w:w="680" w:type="dxa"/>
            <w:vAlign w:val="bottom"/>
          </w:tcPr>
          <w:p>
            <w:pPr>
              <w:spacing w:after="0"/>
              <w:rPr>
                <w:sz w:val="19"/>
                <w:szCs w:val="19"/>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Environmental Laws</w:t>
            </w:r>
          </w:p>
        </w:tc>
        <w:tc>
          <w:tcPr>
            <w:tcW w:w="6760" w:type="dxa"/>
            <w:vAlign w:val="bottom"/>
            <w:gridSpan w:val="3"/>
          </w:tcPr>
          <w:p>
            <w:pPr>
              <w:jc w:val="center"/>
              <w:ind w:left="2533"/>
              <w:spacing w:after="0"/>
              <w:rPr>
                <w:sz w:val="20"/>
                <w:szCs w:val="20"/>
                <w:color w:val="auto"/>
              </w:rPr>
            </w:pPr>
            <w:r>
              <w:rPr>
                <w:rFonts w:ascii="Times New Roman" w:cs="Times New Roman" w:eastAsia="Times New Roman" w:hAnsi="Times New Roman"/>
                <w:sz w:val="17"/>
                <w:szCs w:val="17"/>
                <w:color w:val="auto"/>
              </w:rPr>
              <w:t>‎Section 3.16(e)(ii)</w:t>
            </w:r>
          </w:p>
        </w:tc>
      </w:tr>
      <w:tr>
        <w:trPr>
          <w:trHeight w:val="564"/>
        </w:trPr>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360" w:type="dxa"/>
            <w:vAlign w:val="bottom"/>
          </w:tcPr>
          <w:p>
            <w:pPr>
              <w:jc w:val="right"/>
              <w:ind w:right="3013"/>
              <w:spacing w:after="0"/>
              <w:rPr>
                <w:sz w:val="20"/>
                <w:szCs w:val="20"/>
                <w:color w:val="auto"/>
              </w:rPr>
            </w:pPr>
            <w:r>
              <w:rPr>
                <w:rFonts w:ascii="Times New Roman" w:cs="Times New Roman" w:eastAsia="Times New Roman" w:hAnsi="Times New Roman"/>
                <w:sz w:val="16"/>
                <w:szCs w:val="16"/>
                <w:color w:val="auto"/>
              </w:rPr>
              <w:t>-85-</w:t>
            </w:r>
          </w:p>
        </w:tc>
        <w:tc>
          <w:tcPr>
            <w:tcW w:w="6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665"/>
        </w:trPr>
        <w:tc>
          <w:tcPr>
            <w:tcW w:w="6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245" w:right="31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95"/>
        </w:trPr>
        <w:tc>
          <w:tcPr>
            <w:tcW w:w="680" w:type="dxa"/>
            <w:vAlign w:val="bottom"/>
          </w:tcPr>
          <w:p>
            <w:pPr>
              <w:spacing w:after="0"/>
              <w:rPr>
                <w:sz w:val="17"/>
                <w:szCs w:val="17"/>
                <w:color w:val="auto"/>
              </w:rPr>
            </w:pPr>
          </w:p>
        </w:tc>
        <w:tc>
          <w:tcPr>
            <w:tcW w:w="1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Defined Term</w:t>
            </w:r>
          </w:p>
        </w:tc>
        <w:tc>
          <w:tcPr>
            <w:tcW w:w="31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Location</w:t>
            </w:r>
          </w:p>
        </w:tc>
        <w:tc>
          <w:tcPr>
            <w:tcW w:w="1740" w:type="dxa"/>
            <w:vAlign w:val="bottom"/>
          </w:tcPr>
          <w:p>
            <w:pPr>
              <w:spacing w:after="0"/>
              <w:rPr>
                <w:sz w:val="17"/>
                <w:szCs w:val="17"/>
                <w:color w:val="auto"/>
              </w:rPr>
            </w:pPr>
          </w:p>
        </w:tc>
      </w:tr>
      <w:tr>
        <w:trPr>
          <w:trHeight w:val="385"/>
        </w:trPr>
        <w:tc>
          <w:tcPr>
            <w:tcW w:w="68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Environmental Permits</w:t>
            </w:r>
          </w:p>
        </w:tc>
        <w:tc>
          <w:tcPr>
            <w:tcW w:w="6420" w:type="dxa"/>
            <w:vAlign w:val="bottom"/>
            <w:gridSpan w:val="3"/>
          </w:tcPr>
          <w:p>
            <w:pPr>
              <w:jc w:val="center"/>
              <w:ind w:left="2193"/>
              <w:spacing w:after="0"/>
              <w:rPr>
                <w:sz w:val="20"/>
                <w:szCs w:val="20"/>
                <w:color w:val="auto"/>
              </w:rPr>
            </w:pPr>
            <w:r>
              <w:rPr>
                <w:rFonts w:ascii="Times New Roman" w:cs="Times New Roman" w:eastAsia="Times New Roman" w:hAnsi="Times New Roman"/>
                <w:sz w:val="17"/>
                <w:szCs w:val="17"/>
                <w:color w:val="auto"/>
              </w:rPr>
              <w:t>‎Section 3.16(e)(iii)</w:t>
            </w:r>
          </w:p>
        </w:tc>
      </w:tr>
      <w:tr>
        <w:trPr>
          <w:trHeight w:val="201"/>
        </w:trPr>
        <w:tc>
          <w:tcPr>
            <w:tcW w:w="680" w:type="dxa"/>
            <w:vAlign w:val="bottom"/>
          </w:tcPr>
          <w:p>
            <w:pPr>
              <w:spacing w:after="0"/>
              <w:rPr>
                <w:sz w:val="17"/>
                <w:szCs w:val="17"/>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ERISA</w:t>
            </w:r>
          </w:p>
        </w:tc>
        <w:tc>
          <w:tcPr>
            <w:tcW w:w="6420" w:type="dxa"/>
            <w:vAlign w:val="bottom"/>
            <w:gridSpan w:val="3"/>
          </w:tcPr>
          <w:p>
            <w:pPr>
              <w:jc w:val="center"/>
              <w:ind w:left="2193"/>
              <w:spacing w:after="0"/>
              <w:rPr>
                <w:sz w:val="20"/>
                <w:szCs w:val="20"/>
                <w:color w:val="auto"/>
              </w:rPr>
            </w:pPr>
            <w:r>
              <w:rPr>
                <w:rFonts w:ascii="Times New Roman" w:cs="Times New Roman" w:eastAsia="Times New Roman" w:hAnsi="Times New Roman"/>
                <w:sz w:val="17"/>
                <w:szCs w:val="17"/>
                <w:color w:val="auto"/>
              </w:rPr>
              <w:t>‎Section 3.11(a)</w:t>
            </w:r>
          </w:p>
        </w:tc>
      </w:tr>
      <w:tr>
        <w:trPr>
          <w:trHeight w:val="201"/>
        </w:trPr>
        <w:tc>
          <w:tcPr>
            <w:tcW w:w="680" w:type="dxa"/>
            <w:vAlign w:val="bottom"/>
          </w:tcPr>
          <w:p>
            <w:pPr>
              <w:spacing w:after="0"/>
              <w:rPr>
                <w:sz w:val="17"/>
                <w:szCs w:val="17"/>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Exchange Agent</w:t>
            </w:r>
          </w:p>
        </w:tc>
        <w:tc>
          <w:tcPr>
            <w:tcW w:w="6420" w:type="dxa"/>
            <w:vAlign w:val="bottom"/>
            <w:gridSpan w:val="3"/>
          </w:tcPr>
          <w:p>
            <w:pPr>
              <w:jc w:val="center"/>
              <w:ind w:left="2193"/>
              <w:spacing w:after="0"/>
              <w:rPr>
                <w:sz w:val="20"/>
                <w:szCs w:val="20"/>
                <w:color w:val="auto"/>
              </w:rPr>
            </w:pPr>
            <w:r>
              <w:rPr>
                <w:rFonts w:ascii="Times New Roman" w:cs="Times New Roman" w:eastAsia="Times New Roman" w:hAnsi="Times New Roman"/>
                <w:sz w:val="17"/>
                <w:szCs w:val="17"/>
                <w:color w:val="auto"/>
              </w:rPr>
              <w:t>‎Section 2.02(a)</w:t>
            </w:r>
          </w:p>
        </w:tc>
      </w:tr>
      <w:tr>
        <w:trPr>
          <w:trHeight w:val="201"/>
        </w:trPr>
        <w:tc>
          <w:tcPr>
            <w:tcW w:w="680" w:type="dxa"/>
            <w:vAlign w:val="bottom"/>
          </w:tcPr>
          <w:p>
            <w:pPr>
              <w:spacing w:after="0"/>
              <w:rPr>
                <w:sz w:val="17"/>
                <w:szCs w:val="17"/>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Exchange Fund</w:t>
            </w:r>
          </w:p>
        </w:tc>
        <w:tc>
          <w:tcPr>
            <w:tcW w:w="6420" w:type="dxa"/>
            <w:vAlign w:val="bottom"/>
            <w:gridSpan w:val="3"/>
          </w:tcPr>
          <w:p>
            <w:pPr>
              <w:jc w:val="center"/>
              <w:ind w:left="2193"/>
              <w:spacing w:after="0"/>
              <w:rPr>
                <w:sz w:val="20"/>
                <w:szCs w:val="20"/>
                <w:color w:val="auto"/>
              </w:rPr>
            </w:pPr>
            <w:r>
              <w:rPr>
                <w:rFonts w:ascii="Times New Roman" w:cs="Times New Roman" w:eastAsia="Times New Roman" w:hAnsi="Times New Roman"/>
                <w:sz w:val="17"/>
                <w:szCs w:val="17"/>
                <w:color w:val="auto"/>
              </w:rPr>
              <w:t>‎Section 2.02(a)</w:t>
            </w:r>
          </w:p>
        </w:tc>
      </w:tr>
      <w:tr>
        <w:trPr>
          <w:trHeight w:val="201"/>
        </w:trPr>
        <w:tc>
          <w:tcPr>
            <w:tcW w:w="680" w:type="dxa"/>
            <w:vAlign w:val="bottom"/>
          </w:tcPr>
          <w:p>
            <w:pPr>
              <w:spacing w:after="0"/>
              <w:rPr>
                <w:sz w:val="17"/>
                <w:szCs w:val="17"/>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Excluded Shares</w:t>
            </w:r>
          </w:p>
        </w:tc>
        <w:tc>
          <w:tcPr>
            <w:tcW w:w="6420" w:type="dxa"/>
            <w:vAlign w:val="bottom"/>
            <w:gridSpan w:val="3"/>
          </w:tcPr>
          <w:p>
            <w:pPr>
              <w:jc w:val="center"/>
              <w:ind w:left="2193"/>
              <w:spacing w:after="0"/>
              <w:rPr>
                <w:sz w:val="20"/>
                <w:szCs w:val="20"/>
                <w:color w:val="auto"/>
              </w:rPr>
            </w:pPr>
            <w:r>
              <w:rPr>
                <w:rFonts w:ascii="Times New Roman" w:cs="Times New Roman" w:eastAsia="Times New Roman" w:hAnsi="Times New Roman"/>
                <w:sz w:val="17"/>
                <w:szCs w:val="17"/>
                <w:color w:val="auto"/>
              </w:rPr>
              <w:t>‎Section 2.01(a)(ii)</w:t>
            </w:r>
          </w:p>
        </w:tc>
      </w:tr>
      <w:tr>
        <w:trPr>
          <w:trHeight w:val="201"/>
        </w:trPr>
        <w:tc>
          <w:tcPr>
            <w:tcW w:w="680" w:type="dxa"/>
            <w:vAlign w:val="bottom"/>
          </w:tcPr>
          <w:p>
            <w:pPr>
              <w:spacing w:after="0"/>
              <w:rPr>
                <w:sz w:val="17"/>
                <w:szCs w:val="17"/>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Excluded Transaction</w:t>
            </w:r>
          </w:p>
        </w:tc>
        <w:tc>
          <w:tcPr>
            <w:tcW w:w="6420" w:type="dxa"/>
            <w:vAlign w:val="bottom"/>
            <w:gridSpan w:val="3"/>
          </w:tcPr>
          <w:p>
            <w:pPr>
              <w:jc w:val="center"/>
              <w:ind w:left="2193"/>
              <w:spacing w:after="0"/>
              <w:rPr>
                <w:sz w:val="20"/>
                <w:szCs w:val="20"/>
                <w:color w:val="auto"/>
              </w:rPr>
            </w:pPr>
            <w:r>
              <w:rPr>
                <w:rFonts w:ascii="Times New Roman" w:cs="Times New Roman" w:eastAsia="Times New Roman" w:hAnsi="Times New Roman"/>
                <w:sz w:val="17"/>
                <w:szCs w:val="17"/>
                <w:color w:val="auto"/>
              </w:rPr>
              <w:t>‎Section 5.05(c)</w:t>
            </w:r>
          </w:p>
        </w:tc>
      </w:tr>
      <w:tr>
        <w:trPr>
          <w:trHeight w:val="201"/>
        </w:trPr>
        <w:tc>
          <w:tcPr>
            <w:tcW w:w="680" w:type="dxa"/>
            <w:vAlign w:val="bottom"/>
          </w:tcPr>
          <w:p>
            <w:pPr>
              <w:spacing w:after="0"/>
              <w:rPr>
                <w:sz w:val="17"/>
                <w:szCs w:val="17"/>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FBB</w:t>
            </w:r>
          </w:p>
        </w:tc>
        <w:tc>
          <w:tcPr>
            <w:tcW w:w="4020" w:type="dxa"/>
            <w:vAlign w:val="bottom"/>
          </w:tcPr>
          <w:p>
            <w:pPr>
              <w:spacing w:after="0"/>
              <w:rPr>
                <w:sz w:val="17"/>
                <w:szCs w:val="17"/>
                <w:color w:val="auto"/>
              </w:rPr>
            </w:pPr>
          </w:p>
        </w:tc>
        <w:tc>
          <w:tcPr>
            <w:tcW w:w="2400" w:type="dxa"/>
            <w:vAlign w:val="bottom"/>
            <w:gridSpan w:val="2"/>
          </w:tcPr>
          <w:p>
            <w:pPr>
              <w:jc w:val="center"/>
              <w:ind w:right="1740"/>
              <w:spacing w:after="0"/>
              <w:rPr>
                <w:sz w:val="20"/>
                <w:szCs w:val="20"/>
                <w:color w:val="auto"/>
              </w:rPr>
            </w:pPr>
            <w:r>
              <w:rPr>
                <w:rFonts w:ascii="Times New Roman" w:cs="Times New Roman" w:eastAsia="Times New Roman" w:hAnsi="Times New Roman"/>
                <w:sz w:val="17"/>
                <w:szCs w:val="17"/>
                <w:color w:val="auto"/>
              </w:rPr>
              <w:t>Preamble</w:t>
            </w:r>
          </w:p>
        </w:tc>
      </w:tr>
      <w:tr>
        <w:trPr>
          <w:trHeight w:val="201"/>
        </w:trPr>
        <w:tc>
          <w:tcPr>
            <w:tcW w:w="680" w:type="dxa"/>
            <w:vAlign w:val="bottom"/>
          </w:tcPr>
          <w:p>
            <w:pPr>
              <w:spacing w:after="0"/>
              <w:rPr>
                <w:sz w:val="17"/>
                <w:szCs w:val="17"/>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FBB Benefit Plan</w:t>
            </w:r>
          </w:p>
        </w:tc>
        <w:tc>
          <w:tcPr>
            <w:tcW w:w="6420" w:type="dxa"/>
            <w:vAlign w:val="bottom"/>
            <w:gridSpan w:val="3"/>
          </w:tcPr>
          <w:p>
            <w:pPr>
              <w:jc w:val="center"/>
              <w:ind w:left="2193"/>
              <w:spacing w:after="0"/>
              <w:rPr>
                <w:sz w:val="20"/>
                <w:szCs w:val="20"/>
                <w:color w:val="auto"/>
              </w:rPr>
            </w:pPr>
            <w:r>
              <w:rPr>
                <w:rFonts w:ascii="Times New Roman" w:cs="Times New Roman" w:eastAsia="Times New Roman" w:hAnsi="Times New Roman"/>
                <w:sz w:val="17"/>
                <w:szCs w:val="17"/>
                <w:color w:val="auto"/>
              </w:rPr>
              <w:t>‎Section 4.10(a)</w:t>
            </w:r>
          </w:p>
        </w:tc>
      </w:tr>
      <w:tr>
        <w:trPr>
          <w:trHeight w:val="201"/>
        </w:trPr>
        <w:tc>
          <w:tcPr>
            <w:tcW w:w="680" w:type="dxa"/>
            <w:vAlign w:val="bottom"/>
          </w:tcPr>
          <w:p>
            <w:pPr>
              <w:spacing w:after="0"/>
              <w:rPr>
                <w:sz w:val="17"/>
                <w:szCs w:val="17"/>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FBB Board</w:t>
            </w:r>
          </w:p>
        </w:tc>
        <w:tc>
          <w:tcPr>
            <w:tcW w:w="4020" w:type="dxa"/>
            <w:vAlign w:val="bottom"/>
          </w:tcPr>
          <w:p>
            <w:pPr>
              <w:spacing w:after="0"/>
              <w:rPr>
                <w:sz w:val="17"/>
                <w:szCs w:val="17"/>
                <w:color w:val="auto"/>
              </w:rPr>
            </w:pPr>
          </w:p>
        </w:tc>
        <w:tc>
          <w:tcPr>
            <w:tcW w:w="2400" w:type="dxa"/>
            <w:vAlign w:val="bottom"/>
            <w:gridSpan w:val="2"/>
          </w:tcPr>
          <w:p>
            <w:pPr>
              <w:jc w:val="center"/>
              <w:ind w:right="1740"/>
              <w:spacing w:after="0"/>
              <w:rPr>
                <w:sz w:val="20"/>
                <w:szCs w:val="20"/>
                <w:color w:val="auto"/>
              </w:rPr>
            </w:pPr>
            <w:r>
              <w:rPr>
                <w:rFonts w:ascii="Times New Roman" w:cs="Times New Roman" w:eastAsia="Times New Roman" w:hAnsi="Times New Roman"/>
                <w:sz w:val="17"/>
                <w:szCs w:val="17"/>
                <w:color w:val="auto"/>
                <w:w w:val="98"/>
              </w:rPr>
              <w:t>Recitals</w:t>
            </w:r>
          </w:p>
        </w:tc>
      </w:tr>
      <w:tr>
        <w:trPr>
          <w:trHeight w:val="201"/>
        </w:trPr>
        <w:tc>
          <w:tcPr>
            <w:tcW w:w="680" w:type="dxa"/>
            <w:vAlign w:val="bottom"/>
          </w:tcPr>
          <w:p>
            <w:pPr>
              <w:spacing w:after="0"/>
              <w:rPr>
                <w:sz w:val="17"/>
                <w:szCs w:val="17"/>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FBB Capital Stock</w:t>
            </w:r>
          </w:p>
        </w:tc>
        <w:tc>
          <w:tcPr>
            <w:tcW w:w="6420" w:type="dxa"/>
            <w:vAlign w:val="bottom"/>
            <w:gridSpan w:val="3"/>
          </w:tcPr>
          <w:p>
            <w:pPr>
              <w:jc w:val="center"/>
              <w:ind w:left="2193"/>
              <w:spacing w:after="0"/>
              <w:rPr>
                <w:sz w:val="20"/>
                <w:szCs w:val="20"/>
                <w:color w:val="auto"/>
              </w:rPr>
            </w:pPr>
            <w:r>
              <w:rPr>
                <w:rFonts w:ascii="Times New Roman" w:cs="Times New Roman" w:eastAsia="Times New Roman" w:hAnsi="Times New Roman"/>
                <w:sz w:val="17"/>
                <w:szCs w:val="17"/>
                <w:color w:val="auto"/>
              </w:rPr>
              <w:t>‎Section 4.02(a)(i)</w:t>
            </w:r>
          </w:p>
        </w:tc>
      </w:tr>
      <w:tr>
        <w:trPr>
          <w:trHeight w:val="201"/>
        </w:trPr>
        <w:tc>
          <w:tcPr>
            <w:tcW w:w="680" w:type="dxa"/>
            <w:vAlign w:val="bottom"/>
          </w:tcPr>
          <w:p>
            <w:pPr>
              <w:spacing w:after="0"/>
              <w:rPr>
                <w:sz w:val="17"/>
                <w:szCs w:val="17"/>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FBB Employees</w:t>
            </w:r>
          </w:p>
        </w:tc>
        <w:tc>
          <w:tcPr>
            <w:tcW w:w="6420" w:type="dxa"/>
            <w:vAlign w:val="bottom"/>
            <w:gridSpan w:val="3"/>
          </w:tcPr>
          <w:p>
            <w:pPr>
              <w:jc w:val="center"/>
              <w:ind w:left="2193"/>
              <w:spacing w:after="0"/>
              <w:rPr>
                <w:sz w:val="20"/>
                <w:szCs w:val="20"/>
                <w:color w:val="auto"/>
              </w:rPr>
            </w:pPr>
            <w:r>
              <w:rPr>
                <w:rFonts w:ascii="Times New Roman" w:cs="Times New Roman" w:eastAsia="Times New Roman" w:hAnsi="Times New Roman"/>
                <w:sz w:val="17"/>
                <w:szCs w:val="17"/>
                <w:color w:val="auto"/>
              </w:rPr>
              <w:t>‎Section 4.11(a)</w:t>
            </w:r>
          </w:p>
        </w:tc>
      </w:tr>
      <w:tr>
        <w:trPr>
          <w:trHeight w:val="201"/>
        </w:trPr>
        <w:tc>
          <w:tcPr>
            <w:tcW w:w="680" w:type="dxa"/>
            <w:vAlign w:val="bottom"/>
          </w:tcPr>
          <w:p>
            <w:pPr>
              <w:spacing w:after="0"/>
              <w:rPr>
                <w:sz w:val="17"/>
                <w:szCs w:val="17"/>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FBB Equity Awards</w:t>
            </w:r>
          </w:p>
        </w:tc>
        <w:tc>
          <w:tcPr>
            <w:tcW w:w="6420" w:type="dxa"/>
            <w:vAlign w:val="bottom"/>
            <w:gridSpan w:val="3"/>
          </w:tcPr>
          <w:p>
            <w:pPr>
              <w:jc w:val="center"/>
              <w:ind w:left="2193"/>
              <w:spacing w:after="0"/>
              <w:rPr>
                <w:sz w:val="20"/>
                <w:szCs w:val="20"/>
                <w:color w:val="auto"/>
              </w:rPr>
            </w:pPr>
            <w:r>
              <w:rPr>
                <w:rFonts w:ascii="Times New Roman" w:cs="Times New Roman" w:eastAsia="Times New Roman" w:hAnsi="Times New Roman"/>
                <w:sz w:val="17"/>
                <w:szCs w:val="17"/>
                <w:color w:val="auto"/>
              </w:rPr>
              <w:t>‎Section 4.02(a)(i)</w:t>
            </w:r>
          </w:p>
        </w:tc>
      </w:tr>
      <w:tr>
        <w:trPr>
          <w:trHeight w:val="201"/>
        </w:trPr>
        <w:tc>
          <w:tcPr>
            <w:tcW w:w="680" w:type="dxa"/>
            <w:vAlign w:val="bottom"/>
          </w:tcPr>
          <w:p>
            <w:pPr>
              <w:spacing w:after="0"/>
              <w:rPr>
                <w:sz w:val="17"/>
                <w:szCs w:val="17"/>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FBB Financial Statements</w:t>
            </w:r>
          </w:p>
        </w:tc>
        <w:tc>
          <w:tcPr>
            <w:tcW w:w="6420" w:type="dxa"/>
            <w:vAlign w:val="bottom"/>
            <w:gridSpan w:val="3"/>
          </w:tcPr>
          <w:p>
            <w:pPr>
              <w:jc w:val="center"/>
              <w:ind w:left="2193"/>
              <w:spacing w:after="0"/>
              <w:rPr>
                <w:sz w:val="20"/>
                <w:szCs w:val="20"/>
                <w:color w:val="auto"/>
              </w:rPr>
            </w:pPr>
            <w:r>
              <w:rPr>
                <w:rFonts w:ascii="Times New Roman" w:cs="Times New Roman" w:eastAsia="Times New Roman" w:hAnsi="Times New Roman"/>
                <w:sz w:val="17"/>
                <w:szCs w:val="17"/>
                <w:color w:val="auto"/>
              </w:rPr>
              <w:t>‎Section 4.05(a)</w:t>
            </w:r>
          </w:p>
        </w:tc>
      </w:tr>
      <w:tr>
        <w:trPr>
          <w:trHeight w:val="201"/>
        </w:trPr>
        <w:tc>
          <w:tcPr>
            <w:tcW w:w="680" w:type="dxa"/>
            <w:vAlign w:val="bottom"/>
          </w:tcPr>
          <w:p>
            <w:pPr>
              <w:spacing w:after="0"/>
              <w:rPr>
                <w:sz w:val="17"/>
                <w:szCs w:val="17"/>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FBB IP Rights</w:t>
            </w:r>
          </w:p>
        </w:tc>
        <w:tc>
          <w:tcPr>
            <w:tcW w:w="6420" w:type="dxa"/>
            <w:vAlign w:val="bottom"/>
            <w:gridSpan w:val="3"/>
          </w:tcPr>
          <w:p>
            <w:pPr>
              <w:jc w:val="center"/>
              <w:ind w:left="2193"/>
              <w:spacing w:after="0"/>
              <w:rPr>
                <w:sz w:val="20"/>
                <w:szCs w:val="20"/>
                <w:color w:val="auto"/>
              </w:rPr>
            </w:pPr>
            <w:r>
              <w:rPr>
                <w:rFonts w:ascii="Times New Roman" w:cs="Times New Roman" w:eastAsia="Times New Roman" w:hAnsi="Times New Roman"/>
                <w:sz w:val="17"/>
                <w:szCs w:val="17"/>
                <w:color w:val="auto"/>
              </w:rPr>
              <w:t>‎Section 4.19(a)</w:t>
            </w:r>
          </w:p>
        </w:tc>
      </w:tr>
      <w:tr>
        <w:trPr>
          <w:trHeight w:val="201"/>
        </w:trPr>
        <w:tc>
          <w:tcPr>
            <w:tcW w:w="680" w:type="dxa"/>
            <w:vAlign w:val="bottom"/>
          </w:tcPr>
          <w:p>
            <w:pPr>
              <w:spacing w:after="0"/>
              <w:rPr>
                <w:sz w:val="17"/>
                <w:szCs w:val="17"/>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FBB Leased Real Property</w:t>
            </w:r>
          </w:p>
        </w:tc>
        <w:tc>
          <w:tcPr>
            <w:tcW w:w="6420" w:type="dxa"/>
            <w:vAlign w:val="bottom"/>
            <w:gridSpan w:val="3"/>
          </w:tcPr>
          <w:p>
            <w:pPr>
              <w:jc w:val="center"/>
              <w:ind w:left="2193"/>
              <w:spacing w:after="0"/>
              <w:rPr>
                <w:sz w:val="20"/>
                <w:szCs w:val="20"/>
                <w:color w:val="auto"/>
              </w:rPr>
            </w:pPr>
            <w:r>
              <w:rPr>
                <w:rFonts w:ascii="Times New Roman" w:cs="Times New Roman" w:eastAsia="Times New Roman" w:hAnsi="Times New Roman"/>
                <w:sz w:val="17"/>
                <w:szCs w:val="17"/>
                <w:color w:val="auto"/>
              </w:rPr>
              <w:t>‎Section 4.21(b)</w:t>
            </w:r>
          </w:p>
        </w:tc>
      </w:tr>
      <w:tr>
        <w:trPr>
          <w:trHeight w:val="201"/>
        </w:trPr>
        <w:tc>
          <w:tcPr>
            <w:tcW w:w="680" w:type="dxa"/>
            <w:vAlign w:val="bottom"/>
          </w:tcPr>
          <w:p>
            <w:pPr>
              <w:spacing w:after="0"/>
              <w:rPr>
                <w:sz w:val="17"/>
                <w:szCs w:val="17"/>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FBB Licenses</w:t>
            </w:r>
          </w:p>
        </w:tc>
        <w:tc>
          <w:tcPr>
            <w:tcW w:w="6420" w:type="dxa"/>
            <w:vAlign w:val="bottom"/>
            <w:gridSpan w:val="3"/>
          </w:tcPr>
          <w:p>
            <w:pPr>
              <w:jc w:val="center"/>
              <w:ind w:left="2193"/>
              <w:spacing w:after="0"/>
              <w:rPr>
                <w:sz w:val="20"/>
                <w:szCs w:val="20"/>
                <w:color w:val="auto"/>
              </w:rPr>
            </w:pPr>
            <w:r>
              <w:rPr>
                <w:rFonts w:ascii="Times New Roman" w:cs="Times New Roman" w:eastAsia="Times New Roman" w:hAnsi="Times New Roman"/>
                <w:sz w:val="17"/>
                <w:szCs w:val="17"/>
                <w:color w:val="auto"/>
              </w:rPr>
              <w:t>‎Section 3.14(a)</w:t>
            </w:r>
          </w:p>
        </w:tc>
      </w:tr>
      <w:tr>
        <w:trPr>
          <w:trHeight w:val="201"/>
        </w:trPr>
        <w:tc>
          <w:tcPr>
            <w:tcW w:w="680" w:type="dxa"/>
            <w:vAlign w:val="bottom"/>
          </w:tcPr>
          <w:p>
            <w:pPr>
              <w:spacing w:after="0"/>
              <w:rPr>
                <w:sz w:val="17"/>
                <w:szCs w:val="17"/>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FBB Material Contract</w:t>
            </w:r>
          </w:p>
        </w:tc>
        <w:tc>
          <w:tcPr>
            <w:tcW w:w="6420" w:type="dxa"/>
            <w:vAlign w:val="bottom"/>
            <w:gridSpan w:val="3"/>
          </w:tcPr>
          <w:p>
            <w:pPr>
              <w:jc w:val="center"/>
              <w:ind w:left="2193"/>
              <w:spacing w:after="0"/>
              <w:rPr>
                <w:sz w:val="20"/>
                <w:szCs w:val="20"/>
                <w:color w:val="auto"/>
              </w:rPr>
            </w:pPr>
            <w:r>
              <w:rPr>
                <w:rFonts w:ascii="Times New Roman" w:cs="Times New Roman" w:eastAsia="Times New Roman" w:hAnsi="Times New Roman"/>
                <w:sz w:val="17"/>
                <w:szCs w:val="17"/>
                <w:color w:val="auto"/>
              </w:rPr>
              <w:t>‎Section 4.14(a)</w:t>
            </w:r>
          </w:p>
        </w:tc>
      </w:tr>
      <w:tr>
        <w:trPr>
          <w:trHeight w:val="201"/>
        </w:trPr>
        <w:tc>
          <w:tcPr>
            <w:tcW w:w="680" w:type="dxa"/>
            <w:vAlign w:val="bottom"/>
          </w:tcPr>
          <w:p>
            <w:pPr>
              <w:spacing w:after="0"/>
              <w:rPr>
                <w:sz w:val="17"/>
                <w:szCs w:val="17"/>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FBB Nominee Directors</w:t>
            </w:r>
          </w:p>
        </w:tc>
        <w:tc>
          <w:tcPr>
            <w:tcW w:w="6420" w:type="dxa"/>
            <w:vAlign w:val="bottom"/>
            <w:gridSpan w:val="3"/>
          </w:tcPr>
          <w:p>
            <w:pPr>
              <w:jc w:val="center"/>
              <w:ind w:left="2193"/>
              <w:spacing w:after="0"/>
              <w:rPr>
                <w:sz w:val="20"/>
                <w:szCs w:val="20"/>
                <w:color w:val="auto"/>
              </w:rPr>
            </w:pPr>
            <w:r>
              <w:rPr>
                <w:rFonts w:ascii="Times New Roman" w:cs="Times New Roman" w:eastAsia="Times New Roman" w:hAnsi="Times New Roman"/>
                <w:sz w:val="17"/>
                <w:szCs w:val="17"/>
                <w:color w:val="auto"/>
              </w:rPr>
              <w:t>‎Section 6.09(a)</w:t>
            </w:r>
          </w:p>
        </w:tc>
      </w:tr>
      <w:tr>
        <w:trPr>
          <w:trHeight w:val="201"/>
        </w:trPr>
        <w:tc>
          <w:tcPr>
            <w:tcW w:w="680" w:type="dxa"/>
            <w:vAlign w:val="bottom"/>
          </w:tcPr>
          <w:p>
            <w:pPr>
              <w:spacing w:after="0"/>
              <w:rPr>
                <w:sz w:val="17"/>
                <w:szCs w:val="17"/>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FBB Owned Real Property</w:t>
            </w:r>
          </w:p>
        </w:tc>
        <w:tc>
          <w:tcPr>
            <w:tcW w:w="6420" w:type="dxa"/>
            <w:vAlign w:val="bottom"/>
            <w:gridSpan w:val="3"/>
          </w:tcPr>
          <w:p>
            <w:pPr>
              <w:jc w:val="center"/>
              <w:ind w:left="2193"/>
              <w:spacing w:after="0"/>
              <w:rPr>
                <w:sz w:val="20"/>
                <w:szCs w:val="20"/>
                <w:color w:val="auto"/>
              </w:rPr>
            </w:pPr>
            <w:r>
              <w:rPr>
                <w:rFonts w:ascii="Times New Roman" w:cs="Times New Roman" w:eastAsia="Times New Roman" w:hAnsi="Times New Roman"/>
                <w:sz w:val="17"/>
                <w:szCs w:val="17"/>
                <w:color w:val="auto"/>
              </w:rPr>
              <w:t>‎Section 4.21(a)</w:t>
            </w:r>
          </w:p>
        </w:tc>
      </w:tr>
      <w:tr>
        <w:trPr>
          <w:trHeight w:val="201"/>
        </w:trPr>
        <w:tc>
          <w:tcPr>
            <w:tcW w:w="680" w:type="dxa"/>
            <w:vAlign w:val="bottom"/>
          </w:tcPr>
          <w:p>
            <w:pPr>
              <w:spacing w:after="0"/>
              <w:rPr>
                <w:sz w:val="17"/>
                <w:szCs w:val="17"/>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FBB Real Property Lease</w:t>
            </w:r>
          </w:p>
        </w:tc>
        <w:tc>
          <w:tcPr>
            <w:tcW w:w="6420" w:type="dxa"/>
            <w:vAlign w:val="bottom"/>
            <w:gridSpan w:val="3"/>
          </w:tcPr>
          <w:p>
            <w:pPr>
              <w:jc w:val="center"/>
              <w:ind w:left="2193"/>
              <w:spacing w:after="0"/>
              <w:rPr>
                <w:sz w:val="20"/>
                <w:szCs w:val="20"/>
                <w:color w:val="auto"/>
              </w:rPr>
            </w:pPr>
            <w:r>
              <w:rPr>
                <w:rFonts w:ascii="Times New Roman" w:cs="Times New Roman" w:eastAsia="Times New Roman" w:hAnsi="Times New Roman"/>
                <w:sz w:val="17"/>
                <w:szCs w:val="17"/>
                <w:color w:val="auto"/>
              </w:rPr>
              <w:t>‎Section 4.21(b)</w:t>
            </w:r>
          </w:p>
        </w:tc>
      </w:tr>
      <w:tr>
        <w:trPr>
          <w:trHeight w:val="201"/>
        </w:trPr>
        <w:tc>
          <w:tcPr>
            <w:tcW w:w="680" w:type="dxa"/>
            <w:vAlign w:val="bottom"/>
          </w:tcPr>
          <w:p>
            <w:pPr>
              <w:spacing w:after="0"/>
              <w:rPr>
                <w:sz w:val="17"/>
                <w:szCs w:val="17"/>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FBB Restricted Stock Awards</w:t>
            </w:r>
          </w:p>
        </w:tc>
        <w:tc>
          <w:tcPr>
            <w:tcW w:w="6420" w:type="dxa"/>
            <w:vAlign w:val="bottom"/>
            <w:gridSpan w:val="3"/>
          </w:tcPr>
          <w:p>
            <w:pPr>
              <w:jc w:val="center"/>
              <w:ind w:left="2193"/>
              <w:spacing w:after="0"/>
              <w:rPr>
                <w:sz w:val="20"/>
                <w:szCs w:val="20"/>
                <w:color w:val="auto"/>
              </w:rPr>
            </w:pPr>
            <w:r>
              <w:rPr>
                <w:rFonts w:ascii="Times New Roman" w:cs="Times New Roman" w:eastAsia="Times New Roman" w:hAnsi="Times New Roman"/>
                <w:sz w:val="17"/>
                <w:szCs w:val="17"/>
                <w:color w:val="auto"/>
              </w:rPr>
              <w:t>‎Section 4.02(a)(i)</w:t>
            </w:r>
          </w:p>
        </w:tc>
      </w:tr>
      <w:tr>
        <w:trPr>
          <w:trHeight w:val="201"/>
        </w:trPr>
        <w:tc>
          <w:tcPr>
            <w:tcW w:w="680" w:type="dxa"/>
            <w:vAlign w:val="bottom"/>
          </w:tcPr>
          <w:p>
            <w:pPr>
              <w:spacing w:after="0"/>
              <w:rPr>
                <w:sz w:val="17"/>
                <w:szCs w:val="17"/>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FBB Selling Stockholders</w:t>
            </w:r>
          </w:p>
        </w:tc>
        <w:tc>
          <w:tcPr>
            <w:tcW w:w="6420" w:type="dxa"/>
            <w:vAlign w:val="bottom"/>
            <w:gridSpan w:val="3"/>
          </w:tcPr>
          <w:p>
            <w:pPr>
              <w:jc w:val="center"/>
              <w:ind w:left="2193"/>
              <w:spacing w:after="0"/>
              <w:rPr>
                <w:sz w:val="20"/>
                <w:szCs w:val="20"/>
                <w:color w:val="auto"/>
              </w:rPr>
            </w:pPr>
            <w:r>
              <w:rPr>
                <w:rFonts w:ascii="Times New Roman" w:cs="Times New Roman" w:eastAsia="Times New Roman" w:hAnsi="Times New Roman"/>
                <w:sz w:val="17"/>
                <w:szCs w:val="17"/>
                <w:color w:val="auto"/>
              </w:rPr>
              <w:t>‎Section 6.02(a)</w:t>
            </w:r>
          </w:p>
        </w:tc>
      </w:tr>
      <w:tr>
        <w:trPr>
          <w:trHeight w:val="201"/>
        </w:trPr>
        <w:tc>
          <w:tcPr>
            <w:tcW w:w="680" w:type="dxa"/>
            <w:vAlign w:val="bottom"/>
          </w:tcPr>
          <w:p>
            <w:pPr>
              <w:spacing w:after="0"/>
              <w:rPr>
                <w:sz w:val="17"/>
                <w:szCs w:val="17"/>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FBB Stockholder Approval</w:t>
            </w:r>
          </w:p>
        </w:tc>
        <w:tc>
          <w:tcPr>
            <w:tcW w:w="6420" w:type="dxa"/>
            <w:vAlign w:val="bottom"/>
            <w:gridSpan w:val="3"/>
          </w:tcPr>
          <w:p>
            <w:pPr>
              <w:jc w:val="center"/>
              <w:ind w:left="2193"/>
              <w:spacing w:after="0"/>
              <w:rPr>
                <w:sz w:val="20"/>
                <w:szCs w:val="20"/>
                <w:color w:val="auto"/>
              </w:rPr>
            </w:pPr>
            <w:r>
              <w:rPr>
                <w:rFonts w:ascii="Times New Roman" w:cs="Times New Roman" w:eastAsia="Times New Roman" w:hAnsi="Times New Roman"/>
                <w:sz w:val="17"/>
                <w:szCs w:val="17"/>
                <w:color w:val="auto"/>
              </w:rPr>
              <w:t>‎Section 4.03(a)</w:t>
            </w:r>
          </w:p>
        </w:tc>
      </w:tr>
      <w:tr>
        <w:trPr>
          <w:trHeight w:val="201"/>
        </w:trPr>
        <w:tc>
          <w:tcPr>
            <w:tcW w:w="680" w:type="dxa"/>
            <w:vAlign w:val="bottom"/>
          </w:tcPr>
          <w:p>
            <w:pPr>
              <w:spacing w:after="0"/>
              <w:rPr>
                <w:sz w:val="17"/>
                <w:szCs w:val="17"/>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FBB Stockholder Notice</w:t>
            </w:r>
          </w:p>
        </w:tc>
        <w:tc>
          <w:tcPr>
            <w:tcW w:w="6420" w:type="dxa"/>
            <w:vAlign w:val="bottom"/>
            <w:gridSpan w:val="3"/>
          </w:tcPr>
          <w:p>
            <w:pPr>
              <w:jc w:val="center"/>
              <w:ind w:left="2193"/>
              <w:spacing w:after="0"/>
              <w:rPr>
                <w:sz w:val="20"/>
                <w:szCs w:val="20"/>
                <w:color w:val="auto"/>
              </w:rPr>
            </w:pPr>
            <w:r>
              <w:rPr>
                <w:rFonts w:ascii="Times New Roman" w:cs="Times New Roman" w:eastAsia="Times New Roman" w:hAnsi="Times New Roman"/>
                <w:sz w:val="17"/>
                <w:szCs w:val="17"/>
                <w:color w:val="auto"/>
              </w:rPr>
              <w:t>‎Section 6.01(d)</w:t>
            </w:r>
          </w:p>
        </w:tc>
      </w:tr>
      <w:tr>
        <w:trPr>
          <w:trHeight w:val="201"/>
        </w:trPr>
        <w:tc>
          <w:tcPr>
            <w:tcW w:w="680" w:type="dxa"/>
            <w:vAlign w:val="bottom"/>
          </w:tcPr>
          <w:p>
            <w:pPr>
              <w:spacing w:after="0"/>
              <w:rPr>
                <w:sz w:val="17"/>
                <w:szCs w:val="17"/>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FBB Takeover Proposal</w:t>
            </w:r>
          </w:p>
        </w:tc>
        <w:tc>
          <w:tcPr>
            <w:tcW w:w="6420" w:type="dxa"/>
            <w:vAlign w:val="bottom"/>
            <w:gridSpan w:val="3"/>
          </w:tcPr>
          <w:p>
            <w:pPr>
              <w:jc w:val="center"/>
              <w:ind w:left="2193"/>
              <w:spacing w:after="0"/>
              <w:rPr>
                <w:sz w:val="20"/>
                <w:szCs w:val="20"/>
                <w:color w:val="auto"/>
              </w:rPr>
            </w:pPr>
            <w:r>
              <w:rPr>
                <w:rFonts w:ascii="Times New Roman" w:cs="Times New Roman" w:eastAsia="Times New Roman" w:hAnsi="Times New Roman"/>
                <w:sz w:val="17"/>
                <w:szCs w:val="17"/>
                <w:color w:val="auto"/>
              </w:rPr>
              <w:t>‎Section 5.05(b)</w:t>
            </w:r>
          </w:p>
        </w:tc>
      </w:tr>
      <w:tr>
        <w:trPr>
          <w:trHeight w:val="201"/>
        </w:trPr>
        <w:tc>
          <w:tcPr>
            <w:tcW w:w="680" w:type="dxa"/>
            <w:vAlign w:val="bottom"/>
          </w:tcPr>
          <w:p>
            <w:pPr>
              <w:spacing w:after="0"/>
              <w:rPr>
                <w:sz w:val="17"/>
                <w:szCs w:val="17"/>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FBB Voting Debt</w:t>
            </w:r>
          </w:p>
        </w:tc>
        <w:tc>
          <w:tcPr>
            <w:tcW w:w="6420" w:type="dxa"/>
            <w:vAlign w:val="bottom"/>
            <w:gridSpan w:val="3"/>
          </w:tcPr>
          <w:p>
            <w:pPr>
              <w:jc w:val="center"/>
              <w:ind w:left="2193"/>
              <w:spacing w:after="0"/>
              <w:rPr>
                <w:sz w:val="20"/>
                <w:szCs w:val="20"/>
                <w:color w:val="auto"/>
              </w:rPr>
            </w:pPr>
            <w:r>
              <w:rPr>
                <w:rFonts w:ascii="Times New Roman" w:cs="Times New Roman" w:eastAsia="Times New Roman" w:hAnsi="Times New Roman"/>
                <w:sz w:val="17"/>
                <w:szCs w:val="17"/>
                <w:color w:val="auto"/>
              </w:rPr>
              <w:t>‎Section 4.02(b)</w:t>
            </w:r>
          </w:p>
        </w:tc>
      </w:tr>
      <w:tr>
        <w:trPr>
          <w:trHeight w:val="201"/>
        </w:trPr>
        <w:tc>
          <w:tcPr>
            <w:tcW w:w="680" w:type="dxa"/>
            <w:vAlign w:val="bottom"/>
          </w:tcPr>
          <w:p>
            <w:pPr>
              <w:spacing w:after="0"/>
              <w:rPr>
                <w:sz w:val="17"/>
                <w:szCs w:val="17"/>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FBB Written Consent</w:t>
            </w:r>
          </w:p>
        </w:tc>
        <w:tc>
          <w:tcPr>
            <w:tcW w:w="6420" w:type="dxa"/>
            <w:vAlign w:val="bottom"/>
            <w:gridSpan w:val="3"/>
          </w:tcPr>
          <w:p>
            <w:pPr>
              <w:jc w:val="center"/>
              <w:ind w:left="2193"/>
              <w:spacing w:after="0"/>
              <w:rPr>
                <w:sz w:val="20"/>
                <w:szCs w:val="20"/>
                <w:color w:val="auto"/>
              </w:rPr>
            </w:pPr>
            <w:r>
              <w:rPr>
                <w:rFonts w:ascii="Times New Roman" w:cs="Times New Roman" w:eastAsia="Times New Roman" w:hAnsi="Times New Roman"/>
                <w:sz w:val="17"/>
                <w:szCs w:val="17"/>
                <w:color w:val="auto"/>
              </w:rPr>
              <w:t>‎Section 6.01(c)</w:t>
            </w:r>
          </w:p>
        </w:tc>
      </w:tr>
      <w:tr>
        <w:trPr>
          <w:trHeight w:val="201"/>
        </w:trPr>
        <w:tc>
          <w:tcPr>
            <w:tcW w:w="680" w:type="dxa"/>
            <w:vAlign w:val="bottom"/>
          </w:tcPr>
          <w:p>
            <w:pPr>
              <w:spacing w:after="0"/>
              <w:rPr>
                <w:sz w:val="17"/>
                <w:szCs w:val="17"/>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FBB’s Financial Advisor</w:t>
            </w:r>
          </w:p>
        </w:tc>
        <w:tc>
          <w:tcPr>
            <w:tcW w:w="6420" w:type="dxa"/>
            <w:vAlign w:val="bottom"/>
            <w:gridSpan w:val="3"/>
          </w:tcPr>
          <w:p>
            <w:pPr>
              <w:jc w:val="center"/>
              <w:ind w:left="2193"/>
              <w:spacing w:after="0"/>
              <w:rPr>
                <w:sz w:val="20"/>
                <w:szCs w:val="20"/>
                <w:color w:val="auto"/>
              </w:rPr>
            </w:pPr>
            <w:r>
              <w:rPr>
                <w:rFonts w:ascii="Times New Roman" w:cs="Times New Roman" w:eastAsia="Times New Roman" w:hAnsi="Times New Roman"/>
                <w:sz w:val="17"/>
                <w:szCs w:val="17"/>
                <w:color w:val="auto"/>
              </w:rPr>
              <w:t>‎Section 4.06</w:t>
            </w:r>
          </w:p>
        </w:tc>
      </w:tr>
      <w:tr>
        <w:trPr>
          <w:trHeight w:val="201"/>
        </w:trPr>
        <w:tc>
          <w:tcPr>
            <w:tcW w:w="680" w:type="dxa"/>
            <w:vAlign w:val="bottom"/>
          </w:tcPr>
          <w:p>
            <w:pPr>
              <w:spacing w:after="0"/>
              <w:rPr>
                <w:sz w:val="17"/>
                <w:szCs w:val="17"/>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Final Stockholders Registry</w:t>
            </w:r>
          </w:p>
        </w:tc>
        <w:tc>
          <w:tcPr>
            <w:tcW w:w="6420" w:type="dxa"/>
            <w:vAlign w:val="bottom"/>
            <w:gridSpan w:val="3"/>
          </w:tcPr>
          <w:p>
            <w:pPr>
              <w:jc w:val="center"/>
              <w:ind w:left="2193"/>
              <w:spacing w:after="0"/>
              <w:rPr>
                <w:sz w:val="20"/>
                <w:szCs w:val="20"/>
                <w:color w:val="auto"/>
              </w:rPr>
            </w:pPr>
            <w:r>
              <w:rPr>
                <w:rFonts w:ascii="Times New Roman" w:cs="Times New Roman" w:eastAsia="Times New Roman" w:hAnsi="Times New Roman"/>
                <w:sz w:val="17"/>
                <w:szCs w:val="17"/>
                <w:color w:val="auto"/>
              </w:rPr>
              <w:t>‎Section 2.02(a)</w:t>
            </w:r>
          </w:p>
        </w:tc>
      </w:tr>
      <w:tr>
        <w:trPr>
          <w:trHeight w:val="201"/>
        </w:trPr>
        <w:tc>
          <w:tcPr>
            <w:tcW w:w="680" w:type="dxa"/>
            <w:vAlign w:val="bottom"/>
          </w:tcPr>
          <w:p>
            <w:pPr>
              <w:spacing w:after="0"/>
              <w:rPr>
                <w:sz w:val="17"/>
                <w:szCs w:val="17"/>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FLSA</w:t>
            </w:r>
          </w:p>
        </w:tc>
        <w:tc>
          <w:tcPr>
            <w:tcW w:w="6420" w:type="dxa"/>
            <w:vAlign w:val="bottom"/>
            <w:gridSpan w:val="3"/>
          </w:tcPr>
          <w:p>
            <w:pPr>
              <w:jc w:val="center"/>
              <w:ind w:left="2193"/>
              <w:spacing w:after="0"/>
              <w:rPr>
                <w:sz w:val="20"/>
                <w:szCs w:val="20"/>
                <w:color w:val="auto"/>
              </w:rPr>
            </w:pPr>
            <w:r>
              <w:rPr>
                <w:rFonts w:ascii="Times New Roman" w:cs="Times New Roman" w:eastAsia="Times New Roman" w:hAnsi="Times New Roman"/>
                <w:sz w:val="17"/>
                <w:szCs w:val="17"/>
                <w:color w:val="auto"/>
              </w:rPr>
              <w:t>‎Section 3.12(a)</w:t>
            </w:r>
          </w:p>
        </w:tc>
      </w:tr>
      <w:tr>
        <w:trPr>
          <w:trHeight w:val="201"/>
        </w:trPr>
        <w:tc>
          <w:tcPr>
            <w:tcW w:w="680" w:type="dxa"/>
            <w:vAlign w:val="bottom"/>
          </w:tcPr>
          <w:p>
            <w:pPr>
              <w:spacing w:after="0"/>
              <w:rPr>
                <w:sz w:val="17"/>
                <w:szCs w:val="17"/>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GAAP</w:t>
            </w:r>
          </w:p>
        </w:tc>
        <w:tc>
          <w:tcPr>
            <w:tcW w:w="6420" w:type="dxa"/>
            <w:vAlign w:val="bottom"/>
            <w:gridSpan w:val="3"/>
          </w:tcPr>
          <w:p>
            <w:pPr>
              <w:jc w:val="center"/>
              <w:ind w:left="2193"/>
              <w:spacing w:after="0"/>
              <w:rPr>
                <w:sz w:val="20"/>
                <w:szCs w:val="20"/>
                <w:color w:val="auto"/>
              </w:rPr>
            </w:pPr>
            <w:r>
              <w:rPr>
                <w:rFonts w:ascii="Times New Roman" w:cs="Times New Roman" w:eastAsia="Times New Roman" w:hAnsi="Times New Roman"/>
                <w:sz w:val="17"/>
                <w:szCs w:val="17"/>
                <w:color w:val="auto"/>
              </w:rPr>
              <w:t>‎Section 3.06(a)</w:t>
            </w:r>
          </w:p>
        </w:tc>
      </w:tr>
      <w:tr>
        <w:trPr>
          <w:trHeight w:val="201"/>
        </w:trPr>
        <w:tc>
          <w:tcPr>
            <w:tcW w:w="680" w:type="dxa"/>
            <w:vAlign w:val="bottom"/>
          </w:tcPr>
          <w:p>
            <w:pPr>
              <w:spacing w:after="0"/>
              <w:rPr>
                <w:sz w:val="17"/>
                <w:szCs w:val="17"/>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Governmental Entity</w:t>
            </w:r>
          </w:p>
        </w:tc>
        <w:tc>
          <w:tcPr>
            <w:tcW w:w="6420" w:type="dxa"/>
            <w:vAlign w:val="bottom"/>
            <w:gridSpan w:val="3"/>
          </w:tcPr>
          <w:p>
            <w:pPr>
              <w:jc w:val="center"/>
              <w:ind w:left="2193"/>
              <w:spacing w:after="0"/>
              <w:rPr>
                <w:sz w:val="20"/>
                <w:szCs w:val="20"/>
                <w:color w:val="auto"/>
              </w:rPr>
            </w:pPr>
            <w:r>
              <w:rPr>
                <w:rFonts w:ascii="Times New Roman" w:cs="Times New Roman" w:eastAsia="Times New Roman" w:hAnsi="Times New Roman"/>
                <w:sz w:val="17"/>
                <w:szCs w:val="17"/>
                <w:color w:val="auto"/>
              </w:rPr>
              <w:t>‎Section 3.04</w:t>
            </w:r>
          </w:p>
        </w:tc>
      </w:tr>
      <w:tr>
        <w:trPr>
          <w:trHeight w:val="201"/>
        </w:trPr>
        <w:tc>
          <w:tcPr>
            <w:tcW w:w="680" w:type="dxa"/>
            <w:vAlign w:val="bottom"/>
          </w:tcPr>
          <w:p>
            <w:pPr>
              <w:spacing w:after="0"/>
              <w:rPr>
                <w:sz w:val="17"/>
                <w:szCs w:val="17"/>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Hazardous Materials</w:t>
            </w:r>
          </w:p>
        </w:tc>
        <w:tc>
          <w:tcPr>
            <w:tcW w:w="6420" w:type="dxa"/>
            <w:vAlign w:val="bottom"/>
            <w:gridSpan w:val="3"/>
          </w:tcPr>
          <w:p>
            <w:pPr>
              <w:jc w:val="center"/>
              <w:ind w:left="2193"/>
              <w:spacing w:after="0"/>
              <w:rPr>
                <w:sz w:val="20"/>
                <w:szCs w:val="20"/>
                <w:color w:val="auto"/>
              </w:rPr>
            </w:pPr>
            <w:r>
              <w:rPr>
                <w:rFonts w:ascii="Times New Roman" w:cs="Times New Roman" w:eastAsia="Times New Roman" w:hAnsi="Times New Roman"/>
                <w:sz w:val="17"/>
                <w:szCs w:val="17"/>
                <w:color w:val="auto"/>
              </w:rPr>
              <w:t>‎Section 3.16(e)(iv)</w:t>
            </w:r>
          </w:p>
        </w:tc>
      </w:tr>
      <w:tr>
        <w:trPr>
          <w:trHeight w:val="201"/>
        </w:trPr>
        <w:tc>
          <w:tcPr>
            <w:tcW w:w="680" w:type="dxa"/>
            <w:vAlign w:val="bottom"/>
          </w:tcPr>
          <w:p>
            <w:pPr>
              <w:spacing w:after="0"/>
              <w:rPr>
                <w:sz w:val="17"/>
                <w:szCs w:val="17"/>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Indemnified Party</w:t>
            </w:r>
          </w:p>
        </w:tc>
        <w:tc>
          <w:tcPr>
            <w:tcW w:w="6420" w:type="dxa"/>
            <w:vAlign w:val="bottom"/>
            <w:gridSpan w:val="3"/>
          </w:tcPr>
          <w:p>
            <w:pPr>
              <w:jc w:val="center"/>
              <w:ind w:left="2193"/>
              <w:spacing w:after="0"/>
              <w:rPr>
                <w:sz w:val="20"/>
                <w:szCs w:val="20"/>
                <w:color w:val="auto"/>
              </w:rPr>
            </w:pPr>
            <w:r>
              <w:rPr>
                <w:rFonts w:ascii="Times New Roman" w:cs="Times New Roman" w:eastAsia="Times New Roman" w:hAnsi="Times New Roman"/>
                <w:sz w:val="17"/>
                <w:szCs w:val="17"/>
                <w:color w:val="auto"/>
              </w:rPr>
              <w:t>‎Section 6.02(g)</w:t>
            </w:r>
          </w:p>
        </w:tc>
      </w:tr>
      <w:tr>
        <w:trPr>
          <w:trHeight w:val="201"/>
        </w:trPr>
        <w:tc>
          <w:tcPr>
            <w:tcW w:w="680" w:type="dxa"/>
            <w:vAlign w:val="bottom"/>
          </w:tcPr>
          <w:p>
            <w:pPr>
              <w:spacing w:after="0"/>
              <w:rPr>
                <w:sz w:val="17"/>
                <w:szCs w:val="17"/>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Independent Director</w:t>
            </w:r>
          </w:p>
        </w:tc>
        <w:tc>
          <w:tcPr>
            <w:tcW w:w="6420" w:type="dxa"/>
            <w:vAlign w:val="bottom"/>
            <w:gridSpan w:val="3"/>
          </w:tcPr>
          <w:p>
            <w:pPr>
              <w:jc w:val="center"/>
              <w:ind w:left="2193"/>
              <w:spacing w:after="0"/>
              <w:rPr>
                <w:sz w:val="20"/>
                <w:szCs w:val="20"/>
                <w:color w:val="auto"/>
              </w:rPr>
            </w:pPr>
            <w:r>
              <w:rPr>
                <w:rFonts w:ascii="Times New Roman" w:cs="Times New Roman" w:eastAsia="Times New Roman" w:hAnsi="Times New Roman"/>
                <w:sz w:val="17"/>
                <w:szCs w:val="17"/>
                <w:color w:val="auto"/>
              </w:rPr>
              <w:t>‎Section 6.09(a)</w:t>
            </w:r>
          </w:p>
        </w:tc>
      </w:tr>
      <w:tr>
        <w:trPr>
          <w:trHeight w:val="201"/>
        </w:trPr>
        <w:tc>
          <w:tcPr>
            <w:tcW w:w="680" w:type="dxa"/>
            <w:vAlign w:val="bottom"/>
          </w:tcPr>
          <w:p>
            <w:pPr>
              <w:spacing w:after="0"/>
              <w:rPr>
                <w:sz w:val="17"/>
                <w:szCs w:val="17"/>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Information Statement</w:t>
            </w:r>
          </w:p>
        </w:tc>
        <w:tc>
          <w:tcPr>
            <w:tcW w:w="6420" w:type="dxa"/>
            <w:vAlign w:val="bottom"/>
            <w:gridSpan w:val="3"/>
          </w:tcPr>
          <w:p>
            <w:pPr>
              <w:jc w:val="center"/>
              <w:ind w:left="2193"/>
              <w:spacing w:after="0"/>
              <w:rPr>
                <w:sz w:val="20"/>
                <w:szCs w:val="20"/>
                <w:color w:val="auto"/>
              </w:rPr>
            </w:pPr>
            <w:r>
              <w:rPr>
                <w:rFonts w:ascii="Times New Roman" w:cs="Times New Roman" w:eastAsia="Times New Roman" w:hAnsi="Times New Roman"/>
                <w:sz w:val="17"/>
                <w:szCs w:val="17"/>
                <w:color w:val="auto"/>
              </w:rPr>
              <w:t>‎Section 6.01(e)</w:t>
            </w:r>
          </w:p>
        </w:tc>
      </w:tr>
      <w:tr>
        <w:trPr>
          <w:trHeight w:val="201"/>
        </w:trPr>
        <w:tc>
          <w:tcPr>
            <w:tcW w:w="680" w:type="dxa"/>
            <w:vAlign w:val="bottom"/>
          </w:tcPr>
          <w:p>
            <w:pPr>
              <w:spacing w:after="0"/>
              <w:rPr>
                <w:sz w:val="17"/>
                <w:szCs w:val="17"/>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Injunction</w:t>
            </w:r>
          </w:p>
        </w:tc>
        <w:tc>
          <w:tcPr>
            <w:tcW w:w="6420" w:type="dxa"/>
            <w:vAlign w:val="bottom"/>
            <w:gridSpan w:val="3"/>
          </w:tcPr>
          <w:p>
            <w:pPr>
              <w:jc w:val="center"/>
              <w:ind w:left="2193"/>
              <w:spacing w:after="0"/>
              <w:rPr>
                <w:sz w:val="20"/>
                <w:szCs w:val="20"/>
                <w:color w:val="auto"/>
              </w:rPr>
            </w:pPr>
            <w:r>
              <w:rPr>
                <w:rFonts w:ascii="Times New Roman" w:cs="Times New Roman" w:eastAsia="Times New Roman" w:hAnsi="Times New Roman"/>
                <w:sz w:val="17"/>
                <w:szCs w:val="17"/>
                <w:color w:val="auto"/>
              </w:rPr>
              <w:t>‎Section 3.03(c)</w:t>
            </w:r>
          </w:p>
        </w:tc>
      </w:tr>
      <w:tr>
        <w:trPr>
          <w:trHeight w:val="201"/>
        </w:trPr>
        <w:tc>
          <w:tcPr>
            <w:tcW w:w="680" w:type="dxa"/>
            <w:vAlign w:val="bottom"/>
          </w:tcPr>
          <w:p>
            <w:pPr>
              <w:spacing w:after="0"/>
              <w:rPr>
                <w:sz w:val="17"/>
                <w:szCs w:val="17"/>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Intended Tax Treatment</w:t>
            </w:r>
          </w:p>
        </w:tc>
        <w:tc>
          <w:tcPr>
            <w:tcW w:w="4020" w:type="dxa"/>
            <w:vAlign w:val="bottom"/>
          </w:tcPr>
          <w:p>
            <w:pPr>
              <w:spacing w:after="0"/>
              <w:rPr>
                <w:sz w:val="17"/>
                <w:szCs w:val="17"/>
                <w:color w:val="auto"/>
              </w:rPr>
            </w:pPr>
          </w:p>
        </w:tc>
        <w:tc>
          <w:tcPr>
            <w:tcW w:w="2400" w:type="dxa"/>
            <w:vAlign w:val="bottom"/>
            <w:gridSpan w:val="2"/>
          </w:tcPr>
          <w:p>
            <w:pPr>
              <w:jc w:val="center"/>
              <w:ind w:right="1740"/>
              <w:spacing w:after="0"/>
              <w:rPr>
                <w:sz w:val="20"/>
                <w:szCs w:val="20"/>
                <w:color w:val="auto"/>
              </w:rPr>
            </w:pPr>
            <w:r>
              <w:rPr>
                <w:rFonts w:ascii="Times New Roman" w:cs="Times New Roman" w:eastAsia="Times New Roman" w:hAnsi="Times New Roman"/>
                <w:sz w:val="17"/>
                <w:szCs w:val="17"/>
                <w:color w:val="auto"/>
                <w:w w:val="98"/>
              </w:rPr>
              <w:t>Recitals</w:t>
            </w:r>
          </w:p>
        </w:tc>
      </w:tr>
      <w:tr>
        <w:trPr>
          <w:trHeight w:val="201"/>
        </w:trPr>
        <w:tc>
          <w:tcPr>
            <w:tcW w:w="680" w:type="dxa"/>
            <w:vAlign w:val="bottom"/>
          </w:tcPr>
          <w:p>
            <w:pPr>
              <w:spacing w:after="0"/>
              <w:rPr>
                <w:sz w:val="17"/>
                <w:szCs w:val="17"/>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Law</w:t>
            </w:r>
          </w:p>
        </w:tc>
        <w:tc>
          <w:tcPr>
            <w:tcW w:w="6420" w:type="dxa"/>
            <w:vAlign w:val="bottom"/>
            <w:gridSpan w:val="3"/>
          </w:tcPr>
          <w:p>
            <w:pPr>
              <w:jc w:val="center"/>
              <w:ind w:left="2193"/>
              <w:spacing w:after="0"/>
              <w:rPr>
                <w:sz w:val="20"/>
                <w:szCs w:val="20"/>
                <w:color w:val="auto"/>
              </w:rPr>
            </w:pPr>
            <w:r>
              <w:rPr>
                <w:rFonts w:ascii="Times New Roman" w:cs="Times New Roman" w:eastAsia="Times New Roman" w:hAnsi="Times New Roman"/>
                <w:sz w:val="17"/>
                <w:szCs w:val="17"/>
                <w:color w:val="auto"/>
              </w:rPr>
              <w:t>‎Section 3.14(a)</w:t>
            </w:r>
          </w:p>
        </w:tc>
      </w:tr>
      <w:tr>
        <w:trPr>
          <w:trHeight w:val="201"/>
        </w:trPr>
        <w:tc>
          <w:tcPr>
            <w:tcW w:w="680" w:type="dxa"/>
            <w:vAlign w:val="bottom"/>
          </w:tcPr>
          <w:p>
            <w:pPr>
              <w:spacing w:after="0"/>
              <w:rPr>
                <w:sz w:val="17"/>
                <w:szCs w:val="17"/>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Licenses</w:t>
            </w:r>
          </w:p>
        </w:tc>
        <w:tc>
          <w:tcPr>
            <w:tcW w:w="6420" w:type="dxa"/>
            <w:vAlign w:val="bottom"/>
            <w:gridSpan w:val="3"/>
          </w:tcPr>
          <w:p>
            <w:pPr>
              <w:jc w:val="center"/>
              <w:ind w:left="2193"/>
              <w:spacing w:after="0"/>
              <w:rPr>
                <w:sz w:val="20"/>
                <w:szCs w:val="20"/>
                <w:color w:val="auto"/>
              </w:rPr>
            </w:pPr>
            <w:r>
              <w:rPr>
                <w:rFonts w:ascii="Times New Roman" w:cs="Times New Roman" w:eastAsia="Times New Roman" w:hAnsi="Times New Roman"/>
                <w:sz w:val="17"/>
                <w:szCs w:val="17"/>
                <w:color w:val="auto"/>
              </w:rPr>
              <w:t>‎Section 3.14(a)</w:t>
            </w:r>
          </w:p>
        </w:tc>
      </w:tr>
      <w:tr>
        <w:trPr>
          <w:trHeight w:val="201"/>
        </w:trPr>
        <w:tc>
          <w:tcPr>
            <w:tcW w:w="680" w:type="dxa"/>
            <w:vAlign w:val="bottom"/>
          </w:tcPr>
          <w:p>
            <w:pPr>
              <w:spacing w:after="0"/>
              <w:rPr>
                <w:sz w:val="17"/>
                <w:szCs w:val="17"/>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Lien</w:t>
            </w:r>
          </w:p>
        </w:tc>
        <w:tc>
          <w:tcPr>
            <w:tcW w:w="6420" w:type="dxa"/>
            <w:vAlign w:val="bottom"/>
            <w:gridSpan w:val="3"/>
          </w:tcPr>
          <w:p>
            <w:pPr>
              <w:jc w:val="center"/>
              <w:ind w:left="2193"/>
              <w:spacing w:after="0"/>
              <w:rPr>
                <w:sz w:val="20"/>
                <w:szCs w:val="20"/>
                <w:color w:val="auto"/>
              </w:rPr>
            </w:pPr>
            <w:r>
              <w:rPr>
                <w:rFonts w:ascii="Times New Roman" w:cs="Times New Roman" w:eastAsia="Times New Roman" w:hAnsi="Times New Roman"/>
                <w:sz w:val="17"/>
                <w:szCs w:val="17"/>
                <w:color w:val="auto"/>
              </w:rPr>
              <w:t>‎Section 3.03(c)</w:t>
            </w:r>
          </w:p>
        </w:tc>
      </w:tr>
      <w:tr>
        <w:trPr>
          <w:trHeight w:val="201"/>
        </w:trPr>
        <w:tc>
          <w:tcPr>
            <w:tcW w:w="680" w:type="dxa"/>
            <w:vAlign w:val="bottom"/>
          </w:tcPr>
          <w:p>
            <w:pPr>
              <w:spacing w:after="0"/>
              <w:rPr>
                <w:sz w:val="17"/>
                <w:szCs w:val="17"/>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Merger</w:t>
            </w:r>
          </w:p>
        </w:tc>
        <w:tc>
          <w:tcPr>
            <w:tcW w:w="6420" w:type="dxa"/>
            <w:vAlign w:val="bottom"/>
            <w:gridSpan w:val="3"/>
          </w:tcPr>
          <w:p>
            <w:pPr>
              <w:jc w:val="center"/>
              <w:ind w:left="2193"/>
              <w:spacing w:after="0"/>
              <w:rPr>
                <w:sz w:val="20"/>
                <w:szCs w:val="20"/>
                <w:color w:val="auto"/>
              </w:rPr>
            </w:pPr>
            <w:r>
              <w:rPr>
                <w:rFonts w:ascii="Times New Roman" w:cs="Times New Roman" w:eastAsia="Times New Roman" w:hAnsi="Times New Roman"/>
                <w:sz w:val="17"/>
                <w:szCs w:val="17"/>
                <w:color w:val="auto"/>
              </w:rPr>
              <w:t>‎Section 1.01</w:t>
            </w:r>
          </w:p>
        </w:tc>
      </w:tr>
      <w:tr>
        <w:trPr>
          <w:trHeight w:val="201"/>
        </w:trPr>
        <w:tc>
          <w:tcPr>
            <w:tcW w:w="680" w:type="dxa"/>
            <w:vAlign w:val="bottom"/>
          </w:tcPr>
          <w:p>
            <w:pPr>
              <w:spacing w:after="0"/>
              <w:rPr>
                <w:sz w:val="17"/>
                <w:szCs w:val="17"/>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Merger Consideration</w:t>
            </w:r>
          </w:p>
        </w:tc>
        <w:tc>
          <w:tcPr>
            <w:tcW w:w="6420" w:type="dxa"/>
            <w:vAlign w:val="bottom"/>
            <w:gridSpan w:val="3"/>
          </w:tcPr>
          <w:p>
            <w:pPr>
              <w:jc w:val="center"/>
              <w:ind w:left="2193"/>
              <w:spacing w:after="0"/>
              <w:rPr>
                <w:sz w:val="20"/>
                <w:szCs w:val="20"/>
                <w:color w:val="auto"/>
              </w:rPr>
            </w:pPr>
            <w:r>
              <w:rPr>
                <w:rFonts w:ascii="Times New Roman" w:cs="Times New Roman" w:eastAsia="Times New Roman" w:hAnsi="Times New Roman"/>
                <w:sz w:val="17"/>
                <w:szCs w:val="17"/>
                <w:color w:val="auto"/>
              </w:rPr>
              <w:t>‎Section 2.01(a)(i)</w:t>
            </w:r>
          </w:p>
        </w:tc>
      </w:tr>
      <w:tr>
        <w:trPr>
          <w:trHeight w:val="201"/>
        </w:trPr>
        <w:tc>
          <w:tcPr>
            <w:tcW w:w="680" w:type="dxa"/>
            <w:vAlign w:val="bottom"/>
          </w:tcPr>
          <w:p>
            <w:pPr>
              <w:spacing w:after="0"/>
              <w:rPr>
                <w:sz w:val="17"/>
                <w:szCs w:val="17"/>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Merger Sub</w:t>
            </w:r>
          </w:p>
        </w:tc>
        <w:tc>
          <w:tcPr>
            <w:tcW w:w="4020" w:type="dxa"/>
            <w:vAlign w:val="bottom"/>
          </w:tcPr>
          <w:p>
            <w:pPr>
              <w:spacing w:after="0"/>
              <w:rPr>
                <w:sz w:val="17"/>
                <w:szCs w:val="17"/>
                <w:color w:val="auto"/>
              </w:rPr>
            </w:pPr>
          </w:p>
        </w:tc>
        <w:tc>
          <w:tcPr>
            <w:tcW w:w="2400" w:type="dxa"/>
            <w:vAlign w:val="bottom"/>
            <w:gridSpan w:val="2"/>
          </w:tcPr>
          <w:p>
            <w:pPr>
              <w:jc w:val="center"/>
              <w:ind w:right="1740"/>
              <w:spacing w:after="0"/>
              <w:rPr>
                <w:sz w:val="20"/>
                <w:szCs w:val="20"/>
                <w:color w:val="auto"/>
              </w:rPr>
            </w:pPr>
            <w:r>
              <w:rPr>
                <w:rFonts w:ascii="Times New Roman" w:cs="Times New Roman" w:eastAsia="Times New Roman" w:hAnsi="Times New Roman"/>
                <w:sz w:val="17"/>
                <w:szCs w:val="17"/>
                <w:color w:val="auto"/>
              </w:rPr>
              <w:t>Preamble</w:t>
            </w:r>
          </w:p>
        </w:tc>
      </w:tr>
      <w:tr>
        <w:trPr>
          <w:trHeight w:val="201"/>
        </w:trPr>
        <w:tc>
          <w:tcPr>
            <w:tcW w:w="680" w:type="dxa"/>
            <w:vAlign w:val="bottom"/>
          </w:tcPr>
          <w:p>
            <w:pPr>
              <w:spacing w:after="0"/>
              <w:rPr>
                <w:sz w:val="17"/>
                <w:szCs w:val="17"/>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Multiemployer Plan</w:t>
            </w:r>
          </w:p>
        </w:tc>
        <w:tc>
          <w:tcPr>
            <w:tcW w:w="6420" w:type="dxa"/>
            <w:vAlign w:val="bottom"/>
            <w:gridSpan w:val="3"/>
          </w:tcPr>
          <w:p>
            <w:pPr>
              <w:jc w:val="center"/>
              <w:ind w:left="2193"/>
              <w:spacing w:after="0"/>
              <w:rPr>
                <w:sz w:val="20"/>
                <w:szCs w:val="20"/>
                <w:color w:val="auto"/>
              </w:rPr>
            </w:pPr>
            <w:r>
              <w:rPr>
                <w:rFonts w:ascii="Times New Roman" w:cs="Times New Roman" w:eastAsia="Times New Roman" w:hAnsi="Times New Roman"/>
                <w:sz w:val="17"/>
                <w:szCs w:val="17"/>
                <w:color w:val="auto"/>
              </w:rPr>
              <w:t>‎Section 3.11(a)</w:t>
            </w:r>
          </w:p>
        </w:tc>
      </w:tr>
      <w:tr>
        <w:trPr>
          <w:trHeight w:val="201"/>
        </w:trPr>
        <w:tc>
          <w:tcPr>
            <w:tcW w:w="680" w:type="dxa"/>
            <w:vAlign w:val="bottom"/>
          </w:tcPr>
          <w:p>
            <w:pPr>
              <w:spacing w:after="0"/>
              <w:rPr>
                <w:sz w:val="17"/>
                <w:szCs w:val="17"/>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Nasdaq</w:t>
            </w:r>
          </w:p>
        </w:tc>
        <w:tc>
          <w:tcPr>
            <w:tcW w:w="6420" w:type="dxa"/>
            <w:vAlign w:val="bottom"/>
            <w:gridSpan w:val="3"/>
          </w:tcPr>
          <w:p>
            <w:pPr>
              <w:jc w:val="center"/>
              <w:ind w:left="2193"/>
              <w:spacing w:after="0"/>
              <w:rPr>
                <w:sz w:val="20"/>
                <w:szCs w:val="20"/>
                <w:color w:val="auto"/>
              </w:rPr>
            </w:pPr>
            <w:r>
              <w:rPr>
                <w:rFonts w:ascii="Times New Roman" w:cs="Times New Roman" w:eastAsia="Times New Roman" w:hAnsi="Times New Roman"/>
                <w:sz w:val="17"/>
                <w:szCs w:val="17"/>
                <w:color w:val="auto"/>
              </w:rPr>
              <w:t>‎Section 3.04</w:t>
            </w:r>
          </w:p>
        </w:tc>
      </w:tr>
      <w:tr>
        <w:trPr>
          <w:trHeight w:val="201"/>
        </w:trPr>
        <w:tc>
          <w:tcPr>
            <w:tcW w:w="680" w:type="dxa"/>
            <w:vAlign w:val="bottom"/>
          </w:tcPr>
          <w:p>
            <w:pPr>
              <w:spacing w:after="0"/>
              <w:rPr>
                <w:sz w:val="17"/>
                <w:szCs w:val="17"/>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New Benefit Plan</w:t>
            </w:r>
          </w:p>
        </w:tc>
        <w:tc>
          <w:tcPr>
            <w:tcW w:w="6420" w:type="dxa"/>
            <w:vAlign w:val="bottom"/>
            <w:gridSpan w:val="3"/>
          </w:tcPr>
          <w:p>
            <w:pPr>
              <w:jc w:val="center"/>
              <w:ind w:left="2193"/>
              <w:spacing w:after="0"/>
              <w:rPr>
                <w:sz w:val="20"/>
                <w:szCs w:val="20"/>
                <w:color w:val="auto"/>
              </w:rPr>
            </w:pPr>
            <w:r>
              <w:rPr>
                <w:rFonts w:ascii="Times New Roman" w:cs="Times New Roman" w:eastAsia="Times New Roman" w:hAnsi="Times New Roman"/>
                <w:sz w:val="17"/>
                <w:szCs w:val="17"/>
                <w:color w:val="auto"/>
              </w:rPr>
              <w:t>‎Section 6.10(b)</w:t>
            </w:r>
          </w:p>
        </w:tc>
      </w:tr>
      <w:tr>
        <w:trPr>
          <w:trHeight w:val="201"/>
        </w:trPr>
        <w:tc>
          <w:tcPr>
            <w:tcW w:w="680" w:type="dxa"/>
            <w:vAlign w:val="bottom"/>
          </w:tcPr>
          <w:p>
            <w:pPr>
              <w:spacing w:after="0"/>
              <w:rPr>
                <w:sz w:val="17"/>
                <w:szCs w:val="17"/>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New Plan</w:t>
            </w:r>
          </w:p>
        </w:tc>
        <w:tc>
          <w:tcPr>
            <w:tcW w:w="6420" w:type="dxa"/>
            <w:vAlign w:val="bottom"/>
            <w:gridSpan w:val="3"/>
          </w:tcPr>
          <w:p>
            <w:pPr>
              <w:jc w:val="center"/>
              <w:ind w:left="2193"/>
              <w:spacing w:after="0"/>
              <w:rPr>
                <w:sz w:val="20"/>
                <w:szCs w:val="20"/>
                <w:color w:val="auto"/>
              </w:rPr>
            </w:pPr>
            <w:r>
              <w:rPr>
                <w:rFonts w:ascii="Times New Roman" w:cs="Times New Roman" w:eastAsia="Times New Roman" w:hAnsi="Times New Roman"/>
                <w:sz w:val="17"/>
                <w:szCs w:val="17"/>
                <w:color w:val="auto"/>
              </w:rPr>
              <w:t>‎Section 6.10(c)</w:t>
            </w:r>
          </w:p>
        </w:tc>
      </w:tr>
      <w:tr>
        <w:trPr>
          <w:trHeight w:val="226"/>
        </w:trPr>
        <w:tc>
          <w:tcPr>
            <w:tcW w:w="680" w:type="dxa"/>
            <w:vAlign w:val="bottom"/>
          </w:tcPr>
          <w:p>
            <w:pPr>
              <w:spacing w:after="0"/>
              <w:rPr>
                <w:sz w:val="19"/>
                <w:szCs w:val="19"/>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Notice of DXL Adverse Recommendation Change</w:t>
            </w:r>
          </w:p>
        </w:tc>
        <w:tc>
          <w:tcPr>
            <w:tcW w:w="6420" w:type="dxa"/>
            <w:vAlign w:val="bottom"/>
            <w:gridSpan w:val="3"/>
          </w:tcPr>
          <w:p>
            <w:pPr>
              <w:jc w:val="center"/>
              <w:ind w:left="2173"/>
              <w:spacing w:after="0"/>
              <w:rPr>
                <w:sz w:val="20"/>
                <w:szCs w:val="20"/>
                <w:color w:val="auto"/>
              </w:rPr>
            </w:pPr>
            <w:r>
              <w:rPr>
                <w:rFonts w:ascii="Times New Roman" w:cs="Times New Roman" w:eastAsia="Times New Roman" w:hAnsi="Times New Roman"/>
                <w:sz w:val="17"/>
                <w:szCs w:val="17"/>
                <w:color w:val="auto"/>
              </w:rPr>
              <w:t>‎Section 5.06(f)</w:t>
            </w:r>
          </w:p>
        </w:tc>
      </w:tr>
      <w:tr>
        <w:trPr>
          <w:trHeight w:val="564"/>
        </w:trPr>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020" w:type="dxa"/>
            <w:vAlign w:val="bottom"/>
          </w:tcPr>
          <w:p>
            <w:pPr>
              <w:jc w:val="right"/>
              <w:ind w:right="3013"/>
              <w:spacing w:after="0"/>
              <w:rPr>
                <w:sz w:val="20"/>
                <w:szCs w:val="20"/>
                <w:color w:val="auto"/>
              </w:rPr>
            </w:pPr>
            <w:r>
              <w:rPr>
                <w:rFonts w:ascii="Times New Roman" w:cs="Times New Roman" w:eastAsia="Times New Roman" w:hAnsi="Times New Roman"/>
                <w:sz w:val="16"/>
                <w:szCs w:val="16"/>
                <w:color w:val="auto"/>
              </w:rPr>
              <w:t>-86-</w:t>
            </w:r>
          </w:p>
        </w:tc>
        <w:tc>
          <w:tcPr>
            <w:tcW w:w="6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665"/>
        </w:trPr>
        <w:tc>
          <w:tcPr>
            <w:tcW w:w="6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245" w:right="319" w:bottom="1440" w:gutter="0" w:footer="0" w:header="0"/>
        </w:sectPr>
      </w:pPr>
    </w:p>
    <w:bookmarkStart w:id="96" w:name="page97"/>
    <w:bookmarkEnd w:id="96"/>
    <w:tbl>
      <w:tblPr>
        <w:tblLayout w:type="fixed"/>
        <w:tblInd w:w="680" w:type="dxa"/>
        <w:tblCellMar>
          <w:top w:w="0" w:type="dxa"/>
          <w:left w:w="0" w:type="dxa"/>
          <w:bottom w:w="0" w:type="dxa"/>
          <w:right w:w="0" w:type="dxa"/>
        </w:tblCellMar>
      </w:tblPr>
      <w:tr>
        <w:trPr>
          <w:trHeight w:val="195"/>
        </w:trPr>
        <w:tc>
          <w:tcPr>
            <w:tcW w:w="1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Defined Term</w:t>
            </w:r>
          </w:p>
        </w:tc>
        <w:tc>
          <w:tcPr>
            <w:tcW w:w="40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Location</w:t>
            </w:r>
          </w:p>
        </w:tc>
        <w:tc>
          <w:tcPr>
            <w:tcW w:w="320" w:type="dxa"/>
            <w:vAlign w:val="bottom"/>
          </w:tcPr>
          <w:p>
            <w:pPr>
              <w:spacing w:after="0"/>
              <w:rPr>
                <w:sz w:val="17"/>
                <w:szCs w:val="17"/>
                <w:color w:val="auto"/>
              </w:rPr>
            </w:pPr>
          </w:p>
        </w:tc>
      </w:tr>
      <w:tr>
        <w:trPr>
          <w:trHeight w:val="385"/>
        </w:trPr>
        <w:tc>
          <w:tcPr>
            <w:tcW w:w="5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Payor</w:t>
            </w:r>
          </w:p>
        </w:tc>
        <w:tc>
          <w:tcPr>
            <w:tcW w:w="4080" w:type="dxa"/>
            <w:vAlign w:val="bottom"/>
            <w:gridSpan w:val="3"/>
          </w:tcPr>
          <w:p>
            <w:pPr>
              <w:jc w:val="center"/>
              <w:ind w:left="2693"/>
              <w:spacing w:after="0"/>
              <w:rPr>
                <w:sz w:val="20"/>
                <w:szCs w:val="20"/>
                <w:color w:val="auto"/>
              </w:rPr>
            </w:pPr>
            <w:r>
              <w:rPr>
                <w:rFonts w:ascii="Times New Roman" w:cs="Times New Roman" w:eastAsia="Times New Roman" w:hAnsi="Times New Roman"/>
                <w:sz w:val="17"/>
                <w:szCs w:val="17"/>
                <w:color w:val="auto"/>
              </w:rPr>
              <w:t>‎Section 2.02(h)</w:t>
            </w:r>
          </w:p>
        </w:tc>
      </w:tr>
      <w:tr>
        <w:trPr>
          <w:trHeight w:val="201"/>
        </w:trPr>
        <w:tc>
          <w:tcPr>
            <w:tcW w:w="5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PCBs</w:t>
            </w:r>
          </w:p>
        </w:tc>
        <w:tc>
          <w:tcPr>
            <w:tcW w:w="4080" w:type="dxa"/>
            <w:vAlign w:val="bottom"/>
            <w:gridSpan w:val="3"/>
          </w:tcPr>
          <w:p>
            <w:pPr>
              <w:jc w:val="center"/>
              <w:ind w:left="2693"/>
              <w:spacing w:after="0"/>
              <w:rPr>
                <w:sz w:val="20"/>
                <w:szCs w:val="20"/>
                <w:color w:val="auto"/>
              </w:rPr>
            </w:pPr>
            <w:r>
              <w:rPr>
                <w:rFonts w:ascii="Times New Roman" w:cs="Times New Roman" w:eastAsia="Times New Roman" w:hAnsi="Times New Roman"/>
                <w:sz w:val="17"/>
                <w:szCs w:val="17"/>
                <w:color w:val="auto"/>
              </w:rPr>
              <w:t>‎Section 3.16(e)(iv)</w:t>
            </w:r>
          </w:p>
        </w:tc>
      </w:tr>
      <w:tr>
        <w:trPr>
          <w:trHeight w:val="201"/>
        </w:trPr>
        <w:tc>
          <w:tcPr>
            <w:tcW w:w="5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Piggyback Notice</w:t>
            </w:r>
          </w:p>
        </w:tc>
        <w:tc>
          <w:tcPr>
            <w:tcW w:w="4080" w:type="dxa"/>
            <w:vAlign w:val="bottom"/>
            <w:gridSpan w:val="3"/>
          </w:tcPr>
          <w:p>
            <w:pPr>
              <w:jc w:val="center"/>
              <w:ind w:left="2693"/>
              <w:spacing w:after="0"/>
              <w:rPr>
                <w:sz w:val="20"/>
                <w:szCs w:val="20"/>
                <w:color w:val="auto"/>
              </w:rPr>
            </w:pPr>
            <w:r>
              <w:rPr>
                <w:rFonts w:ascii="Times New Roman" w:cs="Times New Roman" w:eastAsia="Times New Roman" w:hAnsi="Times New Roman"/>
                <w:sz w:val="17"/>
                <w:szCs w:val="17"/>
                <w:color w:val="auto"/>
              </w:rPr>
              <w:t>‎Section 6.02(e)</w:t>
            </w:r>
          </w:p>
        </w:tc>
      </w:tr>
      <w:tr>
        <w:trPr>
          <w:trHeight w:val="201"/>
        </w:trPr>
        <w:tc>
          <w:tcPr>
            <w:tcW w:w="5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Piggyback Registration</w:t>
            </w:r>
          </w:p>
        </w:tc>
        <w:tc>
          <w:tcPr>
            <w:tcW w:w="4080" w:type="dxa"/>
            <w:vAlign w:val="bottom"/>
            <w:gridSpan w:val="3"/>
          </w:tcPr>
          <w:p>
            <w:pPr>
              <w:jc w:val="center"/>
              <w:ind w:left="2693"/>
              <w:spacing w:after="0"/>
              <w:rPr>
                <w:sz w:val="20"/>
                <w:szCs w:val="20"/>
                <w:color w:val="auto"/>
              </w:rPr>
            </w:pPr>
            <w:r>
              <w:rPr>
                <w:rFonts w:ascii="Times New Roman" w:cs="Times New Roman" w:eastAsia="Times New Roman" w:hAnsi="Times New Roman"/>
                <w:sz w:val="17"/>
                <w:szCs w:val="17"/>
                <w:color w:val="auto"/>
              </w:rPr>
              <w:t>‎Section 6.02(e)</w:t>
            </w:r>
          </w:p>
        </w:tc>
      </w:tr>
      <w:tr>
        <w:trPr>
          <w:trHeight w:val="201"/>
        </w:trPr>
        <w:tc>
          <w:tcPr>
            <w:tcW w:w="5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Post-Closing Directors</w:t>
            </w:r>
          </w:p>
        </w:tc>
        <w:tc>
          <w:tcPr>
            <w:tcW w:w="4080" w:type="dxa"/>
            <w:vAlign w:val="bottom"/>
            <w:gridSpan w:val="3"/>
          </w:tcPr>
          <w:p>
            <w:pPr>
              <w:jc w:val="center"/>
              <w:ind w:left="2693"/>
              <w:spacing w:after="0"/>
              <w:rPr>
                <w:sz w:val="20"/>
                <w:szCs w:val="20"/>
                <w:color w:val="auto"/>
              </w:rPr>
            </w:pPr>
            <w:r>
              <w:rPr>
                <w:rFonts w:ascii="Times New Roman" w:cs="Times New Roman" w:eastAsia="Times New Roman" w:hAnsi="Times New Roman"/>
                <w:sz w:val="17"/>
                <w:szCs w:val="17"/>
                <w:color w:val="auto"/>
              </w:rPr>
              <w:t>‎Section 6.09(a)</w:t>
            </w:r>
          </w:p>
        </w:tc>
      </w:tr>
      <w:tr>
        <w:trPr>
          <w:trHeight w:val="201"/>
        </w:trPr>
        <w:tc>
          <w:tcPr>
            <w:tcW w:w="5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Proxy Statement</w:t>
            </w:r>
          </w:p>
        </w:tc>
        <w:tc>
          <w:tcPr>
            <w:tcW w:w="4080" w:type="dxa"/>
            <w:vAlign w:val="bottom"/>
            <w:gridSpan w:val="3"/>
          </w:tcPr>
          <w:p>
            <w:pPr>
              <w:jc w:val="center"/>
              <w:ind w:left="2693"/>
              <w:spacing w:after="0"/>
              <w:rPr>
                <w:sz w:val="20"/>
                <w:szCs w:val="20"/>
                <w:color w:val="auto"/>
              </w:rPr>
            </w:pPr>
            <w:r>
              <w:rPr>
                <w:rFonts w:ascii="Times New Roman" w:cs="Times New Roman" w:eastAsia="Times New Roman" w:hAnsi="Times New Roman"/>
                <w:sz w:val="17"/>
                <w:szCs w:val="17"/>
                <w:color w:val="auto"/>
              </w:rPr>
              <w:t>‎Section 6.01(b)</w:t>
            </w:r>
          </w:p>
        </w:tc>
      </w:tr>
      <w:tr>
        <w:trPr>
          <w:trHeight w:val="201"/>
        </w:trPr>
        <w:tc>
          <w:tcPr>
            <w:tcW w:w="5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Registrable Securities</w:t>
            </w:r>
          </w:p>
        </w:tc>
        <w:tc>
          <w:tcPr>
            <w:tcW w:w="4080" w:type="dxa"/>
            <w:vAlign w:val="bottom"/>
            <w:gridSpan w:val="3"/>
          </w:tcPr>
          <w:p>
            <w:pPr>
              <w:jc w:val="center"/>
              <w:ind w:left="2693"/>
              <w:spacing w:after="0"/>
              <w:rPr>
                <w:sz w:val="20"/>
                <w:szCs w:val="20"/>
                <w:color w:val="auto"/>
              </w:rPr>
            </w:pPr>
            <w:r>
              <w:rPr>
                <w:rFonts w:ascii="Times New Roman" w:cs="Times New Roman" w:eastAsia="Times New Roman" w:hAnsi="Times New Roman"/>
                <w:sz w:val="17"/>
                <w:szCs w:val="17"/>
                <w:color w:val="auto"/>
              </w:rPr>
              <w:t>‎Section 6.02(b)</w:t>
            </w:r>
          </w:p>
        </w:tc>
      </w:tr>
      <w:tr>
        <w:trPr>
          <w:trHeight w:val="201"/>
        </w:trPr>
        <w:tc>
          <w:tcPr>
            <w:tcW w:w="5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Regulatory Agencies</w:t>
            </w:r>
          </w:p>
        </w:tc>
        <w:tc>
          <w:tcPr>
            <w:tcW w:w="4080" w:type="dxa"/>
            <w:vAlign w:val="bottom"/>
            <w:gridSpan w:val="3"/>
          </w:tcPr>
          <w:p>
            <w:pPr>
              <w:jc w:val="center"/>
              <w:ind w:left="2693"/>
              <w:spacing w:after="0"/>
              <w:rPr>
                <w:sz w:val="20"/>
                <w:szCs w:val="20"/>
                <w:color w:val="auto"/>
              </w:rPr>
            </w:pPr>
            <w:r>
              <w:rPr>
                <w:rFonts w:ascii="Times New Roman" w:cs="Times New Roman" w:eastAsia="Times New Roman" w:hAnsi="Times New Roman"/>
                <w:sz w:val="17"/>
                <w:szCs w:val="17"/>
                <w:color w:val="auto"/>
              </w:rPr>
              <w:t>‎Section 3.05</w:t>
            </w:r>
          </w:p>
        </w:tc>
      </w:tr>
      <w:tr>
        <w:trPr>
          <w:trHeight w:val="201"/>
        </w:trPr>
        <w:tc>
          <w:tcPr>
            <w:tcW w:w="5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Release</w:t>
            </w:r>
          </w:p>
        </w:tc>
        <w:tc>
          <w:tcPr>
            <w:tcW w:w="4080" w:type="dxa"/>
            <w:vAlign w:val="bottom"/>
            <w:gridSpan w:val="3"/>
          </w:tcPr>
          <w:p>
            <w:pPr>
              <w:jc w:val="center"/>
              <w:ind w:left="2693"/>
              <w:spacing w:after="0"/>
              <w:rPr>
                <w:sz w:val="20"/>
                <w:szCs w:val="20"/>
                <w:color w:val="auto"/>
              </w:rPr>
            </w:pPr>
            <w:r>
              <w:rPr>
                <w:rFonts w:ascii="Times New Roman" w:cs="Times New Roman" w:eastAsia="Times New Roman" w:hAnsi="Times New Roman"/>
                <w:sz w:val="17"/>
                <w:szCs w:val="17"/>
                <w:color w:val="auto"/>
              </w:rPr>
              <w:t>‎Section 3.16(e)(v)</w:t>
            </w:r>
          </w:p>
        </w:tc>
      </w:tr>
      <w:tr>
        <w:trPr>
          <w:trHeight w:val="201"/>
        </w:trPr>
        <w:tc>
          <w:tcPr>
            <w:tcW w:w="5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Required DXL Stockholder Vote</w:t>
            </w:r>
          </w:p>
        </w:tc>
        <w:tc>
          <w:tcPr>
            <w:tcW w:w="4080" w:type="dxa"/>
            <w:vAlign w:val="bottom"/>
            <w:gridSpan w:val="3"/>
          </w:tcPr>
          <w:p>
            <w:pPr>
              <w:jc w:val="center"/>
              <w:ind w:left="2693"/>
              <w:spacing w:after="0"/>
              <w:rPr>
                <w:sz w:val="20"/>
                <w:szCs w:val="20"/>
                <w:color w:val="auto"/>
              </w:rPr>
            </w:pPr>
            <w:r>
              <w:rPr>
                <w:rFonts w:ascii="Times New Roman" w:cs="Times New Roman" w:eastAsia="Times New Roman" w:hAnsi="Times New Roman"/>
                <w:sz w:val="17"/>
                <w:szCs w:val="17"/>
                <w:color w:val="auto"/>
              </w:rPr>
              <w:t>‎Section 3.03(b)</w:t>
            </w:r>
          </w:p>
        </w:tc>
      </w:tr>
      <w:tr>
        <w:trPr>
          <w:trHeight w:val="201"/>
        </w:trPr>
        <w:tc>
          <w:tcPr>
            <w:tcW w:w="5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Resale Registration Statement</w:t>
            </w:r>
          </w:p>
        </w:tc>
        <w:tc>
          <w:tcPr>
            <w:tcW w:w="4080" w:type="dxa"/>
            <w:vAlign w:val="bottom"/>
            <w:gridSpan w:val="3"/>
          </w:tcPr>
          <w:p>
            <w:pPr>
              <w:jc w:val="center"/>
              <w:ind w:left="2693"/>
              <w:spacing w:after="0"/>
              <w:rPr>
                <w:sz w:val="20"/>
                <w:szCs w:val="20"/>
                <w:color w:val="auto"/>
              </w:rPr>
            </w:pPr>
            <w:r>
              <w:rPr>
                <w:rFonts w:ascii="Times New Roman" w:cs="Times New Roman" w:eastAsia="Times New Roman" w:hAnsi="Times New Roman"/>
                <w:sz w:val="17"/>
                <w:szCs w:val="17"/>
                <w:color w:val="auto"/>
              </w:rPr>
              <w:t>‎Section 6.02(a)</w:t>
            </w:r>
          </w:p>
        </w:tc>
      </w:tr>
      <w:tr>
        <w:trPr>
          <w:trHeight w:val="201"/>
        </w:trPr>
        <w:tc>
          <w:tcPr>
            <w:tcW w:w="5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Sarbanes-Oxley Act</w:t>
            </w:r>
          </w:p>
        </w:tc>
        <w:tc>
          <w:tcPr>
            <w:tcW w:w="4080" w:type="dxa"/>
            <w:vAlign w:val="bottom"/>
            <w:gridSpan w:val="3"/>
          </w:tcPr>
          <w:p>
            <w:pPr>
              <w:jc w:val="center"/>
              <w:ind w:left="2693"/>
              <w:spacing w:after="0"/>
              <w:rPr>
                <w:sz w:val="20"/>
                <w:szCs w:val="20"/>
                <w:color w:val="auto"/>
              </w:rPr>
            </w:pPr>
            <w:r>
              <w:rPr>
                <w:rFonts w:ascii="Times New Roman" w:cs="Times New Roman" w:eastAsia="Times New Roman" w:hAnsi="Times New Roman"/>
                <w:sz w:val="17"/>
                <w:szCs w:val="17"/>
                <w:color w:val="auto"/>
              </w:rPr>
              <w:t>‎Section 3.05</w:t>
            </w:r>
          </w:p>
        </w:tc>
      </w:tr>
      <w:tr>
        <w:trPr>
          <w:trHeight w:val="201"/>
        </w:trPr>
        <w:tc>
          <w:tcPr>
            <w:tcW w:w="5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Surviving Company</w:t>
            </w:r>
          </w:p>
        </w:tc>
        <w:tc>
          <w:tcPr>
            <w:tcW w:w="4080" w:type="dxa"/>
            <w:vAlign w:val="bottom"/>
            <w:gridSpan w:val="3"/>
          </w:tcPr>
          <w:p>
            <w:pPr>
              <w:jc w:val="center"/>
              <w:ind w:left="2693"/>
              <w:spacing w:after="0"/>
              <w:rPr>
                <w:sz w:val="20"/>
                <w:szCs w:val="20"/>
                <w:color w:val="auto"/>
              </w:rPr>
            </w:pPr>
            <w:r>
              <w:rPr>
                <w:rFonts w:ascii="Times New Roman" w:cs="Times New Roman" w:eastAsia="Times New Roman" w:hAnsi="Times New Roman"/>
                <w:sz w:val="17"/>
                <w:szCs w:val="17"/>
                <w:color w:val="auto"/>
              </w:rPr>
              <w:t>‎Section 1.01</w:t>
            </w:r>
          </w:p>
        </w:tc>
      </w:tr>
      <w:tr>
        <w:trPr>
          <w:trHeight w:val="201"/>
        </w:trPr>
        <w:tc>
          <w:tcPr>
            <w:tcW w:w="5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Surviving Company Charter</w:t>
            </w:r>
          </w:p>
        </w:tc>
        <w:tc>
          <w:tcPr>
            <w:tcW w:w="4080" w:type="dxa"/>
            <w:vAlign w:val="bottom"/>
            <w:gridSpan w:val="3"/>
          </w:tcPr>
          <w:p>
            <w:pPr>
              <w:jc w:val="center"/>
              <w:ind w:left="2693"/>
              <w:spacing w:after="0"/>
              <w:rPr>
                <w:sz w:val="20"/>
                <w:szCs w:val="20"/>
                <w:color w:val="auto"/>
              </w:rPr>
            </w:pPr>
            <w:r>
              <w:rPr>
                <w:rFonts w:ascii="Times New Roman" w:cs="Times New Roman" w:eastAsia="Times New Roman" w:hAnsi="Times New Roman"/>
                <w:sz w:val="17"/>
                <w:szCs w:val="17"/>
                <w:color w:val="auto"/>
              </w:rPr>
              <w:t>‎Section 1.05(a)</w:t>
            </w:r>
          </w:p>
        </w:tc>
      </w:tr>
      <w:tr>
        <w:trPr>
          <w:trHeight w:val="201"/>
        </w:trPr>
        <w:tc>
          <w:tcPr>
            <w:tcW w:w="5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Tail Policy</w:t>
            </w:r>
          </w:p>
        </w:tc>
        <w:tc>
          <w:tcPr>
            <w:tcW w:w="4080" w:type="dxa"/>
            <w:vAlign w:val="bottom"/>
            <w:gridSpan w:val="3"/>
          </w:tcPr>
          <w:p>
            <w:pPr>
              <w:jc w:val="center"/>
              <w:ind w:left="2693"/>
              <w:spacing w:after="0"/>
              <w:rPr>
                <w:sz w:val="20"/>
                <w:szCs w:val="20"/>
                <w:color w:val="auto"/>
              </w:rPr>
            </w:pPr>
            <w:r>
              <w:rPr>
                <w:rFonts w:ascii="Times New Roman" w:cs="Times New Roman" w:eastAsia="Times New Roman" w:hAnsi="Times New Roman"/>
                <w:sz w:val="17"/>
                <w:szCs w:val="17"/>
                <w:color w:val="auto"/>
              </w:rPr>
              <w:t>‎Section 6.11(b)</w:t>
            </w:r>
          </w:p>
        </w:tc>
      </w:tr>
      <w:tr>
        <w:trPr>
          <w:trHeight w:val="201"/>
        </w:trPr>
        <w:tc>
          <w:tcPr>
            <w:tcW w:w="5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Takeover Statute</w:t>
            </w:r>
          </w:p>
        </w:tc>
        <w:tc>
          <w:tcPr>
            <w:tcW w:w="4080" w:type="dxa"/>
            <w:vAlign w:val="bottom"/>
            <w:gridSpan w:val="3"/>
          </w:tcPr>
          <w:p>
            <w:pPr>
              <w:jc w:val="center"/>
              <w:ind w:left="2693"/>
              <w:spacing w:after="0"/>
              <w:rPr>
                <w:sz w:val="20"/>
                <w:szCs w:val="20"/>
                <w:color w:val="auto"/>
              </w:rPr>
            </w:pPr>
            <w:r>
              <w:rPr>
                <w:rFonts w:ascii="Times New Roman" w:cs="Times New Roman" w:eastAsia="Times New Roman" w:hAnsi="Times New Roman"/>
                <w:sz w:val="17"/>
                <w:szCs w:val="17"/>
                <w:color w:val="auto"/>
              </w:rPr>
              <w:t>‎Section 3.17</w:t>
            </w:r>
          </w:p>
        </w:tc>
      </w:tr>
      <w:tr>
        <w:trPr>
          <w:trHeight w:val="226"/>
        </w:trPr>
        <w:tc>
          <w:tcPr>
            <w:tcW w:w="5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WARN</w:t>
            </w:r>
          </w:p>
        </w:tc>
        <w:tc>
          <w:tcPr>
            <w:tcW w:w="4080" w:type="dxa"/>
            <w:vAlign w:val="bottom"/>
            <w:gridSpan w:val="3"/>
          </w:tcPr>
          <w:p>
            <w:pPr>
              <w:jc w:val="center"/>
              <w:ind w:left="2693"/>
              <w:spacing w:after="0"/>
              <w:rPr>
                <w:sz w:val="20"/>
                <w:szCs w:val="20"/>
                <w:color w:val="auto"/>
              </w:rPr>
            </w:pPr>
            <w:r>
              <w:rPr>
                <w:rFonts w:ascii="Times New Roman" w:cs="Times New Roman" w:eastAsia="Times New Roman" w:hAnsi="Times New Roman"/>
                <w:sz w:val="17"/>
                <w:szCs w:val="17"/>
                <w:color w:val="auto"/>
              </w:rPr>
              <w:t>‎Section 3.12(c)</w:t>
            </w:r>
          </w:p>
        </w:tc>
      </w:tr>
    </w:tbl>
    <w:p>
      <w:pPr>
        <w:spacing w:after="0" w:line="351" w:lineRule="exact"/>
        <w:rPr>
          <w:sz w:val="20"/>
          <w:szCs w:val="20"/>
          <w:color w:val="auto"/>
        </w:rPr>
      </w:pPr>
    </w:p>
    <w:p>
      <w:pPr>
        <w:jc w:val="both"/>
        <w:ind w:firstLine="1220"/>
        <w:spacing w:after="0" w:line="248" w:lineRule="auto"/>
        <w:rPr>
          <w:sz w:val="20"/>
          <w:szCs w:val="20"/>
          <w:color w:val="auto"/>
        </w:rPr>
      </w:pPr>
      <w:r>
        <w:rPr>
          <w:rFonts w:ascii="Times New Roman" w:cs="Times New Roman" w:eastAsia="Times New Roman" w:hAnsi="Times New Roman"/>
          <w:sz w:val="17"/>
          <w:szCs w:val="17"/>
          <w:b w:val="1"/>
          <w:bCs w:val="1"/>
          <w:u w:val="single" w:color="auto"/>
          <w:color w:val="auto"/>
        </w:rPr>
        <w:t>SECTION 9.05 Interpretation</w:t>
      </w:r>
      <w:r>
        <w:rPr>
          <w:rFonts w:ascii="Times New Roman" w:cs="Times New Roman" w:eastAsia="Times New Roman" w:hAnsi="Times New Roman"/>
          <w:sz w:val="17"/>
          <w:szCs w:val="17"/>
          <w:color w:val="auto"/>
        </w:rPr>
        <w:t>. When a reference is made in this Agreement to an Article or Section, such reference shall be to an Article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Section of this Agreement unless otherwise indicated. The table of contents, index of defined terms contained in ‎Section 9.04 and headings contained in this Agreement are for reference purposes only and shall not affect in any way the meaning or interpretation of this Agreement. Any capitalized term used in any Schedule, Annex or Exhibit, but not otherwise defined therein, shall have the meaning assigned to such term in this Agreement. Whenever the words “include,” “includes” or “including” are used in this Agreement, they shall be deemed to be followed by the words “without limitation.” The words “hereof,” “hereto,” “hereby,” “herein” and “hereunder” and words of similar import when used in this Agreement shall refer to this Agreement as a whole and not to any particular provision of this Agreement. The words “date hereof” when used in this Agreement shall refer to the date of this Agreement. The term “or” is not exclusive. The word “extent” in the phrase “to the extent” shall mean the degree to which a subject or other thing extends, and such phrase shall not mean “if.” The definitions contained in this Agreement are applicable to the singular as well as the plural forms of such terms. Any agreement, instrument or Law defined or referred to herein means such agreement, instrument or Law as from time to time amended, modified or supplemented, unless otherwise specifically indicated. References to a Person are also to its successors and permitted assigns. Unless otherwise specifically indicated, all references to “dollars” and “$” will be deemed references to the lawful money of the United States of America. The term “made available” and words of similar import mean that the relevant documents, instruments or materials were (a) posted and made available to the other party on the applicable due diligence data site, maintained by a party for the purpose of the Merger and the other Transactions, in each case prior to the date hereof, or (b) publicly available by virtue of the relevant party’s filing of a publicly available final registration statement, prospectus, report, form, schedule or definitive proxy statement filed with the SEC pursuant to the Securities Act or the Exchange Act at least one (1) Business Day prior to the date hereof. No provision of this Agreement will be interpreted in favor of, or against, any of the parties to this Agreement by reason of the extent to which any such party or its legal counsel participated in the drafting thereof or by reason of the extent to which any such provision is inconsistent with any prior draft of this Agreement, and no rule of strict construction will be applied against any party hereto. The DXL Disclosure Schedule and the FBB Disclosure Schedule set forth items of disclosure with specific reference to the particular Section or subsection of this Agreement to which the information in the DXL Disclosure Schedule or FBB Disclosure Schedule, as the case may be, relates; provided that any 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5194935</wp:posOffset>
            </wp:positionH>
            <wp:positionV relativeFrom="paragraph">
              <wp:posOffset>-2317750</wp:posOffset>
            </wp:positionV>
            <wp:extent cx="549910" cy="762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49910" cy="762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45" w:right="319" w:bottom="1440" w:gutter="0" w:footer="0" w:header="0"/>
        </w:sectPr>
      </w:pPr>
    </w:p>
    <w:bookmarkStart w:id="97" w:name="page98"/>
    <w:bookmarkEnd w:id="97"/>
    <w:p>
      <w:pPr>
        <w:jc w:val="both"/>
        <w:spacing w:after="0" w:line="251" w:lineRule="auto"/>
        <w:rPr>
          <w:sz w:val="20"/>
          <w:szCs w:val="20"/>
          <w:color w:val="auto"/>
        </w:rPr>
      </w:pPr>
      <w:r>
        <w:rPr>
          <w:rFonts w:ascii="Times New Roman" w:cs="Times New Roman" w:eastAsia="Times New Roman" w:hAnsi="Times New Roman"/>
          <w:sz w:val="17"/>
          <w:szCs w:val="17"/>
          <w:color w:val="auto"/>
        </w:rPr>
        <w:t>or item that is disclosed in any section or subsection of the DXL Disclosure Schedule or the FBB Disclosure Schedule so as to make its relevance to the information called for by other sections or subsections of the DXL Disclosure Schedule or the FBB Disclosure Schedule reasonably apparent on the face of such disclosure shall be deemed to be disclosed in such other sections or subsections of the DXL Disclosure Schedule or the FBB Disclosure Schedule, as the case may be, notwithstanding the omission of any appropriate cross-reference thereto; provided, further that, notwithstanding anything in this Agreement to the contrary, the inclusion of an item in either such disclosure schedule as an exception to a representation or warranty will not be deemed an admission that such item represents a material exception or material fact, event or circumstance or that such item has had or would reasonably be expected to have a Material Adverse Effect on DXL or FBB, as the case may be. Except where the context otherwise requires, references to the “other party” or “either party” will be deemed to refer to DXL and Merger Sub, collectively, on the one hand, and FBB, on the other hand. All electronic communications from a Person delivered in accordance with ‎Section 9.02 shall be deemed to be “written” for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549910" cy="762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49910" cy="7620"/>
                    </a:xfrm>
                    <a:prstGeom prst="rect">
                      <a:avLst/>
                    </a:prstGeom>
                    <a:noFill/>
                  </pic:spPr>
                </pic:pic>
              </a:graphicData>
            </a:graphic>
          </wp:anchor>
        </w:drawing>
      </w:r>
    </w:p>
    <w:p>
      <w:pPr>
        <w:spacing w:after="0" w:line="137" w:lineRule="exact"/>
        <w:rPr>
          <w:sz w:val="20"/>
          <w:szCs w:val="20"/>
          <w:color w:val="auto"/>
        </w:rPr>
      </w:pPr>
    </w:p>
    <w:p>
      <w:pPr>
        <w:jc w:val="both"/>
        <w:ind w:firstLine="1220"/>
        <w:spacing w:after="0" w:line="260" w:lineRule="auto"/>
        <w:rPr>
          <w:sz w:val="20"/>
          <w:szCs w:val="20"/>
          <w:color w:val="auto"/>
        </w:rPr>
      </w:pPr>
      <w:r>
        <w:rPr>
          <w:rFonts w:ascii="Times New Roman" w:cs="Times New Roman" w:eastAsia="Times New Roman" w:hAnsi="Times New Roman"/>
          <w:sz w:val="17"/>
          <w:szCs w:val="17"/>
          <w:b w:val="1"/>
          <w:bCs w:val="1"/>
          <w:u w:val="single" w:color="auto"/>
          <w:color w:val="auto"/>
        </w:rPr>
        <w:t>SECTION 9.06 Severability</w:t>
      </w:r>
      <w:r>
        <w:rPr>
          <w:rFonts w:ascii="Times New Roman" w:cs="Times New Roman" w:eastAsia="Times New Roman" w:hAnsi="Times New Roman"/>
          <w:sz w:val="17"/>
          <w:szCs w:val="17"/>
          <w:color w:val="auto"/>
        </w:rPr>
        <w:t>. If any term or other provision of this Agreement is invalid, illegal or incapable of being enforced by any Law</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public policy, all other conditions and provisions of this Agreement shall nevertheless remain in full force and effect so long as either the economic or legal substance of the Transactions is not affected in any manner adverse in any material respect to any party or such party waives its rights under this ‎Section 9.06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6586855</wp:posOffset>
            </wp:positionH>
            <wp:positionV relativeFrom="paragraph">
              <wp:posOffset>-162560</wp:posOffset>
            </wp:positionV>
            <wp:extent cx="557530" cy="762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57530" cy="7620"/>
                    </a:xfrm>
                    <a:prstGeom prst="rect">
                      <a:avLst/>
                    </a:prstGeom>
                    <a:noFill/>
                  </pic:spPr>
                </pic:pic>
              </a:graphicData>
            </a:graphic>
          </wp:anchor>
        </w:drawing>
      </w:r>
    </w:p>
    <w:p>
      <w:pPr>
        <w:spacing w:after="0" w:line="126" w:lineRule="exact"/>
        <w:rPr>
          <w:sz w:val="20"/>
          <w:szCs w:val="20"/>
          <w:color w:val="auto"/>
        </w:rPr>
      </w:pPr>
    </w:p>
    <w:p>
      <w:pPr>
        <w:jc w:val="both"/>
        <w:ind w:firstLine="1220"/>
        <w:spacing w:after="0" w:line="260" w:lineRule="auto"/>
        <w:rPr>
          <w:sz w:val="20"/>
          <w:szCs w:val="20"/>
          <w:color w:val="auto"/>
        </w:rPr>
      </w:pPr>
      <w:r>
        <w:rPr>
          <w:rFonts w:ascii="Times New Roman" w:cs="Times New Roman" w:eastAsia="Times New Roman" w:hAnsi="Times New Roman"/>
          <w:sz w:val="17"/>
          <w:szCs w:val="17"/>
          <w:b w:val="1"/>
          <w:bCs w:val="1"/>
          <w:u w:val="single" w:color="auto"/>
          <w:color w:val="auto"/>
        </w:rPr>
        <w:t>SECTION 9.07 Counterparts; Facsimile Signatures</w:t>
      </w:r>
      <w:r>
        <w:rPr>
          <w:rFonts w:ascii="Times New Roman" w:cs="Times New Roman" w:eastAsia="Times New Roman" w:hAnsi="Times New Roman"/>
          <w:sz w:val="17"/>
          <w:szCs w:val="17"/>
          <w:color w:val="auto"/>
        </w:rPr>
        <w:t>. This Agreement may be executed in one or more counterparts, all of which shall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considered one and the same agreement and shall become effective when one or more counterparts have been signed by each of the parties and delivered to the other parties. Facsimile or other electronically scanned and transmitted signatures, including by email attachment, shall be deemed originals for all purposes of this Agreement.</w:t>
      </w:r>
    </w:p>
    <w:p>
      <w:pPr>
        <w:spacing w:after="0" w:line="146" w:lineRule="exact"/>
        <w:rPr>
          <w:sz w:val="20"/>
          <w:szCs w:val="20"/>
          <w:color w:val="auto"/>
        </w:rPr>
      </w:pPr>
    </w:p>
    <w:p>
      <w:pPr>
        <w:jc w:val="both"/>
        <w:ind w:firstLine="1220"/>
        <w:spacing w:after="0" w:line="249" w:lineRule="auto"/>
        <w:rPr>
          <w:sz w:val="20"/>
          <w:szCs w:val="20"/>
          <w:color w:val="auto"/>
        </w:rPr>
      </w:pPr>
      <w:r>
        <w:rPr>
          <w:rFonts w:ascii="Times New Roman" w:cs="Times New Roman" w:eastAsia="Times New Roman" w:hAnsi="Times New Roman"/>
          <w:sz w:val="17"/>
          <w:szCs w:val="17"/>
          <w:b w:val="1"/>
          <w:bCs w:val="1"/>
          <w:u w:val="single" w:color="auto"/>
          <w:color w:val="auto"/>
        </w:rPr>
        <w:t>SECTION 9.08 Entire Agreement; No Third Party Beneficiaries</w:t>
      </w:r>
      <w:r>
        <w:rPr>
          <w:rFonts w:ascii="Times New Roman" w:cs="Times New Roman" w:eastAsia="Times New Roman" w:hAnsi="Times New Roman"/>
          <w:sz w:val="17"/>
          <w:szCs w:val="17"/>
          <w:color w:val="auto"/>
        </w:rPr>
        <w:t>. This Agreement, taken together with the Confidentiality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the other agreements entered into in connection with preserving the confidentiality of information, (a) constitutes the entire agreement, and supersedes all prior agreements (other than the Confidentiality Agreement and the other agreements entered into in connection with preserving the confidentiality of information) and understandings, both written and oral, among the parties with respect to the Merger and the other Transactions and (b) is not intended to, and does not, confer upon any Person other than the parties any rights or remedies. The FBB Disclosure Schedule and the DXL Disclosure Schedule are “facts ascertainable” as that term is used in Section 251(b) of the DGCL; provided, that, to the fullest extent permitted by Section 268 of the DGCL, the FBB Disclosure Schedule, the DXL Disclosure Schedule, and any other exhibit, schedule, or other document or instrument delivered in connection with this Agreement shall not be deemed part of this Agreement for purposes of any provision of the DGCL but shall have the effects provided in this Agreement. Notwithstanding anything to the contrary in this Agreement, following the Effective Time, (i) the provisions of ‎Article II relating to the payment of the Merger Consideration and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-17780</wp:posOffset>
            </wp:positionV>
            <wp:extent cx="421640" cy="762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21640" cy="7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dividends or other distributions payable pursuant to Section‎ 2.02(d</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 xml:space="preserve"> shall be enforceable by holders of FBB Capital Stock at the Effective Time as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2382520</wp:posOffset>
            </wp:positionH>
            <wp:positionV relativeFrom="paragraph">
              <wp:posOffset>-17780</wp:posOffset>
            </wp:positionV>
            <wp:extent cx="594360" cy="762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94360" cy="7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therein, (ii) the FBB Selling Stockholders are intended third party beneficiaries of Section‎ 6.02 and (iii) the D&amp;O Indemnified Parties are intended third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3729990</wp:posOffset>
            </wp:positionH>
            <wp:positionV relativeFrom="paragraph">
              <wp:posOffset>-17780</wp:posOffset>
            </wp:positionV>
            <wp:extent cx="557530" cy="762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57530" cy="7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beneficiaries of Section‎ 6.11(a).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-17780</wp:posOffset>
            </wp:positionV>
            <wp:extent cx="672465" cy="762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72465" cy="7620"/>
                    </a:xfrm>
                    <a:prstGeom prst="rect">
                      <a:avLst/>
                    </a:prstGeom>
                    <a:noFill/>
                  </pic:spPr>
                </pic:pic>
              </a:graphicData>
            </a:graphic>
          </wp:anchor>
        </w:drawing>
      </w:r>
    </w:p>
    <w:p>
      <w:pPr>
        <w:spacing w:after="0" w:line="153" w:lineRule="exact"/>
        <w:rPr>
          <w:sz w:val="20"/>
          <w:szCs w:val="20"/>
          <w:color w:val="auto"/>
        </w:rPr>
      </w:pPr>
    </w:p>
    <w:p>
      <w:pPr>
        <w:jc w:val="both"/>
        <w:ind w:firstLine="1220"/>
        <w:spacing w:after="0" w:line="256" w:lineRule="auto"/>
        <w:rPr>
          <w:sz w:val="20"/>
          <w:szCs w:val="20"/>
          <w:color w:val="auto"/>
        </w:rPr>
      </w:pPr>
      <w:r>
        <w:rPr>
          <w:rFonts w:ascii="Times New Roman" w:cs="Times New Roman" w:eastAsia="Times New Roman" w:hAnsi="Times New Roman"/>
          <w:sz w:val="17"/>
          <w:szCs w:val="17"/>
          <w:b w:val="1"/>
          <w:bCs w:val="1"/>
          <w:u w:val="single" w:color="auto"/>
          <w:color w:val="auto"/>
        </w:rPr>
        <w:t>SECTION 9.09 Governing Law</w:t>
      </w:r>
      <w:r>
        <w:rPr>
          <w:rFonts w:ascii="Times New Roman" w:cs="Times New Roman" w:eastAsia="Times New Roman" w:hAnsi="Times New Roman"/>
          <w:sz w:val="17"/>
          <w:szCs w:val="17"/>
          <w:color w:val="auto"/>
        </w:rPr>
        <w:t>. This Agreement and any dispute, controversy or claim based upon, arising out of, relating to or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connection with this Agreement, the negotiation, execution, existence, validity, enforceability or performance of this Agreement, any transaction contemplated by this Agreement, any representation or warranty made in or in connection with this Agreement, any inducement to enter into this Agreement, or the breach or alleged breach hereof (whether in contract, statute, tort or otherwise) (a “</w:t>
      </w:r>
      <w:r>
        <w:rPr>
          <w:rFonts w:ascii="Times New Roman" w:cs="Times New Roman" w:eastAsia="Times New Roman" w:hAnsi="Times New Roman"/>
          <w:sz w:val="17"/>
          <w:szCs w:val="17"/>
          <w:u w:val="single" w:color="auto"/>
          <w:color w:val="auto"/>
        </w:rPr>
        <w:t>Dispute</w:t>
      </w:r>
      <w:r>
        <w:rPr>
          <w:rFonts w:ascii="Times New Roman" w:cs="Times New Roman" w:eastAsia="Times New Roman" w:hAnsi="Times New Roman"/>
          <w:sz w:val="17"/>
          <w:szCs w:val="17"/>
          <w:color w:val="auto"/>
        </w:rPr>
        <w:t>”) shall be governed by and construed and enforced in accordance with the Laws of the State of Delaware, without giving effect to any choice of law or conflict of law provision or rule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color w:val="auto"/>
        </w:rPr>
        <w:t>(whether of the State of Delaware or otherwise) that would cause the application of the Laws of any other jurisdiction.</w:t>
      </w:r>
    </w:p>
    <w:p>
      <w:pPr>
        <w:spacing w:after="0" w:line="193" w:lineRule="exact"/>
        <w:rPr>
          <w:sz w:val="20"/>
          <w:szCs w:val="20"/>
          <w:color w:val="auto"/>
        </w:rPr>
      </w:pPr>
    </w:p>
    <w:p>
      <w:pPr>
        <w:jc w:val="both"/>
        <w:ind w:firstLine="1220"/>
        <w:spacing w:after="0" w:line="260" w:lineRule="auto"/>
        <w:rPr>
          <w:sz w:val="20"/>
          <w:szCs w:val="20"/>
          <w:color w:val="auto"/>
        </w:rPr>
      </w:pPr>
      <w:r>
        <w:rPr>
          <w:rFonts w:ascii="Times New Roman" w:cs="Times New Roman" w:eastAsia="Times New Roman" w:hAnsi="Times New Roman"/>
          <w:sz w:val="17"/>
          <w:szCs w:val="17"/>
          <w:b w:val="1"/>
          <w:bCs w:val="1"/>
          <w:u w:val="single" w:color="auto"/>
          <w:color w:val="auto"/>
        </w:rPr>
        <w:t>SECTION 9.10 Assignment</w:t>
      </w:r>
      <w:r>
        <w:rPr>
          <w:rFonts w:ascii="Times New Roman" w:cs="Times New Roman" w:eastAsia="Times New Roman" w:hAnsi="Times New Roman"/>
          <w:sz w:val="17"/>
          <w:szCs w:val="17"/>
          <w:color w:val="auto"/>
        </w:rPr>
        <w:t>. Neither this Agreement nor any of the rights, interests or obligations under this Agreement shall be assigned,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whole or in part, by operation of Law or otherwise by any of the parties without the prior written consent of the other parties. Any purported assignment without such consent shall be void. Subject to the preceding sentences, this Agreement will be binding upon, inure to the benefit of, and be enforceable by, the parties and their respective successors and permitted assigns.</w:t>
      </w:r>
    </w:p>
    <w:p>
      <w:pPr>
        <w:spacing w:after="0" w:line="146" w:lineRule="exact"/>
        <w:rPr>
          <w:sz w:val="20"/>
          <w:szCs w:val="20"/>
          <w:color w:val="auto"/>
        </w:rPr>
      </w:pPr>
    </w:p>
    <w:p>
      <w:pPr>
        <w:jc w:val="both"/>
        <w:ind w:firstLine="1220"/>
        <w:spacing w:after="0" w:line="253" w:lineRule="auto"/>
        <w:rPr>
          <w:sz w:val="20"/>
          <w:szCs w:val="20"/>
          <w:color w:val="auto"/>
        </w:rPr>
      </w:pPr>
      <w:r>
        <w:rPr>
          <w:rFonts w:ascii="Times New Roman" w:cs="Times New Roman" w:eastAsia="Times New Roman" w:hAnsi="Times New Roman"/>
          <w:sz w:val="17"/>
          <w:szCs w:val="17"/>
          <w:b w:val="1"/>
          <w:bCs w:val="1"/>
          <w:u w:val="single" w:color="auto"/>
          <w:color w:val="auto"/>
        </w:rPr>
        <w:t>SECTION 9.11 Specific Performance</w:t>
      </w:r>
      <w:r>
        <w:rPr>
          <w:rFonts w:ascii="Times New Roman" w:cs="Times New Roman" w:eastAsia="Times New Roman" w:hAnsi="Times New Roman"/>
          <w:sz w:val="17"/>
          <w:szCs w:val="17"/>
          <w:color w:val="auto"/>
        </w:rPr>
        <w:t>. The parties acknowledge and agree that irreparable damage would occur in the event that any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provisions of this Agreement were not performed in accordance with their specific terms or were otherwise breached, and that monetary damages, even if available, would not be an adequate remedy therefor and therefore fully intend for specific performance to be an available remedy for breaches of this Agreement. It is accordingly agreed that, prior to the termination of this Agreement pursuant to ‎Section 8.01, the parties shall be entitled to an Injunction or Injunctions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-20320</wp:posOffset>
            </wp:positionV>
            <wp:extent cx="557530" cy="762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57530" cy="7620"/>
                    </a:xfrm>
                    <a:prstGeom prst="rect">
                      <a:avLst/>
                    </a:prstGeom>
                    <a:noFill/>
                  </pic:spPr>
                </pic:pic>
              </a:graphicData>
            </a:graphic>
          </wp:anchor>
        </w:drawing>
      </w:r>
    </w:p>
    <w:p>
      <w:pPr>
        <w:jc w:val="both"/>
        <w:spacing w:after="0" w:line="246" w:lineRule="auto"/>
        <w:rPr>
          <w:sz w:val="20"/>
          <w:szCs w:val="20"/>
          <w:color w:val="auto"/>
        </w:rPr>
      </w:pPr>
      <w:r>
        <w:rPr>
          <w:rFonts w:ascii="Times New Roman" w:cs="Times New Roman" w:eastAsia="Times New Roman" w:hAnsi="Times New Roman"/>
          <w:sz w:val="17"/>
          <w:szCs w:val="17"/>
          <w:color w:val="auto"/>
        </w:rPr>
        <w:t>prevent breaches of this Agreement and to enforce specifically the performance of terms and provisions of this Agreement in any court referred to in Section‎ 9.12, without proof of actual damages, this being in addition to any other remedy to which they are entitled at Law or in equity. The parties further agree not to assert that a remedy of specific enforcement is unenforceable, invalid, contrary to Law or inequitable for any reason, nor to object to a remedy of specific performance on the basis that a remedy of monetary damages would provide an adequate remedy for any such breach. Each party further acknowledges and agrees that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6567170</wp:posOffset>
            </wp:positionH>
            <wp:positionV relativeFrom="paragraph">
              <wp:posOffset>-402590</wp:posOffset>
            </wp:positionV>
            <wp:extent cx="549910" cy="762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49910" cy="7620"/>
                    </a:xfrm>
                    <a:prstGeom prst="rect">
                      <a:avLst/>
                    </a:prstGeom>
                    <a:noFill/>
                  </pic:spPr>
                </pic:pic>
              </a:graphicData>
            </a:graphic>
          </wp:anchor>
        </w:drawing>
      </w:r>
    </w:p>
    <w:p>
      <w:pPr>
        <w:jc w:val="both"/>
        <w:spacing w:after="0" w:line="251" w:lineRule="auto"/>
        <w:rPr>
          <w:sz w:val="20"/>
          <w:szCs w:val="20"/>
          <w:color w:val="auto"/>
        </w:rPr>
      </w:pPr>
      <w:r>
        <w:rPr>
          <w:rFonts w:ascii="Times New Roman" w:cs="Times New Roman" w:eastAsia="Times New Roman" w:hAnsi="Times New Roman"/>
          <w:sz w:val="17"/>
          <w:szCs w:val="17"/>
          <w:color w:val="auto"/>
        </w:rPr>
        <w:t>agreements contained in this Section‎ 9.11 are an integral part of the Merger and the other Transactions and that, without these agreements, the parties would not have entered into this Agreement. Each party further agrees that no other party hereto or any other Person shall be required to obtain, furnish or post any bond or similar instrument in connection with or as a condition to obtaining any remedy referred to in this ‎Section 9.11, and each party hereto irrevocably waives any right it may have to require the obtaining, furnishing or posting of any such bond or similar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1295400</wp:posOffset>
            </wp:positionH>
            <wp:positionV relativeFrom="paragraph">
              <wp:posOffset>-412750</wp:posOffset>
            </wp:positionV>
            <wp:extent cx="549910" cy="762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49910" cy="7620"/>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-157480</wp:posOffset>
            </wp:positionV>
            <wp:extent cx="557530" cy="762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57530" cy="7620"/>
                    </a:xfrm>
                    <a:prstGeom prst="rect">
                      <a:avLst/>
                    </a:prstGeom>
                    <a:noFill/>
                  </pic:spPr>
                </pic:pic>
              </a:graphicData>
            </a:graphic>
          </wp:anchor>
        </w:drawing>
      </w:r>
    </w:p>
    <w:p>
      <w:pPr>
        <w:spacing w:after="0" w:line="134" w:lineRule="exact"/>
        <w:rPr>
          <w:sz w:val="20"/>
          <w:szCs w:val="20"/>
          <w:color w:val="auto"/>
        </w:rPr>
      </w:pPr>
    </w:p>
    <w:p>
      <w:pPr>
        <w:jc w:val="both"/>
        <w:ind w:firstLine="1220"/>
        <w:spacing w:after="0" w:line="249" w:lineRule="auto"/>
        <w:rPr>
          <w:sz w:val="20"/>
          <w:szCs w:val="20"/>
          <w:color w:val="auto"/>
        </w:rPr>
      </w:pPr>
      <w:r>
        <w:rPr>
          <w:rFonts w:ascii="Times New Roman" w:cs="Times New Roman" w:eastAsia="Times New Roman" w:hAnsi="Times New Roman"/>
          <w:sz w:val="17"/>
          <w:szCs w:val="17"/>
          <w:b w:val="1"/>
          <w:bCs w:val="1"/>
          <w:u w:val="single" w:color="auto"/>
          <w:color w:val="auto"/>
        </w:rPr>
        <w:t>SECTION 9.12 Jurisdiction</w:t>
      </w:r>
      <w:r>
        <w:rPr>
          <w:rFonts w:ascii="Times New Roman" w:cs="Times New Roman" w:eastAsia="Times New Roman" w:hAnsi="Times New Roman"/>
          <w:sz w:val="17"/>
          <w:szCs w:val="17"/>
          <w:color w:val="auto"/>
        </w:rPr>
        <w:t>. Each of the parties hereto hereby irrevocably and unconditionally submits, for itself and its property,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exclusive jurisdiction of the Court of Chancery of the State of Delaware, or, if (and only if) such court finds it lacks jurisdiction, the State or Federal courts of the United States of America sitting in Delaware, and any appellate court from any thereof, in any Dispute or for recognition or enforcement of any judgment relating thereto, and each of the parties hereby irrevocably and unconditionally (i) agrees not to commence any Dispute, except in the Court of Chancery of the State of Delaware, or, if (and only if) such court finds it lacks jurisdiction, the other State or Federal courts of the United States of America sitting in Delaware, and any appellate court from any thereof, (ii) agrees that any Dispute may be heard and determined in the Court of Chancery of the State of Delaware, or, if (and only if) such court finds it lacks jurisdiction, the other State courts or the Federal courts of the United States of America sitting in Delaware, and any appellate court from any thereof, (iii) waives, to the fullest extent it may legally and effectively do so, any objection that it may now or hereafter have to the laying of venue of any Dispute in such courts, and (iv) waives, to the fullest extent permitted by law, the defense of an inconvenient forum to the maintenance of any Dispute in such</w:t>
      </w:r>
    </w:p>
    <w:p>
      <w:pPr>
        <w:spacing w:after="0" w:line="6"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7"/>
          <w:szCs w:val="17"/>
          <w:color w:val="auto"/>
        </w:rPr>
        <w:t>courts. Each of the parties agrees that a final, non-appealable judgment or determination of the courts described in this Section‎ 9.12 shall be conclusive and may be enforced in other jurisdictions and any court of competent jurisdiction by suit on the judgment or in any other manner provided by applicable Law. Each party irrevocably consents to service of process in the manner provided for notices in ‎Section 9.02. Nothing in this Agreement will affect the right of any party to serve process in any other manner permitted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5299710</wp:posOffset>
            </wp:positionH>
            <wp:positionV relativeFrom="paragraph">
              <wp:posOffset>-412750</wp:posOffset>
            </wp:positionV>
            <wp:extent cx="549910" cy="762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49910" cy="7620"/>
                    </a:xfrm>
                    <a:prstGeom prst="rect">
                      <a:avLst/>
                    </a:prstGeom>
                    <a:noFill/>
                  </pic:spPr>
                </pic:pic>
              </a:graphicData>
            </a:graphic>
          </wp:anchor>
        </w:drawing>
        <w:drawing>
          <wp:anchor simplePos="0" relativeHeight="251657728" behindDoc="1" locked="0" layoutInCell="0" allowOverlap="1">
            <wp:simplePos x="0" y="0"/>
            <wp:positionH relativeFrom="column">
              <wp:posOffset>3535680</wp:posOffset>
            </wp:positionH>
            <wp:positionV relativeFrom="paragraph">
              <wp:posOffset>-157480</wp:posOffset>
            </wp:positionV>
            <wp:extent cx="549910" cy="762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49910" cy="7620"/>
                    </a:xfrm>
                    <a:prstGeom prst="rect">
                      <a:avLst/>
                    </a:prstGeom>
                    <a:noFill/>
                  </pic:spPr>
                </pic:pic>
              </a:graphicData>
            </a:graphic>
          </wp:anchor>
        </w:drawing>
      </w:r>
    </w:p>
    <w:p>
      <w:pPr>
        <w:spacing w:after="0" w:line="13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7"/>
          <w:szCs w:val="17"/>
          <w:u w:val="single" w:color="auto"/>
          <w:color w:val="auto"/>
        </w:rPr>
        <w:t>WAIVER OF JURY TRIAL</w:t>
      </w:r>
      <w:r>
        <w:rPr>
          <w:rFonts w:ascii="Times New Roman" w:cs="Times New Roman" w:eastAsia="Times New Roman" w:hAnsi="Times New Roman"/>
          <w:sz w:val="17"/>
          <w:szCs w:val="17"/>
          <w:color w:val="auto"/>
        </w:rPr>
        <w:t>. EACH OF THE PARTIES TO THIS AGREEMENT HEREBY IRREVOCABLY WAIVES ANY AND ALL RIGHT TO A TRIAL BY JURY IN ANY “DISPUTE” (AS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color w:val="auto"/>
        </w:rPr>
        <w:t>DEFINED IN THIS AGREEMENT). EACH PARTY MAKES THIS WAIVER VOLUNTARILY AND SUCH PARTY HAS BEEN INDUCED TO ENTER</w:t>
      </w:r>
    </w:p>
    <w:p>
      <w:pPr>
        <w:spacing w:after="0" w:line="26"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7"/>
          <w:szCs w:val="17"/>
          <w:color w:val="auto"/>
        </w:rPr>
        <w:t>INTO THIS AGREEMENT BY, AMONG OTHER THINGS, THE MUTUAL WAIVERS CONTAINED IN THIS Section‎ 9.12. EACH PARTY ACKNOWLEDGES AND AGREES THAT (a) NO REPRESENTATIVE, AGENT OR ATTORNEY OF ANY OTHER PARTY HAS REPRESENTED, EXPRESSLY OR OTHERWISE, THAT SUCH OTHER PARTY WOULD NOT, IN THE EVENT OF LITIGATION, SEEK TO ENFORCE THE FOREGOING WAIVER; (b) IT UNDERSTANDS AND HAS CONSIDERED THE IMPLICATIONS OF THIS WAIVER; (c) IT MAKES THIS WAIVER VOLUNTARILY AND (d) IT HAS BEEN INDUCED TO ENTER INTO THIS AGREEMENT BY, AMONG OTHER THINGS, THE MUTUAL WAIVERS AND CERTIFICATIONS IN THIS ‎Section 9.12.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5656580</wp:posOffset>
            </wp:positionH>
            <wp:positionV relativeFrom="paragraph">
              <wp:posOffset>-666750</wp:posOffset>
            </wp:positionV>
            <wp:extent cx="588010" cy="762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88010" cy="7620"/>
                    </a:xfrm>
                    <a:prstGeom prst="rect">
                      <a:avLst/>
                    </a:prstGeom>
                    <a:noFill/>
                  </pic:spPr>
                </pic:pic>
              </a:graphicData>
            </a:graphic>
          </wp:anchor>
        </w:drawing>
        <w:drawing>
          <wp:anchor simplePos="0" relativeHeight="251657728" behindDoc="1" locked="0" layoutInCell="0" allowOverlap="1">
            <wp:simplePos x="0" y="0"/>
            <wp:positionH relativeFrom="column">
              <wp:posOffset>1598295</wp:posOffset>
            </wp:positionH>
            <wp:positionV relativeFrom="paragraph">
              <wp:posOffset>-27940</wp:posOffset>
            </wp:positionV>
            <wp:extent cx="549910" cy="762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49910" cy="7620"/>
                    </a:xfrm>
                    <a:prstGeom prst="rect">
                      <a:avLst/>
                    </a:prstGeom>
                    <a:noFill/>
                  </pic:spPr>
                </pic:pic>
              </a:graphicData>
            </a:graphic>
          </wp:anchor>
        </w:drawing>
      </w:r>
    </w:p>
    <w:p>
      <w:pPr>
        <w:spacing w:after="0" w:line="137" w:lineRule="exact"/>
        <w:rPr>
          <w:sz w:val="20"/>
          <w:szCs w:val="20"/>
          <w:color w:val="auto"/>
        </w:rPr>
      </w:pPr>
    </w:p>
    <w:p>
      <w:pPr>
        <w:jc w:val="both"/>
        <w:ind w:firstLine="1220"/>
        <w:spacing w:after="0" w:line="253" w:lineRule="auto"/>
        <w:rPr>
          <w:sz w:val="20"/>
          <w:szCs w:val="20"/>
          <w:color w:val="auto"/>
        </w:rPr>
      </w:pPr>
      <w:r>
        <w:rPr>
          <w:rFonts w:ascii="Times New Roman" w:cs="Times New Roman" w:eastAsia="Times New Roman" w:hAnsi="Times New Roman"/>
          <w:sz w:val="17"/>
          <w:szCs w:val="17"/>
          <w:b w:val="1"/>
          <w:bCs w:val="1"/>
          <w:u w:val="single" w:color="auto"/>
          <w:color w:val="auto"/>
        </w:rPr>
        <w:t>SECTION 9.13 Publicity</w:t>
      </w:r>
      <w:r>
        <w:rPr>
          <w:rFonts w:ascii="Times New Roman" w:cs="Times New Roman" w:eastAsia="Times New Roman" w:hAnsi="Times New Roman"/>
          <w:sz w:val="17"/>
          <w:szCs w:val="17"/>
          <w:color w:val="auto"/>
        </w:rPr>
        <w:t>. The parties agree that the initial press release to be issued with respect to the Merger and the other Transactions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be a joint press release to be reasonably agreed upon by DXL and FBB. Except with respect to disclosures that are consistent with prior disclosures made in compliance with this ‎Section 9.13 or any communications plan or strategy previously agreed on by the parties, DXL and FBB shall consult with each other before issuing, and give each other the opportunity to review and comment upon, any press release or other public statements with respect to the Merger or the other Transactions, and shall not issue any such press release or make any such public statement prior to such consultation, except as such party may reasonably conclude may be required by applicable Law (including applicable securities laws), court process or by obligations pursuant to any listing agreement with any national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941070</wp:posOffset>
            </wp:positionH>
            <wp:positionV relativeFrom="paragraph">
              <wp:posOffset>-409575</wp:posOffset>
            </wp:positionV>
            <wp:extent cx="549910" cy="762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49910" cy="7620"/>
                    </a:xfrm>
                    <a:prstGeom prst="rect">
                      <a:avLst/>
                    </a:prstGeom>
                    <a:noFill/>
                  </pic:spPr>
                </pic:pic>
              </a:graphicData>
            </a:graphic>
          </wp:anchor>
        </w:drawing>
      </w:r>
    </w:p>
    <w:p>
      <w:pPr>
        <w:spacing w:after="0" w:line="340" w:lineRule="exact"/>
        <w:rPr>
          <w:sz w:val="20"/>
          <w:szCs w:val="20"/>
          <w:color w:val="auto"/>
        </w:rPr>
      </w:pPr>
    </w:p>
    <w:p>
      <w:pPr>
        <w:ind w:left="1220"/>
        <w:spacing w:after="0"/>
        <w:tabs>
          <w:tab w:leader="none" w:pos="2620" w:val="left"/>
        </w:tabs>
        <w:rPr>
          <w:sz w:val="20"/>
          <w:szCs w:val="20"/>
          <w:color w:val="auto"/>
        </w:rPr>
      </w:pPr>
      <w:r>
        <w:rPr>
          <w:rFonts w:ascii="Times New Roman" w:cs="Times New Roman" w:eastAsia="Times New Roman" w:hAnsi="Times New Roman"/>
          <w:sz w:val="17"/>
          <w:szCs w:val="17"/>
          <w:b w:val="1"/>
          <w:bCs w:val="1"/>
          <w:u w:val="single" w:color="auto"/>
          <w:color w:val="auto"/>
        </w:rPr>
        <w:t>SECTION 9.14</w:t>
      </w:r>
      <w:r>
        <w:rPr>
          <w:sz w:val="20"/>
          <w:szCs w:val="20"/>
          <w:color w:val="auto"/>
        </w:rPr>
        <w:tab/>
      </w:r>
      <w:r>
        <w:rPr>
          <w:rFonts w:ascii="Times New Roman" w:cs="Times New Roman" w:eastAsia="Times New Roman" w:hAnsi="Times New Roman"/>
          <w:sz w:val="17"/>
          <w:szCs w:val="17"/>
          <w:b w:val="1"/>
          <w:bCs w:val="1"/>
          <w:u w:val="single" w:color="auto"/>
          <w:color w:val="auto"/>
        </w:rPr>
        <w:t>Financing Related Parties</w:t>
      </w:r>
      <w:r>
        <w:rPr>
          <w:rFonts w:ascii="Times New Roman" w:cs="Times New Roman" w:eastAsia="Times New Roman" w:hAnsi="Times New Roman"/>
          <w:sz w:val="17"/>
          <w:szCs w:val="17"/>
          <w:color w:val="auto"/>
        </w:rPr>
        <w:t>. Notwithstanding anything in this Agreement to the contrary, DXL, on behalf of itself 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DXL’s Subsidiaries, and FBB, on behalf of itself and FBB’s Subsidiaries, each hereby:</w:t>
      </w:r>
    </w:p>
    <w:p>
      <w:pPr>
        <w:spacing w:after="0" w:line="175" w:lineRule="exact"/>
        <w:rPr>
          <w:sz w:val="20"/>
          <w:szCs w:val="20"/>
          <w:color w:val="auto"/>
        </w:rPr>
      </w:pPr>
    </w:p>
    <w:p>
      <w:pPr>
        <w:jc w:val="both"/>
        <w:ind w:firstLine="1496"/>
        <w:spacing w:after="0" w:line="256" w:lineRule="auto"/>
        <w:tabs>
          <w:tab w:leader="none" w:pos="1848"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 that any action, whether in law or in equity, whether in contract or in tort or otherwise, involving the Financing Related Parties, arising out of or relating to, this Agreement, the Financing or any of the Debt Documents or Equity Documents or any of the transactions contemplated hereby or thereby or the performance of any services thereunder shall be subject to the exclusive jurisdiction of any federal or state court in the Borough of Manhattan, New York, New York, so long as such forum is and remains available, and any appellate court thereof and each party hereto irrevocably submits itself and its property with respect to any such action to the exclusive jurisdiction of such court;</w:t>
      </w:r>
    </w:p>
    <w:p>
      <w:pPr>
        <w:spacing w:after="0" w:line="151" w:lineRule="exact"/>
        <w:rPr>
          <w:rFonts w:ascii="Times New Roman" w:cs="Times New Roman" w:eastAsia="Times New Roman" w:hAnsi="Times New Roman"/>
          <w:sz w:val="17"/>
          <w:szCs w:val="17"/>
          <w:color w:val="auto"/>
        </w:rPr>
      </w:pPr>
    </w:p>
    <w:p>
      <w:pPr>
        <w:jc w:val="both"/>
        <w:ind w:right="20" w:firstLine="1496"/>
        <w:spacing w:after="0" w:line="265" w:lineRule="auto"/>
        <w:tabs>
          <w:tab w:leader="none" w:pos="1848"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 that any such action described in the foregoing clause (a) shall be governed by the laws of the State of New York (without giving effect to any conflicts of law principles that would result in the application of the Laws of another state), except as otherwise provided in any debt commitment letters, any other applicable Debt Document, any Commitment and Subscription Agreement or any other Equity Document;</w:t>
      </w:r>
    </w:p>
    <w:p>
      <w:pPr>
        <w:spacing w:after="0" w:line="144" w:lineRule="exact"/>
        <w:rPr>
          <w:rFonts w:ascii="Times New Roman" w:cs="Times New Roman" w:eastAsia="Times New Roman" w:hAnsi="Times New Roman"/>
          <w:sz w:val="17"/>
          <w:szCs w:val="17"/>
          <w:color w:val="auto"/>
        </w:rPr>
      </w:pPr>
    </w:p>
    <w:p>
      <w:pPr>
        <w:ind w:left="1840" w:hanging="344"/>
        <w:spacing w:after="0"/>
        <w:tabs>
          <w:tab w:leader="none" w:pos="184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 that service of process upon DXL, DXL’s Subsidiaries, FBB or FBB’s Subsidiaries in any such action described in the foregoing</w:t>
      </w:r>
    </w:p>
    <w:p>
      <w:pPr>
        <w:spacing w:after="0" w:line="25"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clause (a) shall be effective if notice is given in accordance with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9.02;</w:t>
      </w:r>
    </w:p>
    <w:p>
      <w:pPr>
        <w:spacing w:after="0" w:line="174" w:lineRule="exact"/>
        <w:rPr>
          <w:rFonts w:ascii="Times New Roman" w:cs="Times New Roman" w:eastAsia="Times New Roman" w:hAnsi="Times New Roman"/>
          <w:sz w:val="17"/>
          <w:szCs w:val="17"/>
          <w:color w:val="auto"/>
        </w:rPr>
      </w:pPr>
    </w:p>
    <w:p>
      <w:pPr>
        <w:ind w:right="20" w:firstLine="1496"/>
        <w:spacing w:after="0" w:line="284" w:lineRule="auto"/>
        <w:tabs>
          <w:tab w:leader="none" w:pos="1848"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irrevocably waive, to the fullest extent that it may effectively do so, the defense of an inconvenient forum to the maintenance of any action described in the foregoing clause (a) in any such court;</w:t>
      </w:r>
    </w:p>
    <w:p>
      <w:pPr>
        <w:spacing w:after="0" w:line="128" w:lineRule="exact"/>
        <w:rPr>
          <w:rFonts w:ascii="Times New Roman" w:cs="Times New Roman" w:eastAsia="Times New Roman" w:hAnsi="Times New Roman"/>
          <w:sz w:val="17"/>
          <w:szCs w:val="17"/>
          <w:color w:val="auto"/>
        </w:rPr>
      </w:pPr>
    </w:p>
    <w:p>
      <w:pPr>
        <w:ind w:right="20" w:firstLine="1496"/>
        <w:spacing w:after="0" w:line="284" w:lineRule="auto"/>
        <w:tabs>
          <w:tab w:leader="none" w:pos="1848"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waive to the fullest extent permitted by applicable law trial by jury in any action brought against any of the Financing Related Parties in any way arising out of or relating to, this Agreement, the Financing, any related debt commitment letters, the A&amp;R Term Loan Amendment, any other Debt</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100" w:name="page101"/>
    <w:bookmarkEnd w:id="100"/>
    <w:p>
      <w:pPr>
        <w:spacing w:after="0" w:line="284" w:lineRule="auto"/>
        <w:rPr>
          <w:sz w:val="20"/>
          <w:szCs w:val="20"/>
          <w:color w:val="auto"/>
        </w:rPr>
      </w:pPr>
      <w:r>
        <w:rPr>
          <w:rFonts w:ascii="Times New Roman" w:cs="Times New Roman" w:eastAsia="Times New Roman" w:hAnsi="Times New Roman"/>
          <w:sz w:val="17"/>
          <w:szCs w:val="17"/>
          <w:color w:val="auto"/>
        </w:rPr>
        <w:t>Document, the Commitment and Subscription Agreements, any other Equity Document or any of the transactions contemplated hereby or thereby or the performance of any services thereunder;</w:t>
      </w:r>
    </w:p>
    <w:p>
      <w:pPr>
        <w:spacing w:after="0" w:line="129" w:lineRule="exact"/>
        <w:rPr>
          <w:sz w:val="20"/>
          <w:szCs w:val="20"/>
          <w:color w:val="auto"/>
        </w:rPr>
      </w:pPr>
    </w:p>
    <w:p>
      <w:pPr>
        <w:jc w:val="both"/>
        <w:ind w:firstLine="1496"/>
        <w:spacing w:after="0" w:line="253" w:lineRule="auto"/>
        <w:tabs>
          <w:tab w:leader="none" w:pos="1848"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 that none of the Financing Related Parties will have any liability to DXL or DXL’s Subsidiaries or any of their respective Affiliates or Representatives, or any of their respective current, former or future officers, directors, employees, agents, Representatives, stockholders, limited partners, managers, members or partners relating to or arising out of this Agreement, the Financing, any debt commitment letters, the A&amp;R Term Loan Amendment, any other Debt Document, the Commitment and Subscription Agreements, any other Equity Document or any of the transactions contemplated hereby or thereby or the performance of any services thereunder or otherwise, whether in law or in equity, whether in contract or in tort or otherwise, and neither DXL, nor any of its Subsidiaries or Affiliates will have any rights or claims against any of the Financing Related Parties hereunder or thereunder prior to the Closing (other than, after giving effect to the Closing, pursuant to, and to the extent of, any Debt Document or Equity Document they are party to);</w:t>
      </w:r>
    </w:p>
    <w:p>
      <w:pPr>
        <w:spacing w:after="0" w:line="154" w:lineRule="exact"/>
        <w:rPr>
          <w:rFonts w:ascii="Times New Roman" w:cs="Times New Roman" w:eastAsia="Times New Roman" w:hAnsi="Times New Roman"/>
          <w:sz w:val="17"/>
          <w:szCs w:val="17"/>
          <w:color w:val="auto"/>
        </w:rPr>
      </w:pPr>
    </w:p>
    <w:p>
      <w:pPr>
        <w:ind w:left="1840" w:hanging="344"/>
        <w:spacing w:after="0"/>
        <w:tabs>
          <w:tab w:leader="none" w:pos="1840"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 that the Financing Related Parties are express third-party beneficiaries of, and may enforce, any of the provisions in this</w:t>
      </w:r>
    </w:p>
    <w:p>
      <w:pPr>
        <w:spacing w:after="0" w:line="25"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Agreement reflecting the foregoing agreements in this Section‎ 9.14,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9.11 and Section‎ 8.03; and</w:t>
      </w:r>
    </w:p>
    <w:p>
      <w:pPr>
        <w:spacing w:after="0" w:line="174" w:lineRule="exact"/>
        <w:rPr>
          <w:rFonts w:ascii="Times New Roman" w:cs="Times New Roman" w:eastAsia="Times New Roman" w:hAnsi="Times New Roman"/>
          <w:sz w:val="17"/>
          <w:szCs w:val="17"/>
          <w:color w:val="auto"/>
        </w:rPr>
      </w:pPr>
    </w:p>
    <w:p>
      <w:pPr>
        <w:jc w:val="both"/>
        <w:ind w:firstLine="1496"/>
        <w:spacing w:after="0" w:line="265" w:lineRule="auto"/>
        <w:tabs>
          <w:tab w:leader="none" w:pos="1848"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none of this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9.14 and Section‎ 8.03 (or any other provision of this Agreement the amendment or waiver of which has the effect of modifying such provisions) may be amended, modified, terminated or waived in a manner that is materially adverse to any Financing Related Party without the prior written consent of such Financing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2407920</wp:posOffset>
            </wp:positionH>
            <wp:positionV relativeFrom="paragraph">
              <wp:posOffset>-540385</wp:posOffset>
            </wp:positionV>
            <wp:extent cx="549910" cy="762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49910" cy="762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-540385</wp:posOffset>
            </wp:positionV>
            <wp:extent cx="549910" cy="762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49910" cy="7620"/>
                    </a:xfrm>
                    <a:prstGeom prst="rect">
                      <a:avLst/>
                    </a:prstGeom>
                    <a:noFill/>
                  </pic:spPr>
                </pic:pic>
              </a:graphicData>
            </a:graphic>
          </wp:anchor>
        </w:drawing>
        <w:drawing>
          <wp:anchor simplePos="0" relativeHeight="251657728" behindDoc="1" locked="0" layoutInCell="0" allowOverlap="1">
            <wp:simplePos x="0" y="0"/>
            <wp:positionH relativeFrom="column">
              <wp:posOffset>2488565</wp:posOffset>
            </wp:positionH>
            <wp:positionV relativeFrom="paragraph">
              <wp:posOffset>-292100</wp:posOffset>
            </wp:positionV>
            <wp:extent cx="549910" cy="762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49910" cy="7620"/>
                    </a:xfrm>
                    <a:prstGeom prst="rect">
                      <a:avLst/>
                    </a:prstGeom>
                    <a:noFill/>
                  </pic:spPr>
                </pic:pic>
              </a:graphicData>
            </a:graphic>
          </wp:anchor>
        </w:drawing>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Follows</w:t>
      </w:r>
      <w:r>
        <w:rPr>
          <w:rFonts w:ascii="Times New Roman" w:cs="Times New Roman" w:eastAsia="Times New Roman" w:hAnsi="Times New Roman"/>
          <w:sz w:val="17"/>
          <w:szCs w:val="17"/>
          <w:color w:val="auto"/>
        </w:rPr>
        <w: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101" w:name="page102"/>
    <w:bookmarkEnd w:id="101"/>
    <w:p>
      <w:pPr>
        <w:ind w:firstLine="751"/>
        <w:spacing w:after="0" w:line="284" w:lineRule="auto"/>
        <w:rPr>
          <w:sz w:val="20"/>
          <w:szCs w:val="20"/>
          <w:color w:val="auto"/>
        </w:rPr>
      </w:pPr>
      <w:r>
        <w:rPr>
          <w:rFonts w:ascii="Times New Roman" w:cs="Times New Roman" w:eastAsia="Times New Roman" w:hAnsi="Times New Roman"/>
          <w:sz w:val="17"/>
          <w:szCs w:val="17"/>
          <w:color w:val="auto"/>
        </w:rPr>
        <w:t>IN WITNESS WHEREOF, the parties hereto have caused this Agreement to be executed in counterparts by their duly authorized officers, all as of the day and year first written above.</w:t>
      </w:r>
    </w:p>
    <w:p>
      <w:pPr>
        <w:spacing w:after="0" w:line="328"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b w:val="1"/>
          <w:bCs w:val="1"/>
          <w:color w:val="auto"/>
        </w:rPr>
        <w:t>DESTINATION XL GROUP, INC.</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500"/>
        <w:spacing w:after="0"/>
        <w:tabs>
          <w:tab w:leader="none" w:pos="4980" w:val="left"/>
        </w:tabs>
        <w:rPr>
          <w:sz w:val="20"/>
          <w:szCs w:val="20"/>
          <w:color w:val="auto"/>
        </w:rPr>
      </w:pPr>
      <w:r>
        <w:rPr>
          <w:rFonts w:ascii="Times New Roman" w:cs="Times New Roman" w:eastAsia="Times New Roman" w:hAnsi="Times New Roman"/>
          <w:sz w:val="17"/>
          <w:szCs w:val="17"/>
          <w:color w:val="auto"/>
        </w:rPr>
        <w:t>By:</w:t>
        <w:tab/>
        <w:t>/s/ Harvey S.Kanter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3152775</wp:posOffset>
            </wp:positionH>
            <wp:positionV relativeFrom="paragraph">
              <wp:posOffset>-5080</wp:posOffset>
            </wp:positionV>
            <wp:extent cx="898525" cy="762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98525" cy="7620"/>
                    </a:xfrm>
                    <a:prstGeom prst="rect">
                      <a:avLst/>
                    </a:prstGeom>
                    <a:noFill/>
                  </pic:spPr>
                </pic:pic>
              </a:graphicData>
            </a:graphic>
          </wp:anchor>
        </w:drawing>
      </w:r>
    </w:p>
    <w:p>
      <w:pPr>
        <w:spacing w:after="0" w:line="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Name: Harvey S. Kanter</w:t>
      </w:r>
    </w:p>
    <w:p>
      <w:pPr>
        <w:spacing w:after="0" w:line="6" w:lineRule="exact"/>
        <w:rPr>
          <w:sz w:val="20"/>
          <w:szCs w:val="20"/>
          <w:color w:val="auto"/>
        </w:rPr>
      </w:pPr>
    </w:p>
    <w:p>
      <w:pPr>
        <w:ind w:left="4500"/>
        <w:spacing w:after="0"/>
        <w:tabs>
          <w:tab w:leader="none" w:pos="5020" w:val="left"/>
        </w:tabs>
        <w:rPr>
          <w:sz w:val="20"/>
          <w:szCs w:val="20"/>
          <w:color w:val="auto"/>
        </w:rPr>
      </w:pPr>
      <w:r>
        <w:rPr>
          <w:rFonts w:ascii="Times New Roman" w:cs="Times New Roman" w:eastAsia="Times New Roman" w:hAnsi="Times New Roman"/>
          <w:sz w:val="17"/>
          <w:szCs w:val="17"/>
          <w:color w:val="auto"/>
        </w:rPr>
        <w:t>Title:</w:t>
        <w:tab/>
        <w:t>Chief Executive Officer</w:t>
      </w:r>
    </w:p>
    <w:p>
      <w:pPr>
        <w:spacing w:after="0" w:line="38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DIVINE MERGER SUB I, INC.</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500"/>
        <w:spacing w:after="0"/>
        <w:tabs>
          <w:tab w:leader="none" w:pos="490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u w:val="single" w:color="auto"/>
          <w:color w:val="auto"/>
        </w:rPr>
        <w:t>/s/ Harvey S. Kanter</w:t>
      </w:r>
    </w:p>
    <w:p>
      <w:pPr>
        <w:spacing w:after="0" w:line="26" w:lineRule="exact"/>
        <w:rPr>
          <w:sz w:val="20"/>
          <w:szCs w:val="20"/>
          <w:color w:val="auto"/>
        </w:rPr>
      </w:pPr>
    </w:p>
    <w:p>
      <w:pPr>
        <w:ind w:left="4500"/>
        <w:spacing w:after="0"/>
        <w:tabs>
          <w:tab w:leader="none" w:pos="5180" w:val="left"/>
        </w:tabs>
        <w:rPr>
          <w:sz w:val="20"/>
          <w:szCs w:val="20"/>
          <w:color w:val="auto"/>
        </w:rPr>
      </w:pPr>
      <w:r>
        <w:rPr>
          <w:rFonts w:ascii="Times New Roman" w:cs="Times New Roman" w:eastAsia="Times New Roman" w:hAnsi="Times New Roman"/>
          <w:sz w:val="17"/>
          <w:szCs w:val="17"/>
          <w:color w:val="auto"/>
        </w:rPr>
        <w:t>Name:</w:t>
        <w:tab/>
        <w:t>Harvey S. Kanter</w:t>
      </w:r>
    </w:p>
    <w:p>
      <w:pPr>
        <w:spacing w:after="0" w:line="6" w:lineRule="exact"/>
        <w:rPr>
          <w:sz w:val="20"/>
          <w:szCs w:val="20"/>
          <w:color w:val="auto"/>
        </w:rPr>
      </w:pPr>
    </w:p>
    <w:p>
      <w:pPr>
        <w:ind w:left="4500"/>
        <w:spacing w:after="0"/>
        <w:tabs>
          <w:tab w:leader="none" w:pos="518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7"/>
          <w:szCs w:val="17"/>
          <w:color w:val="auto"/>
        </w:rPr>
        <w:t>President</w:t>
      </w:r>
    </w:p>
    <w:p>
      <w:pPr>
        <w:spacing w:after="0" w:line="38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FBB HOLDINGS I, INC.</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Jim Fogarty</w:t>
      </w:r>
    </w:p>
    <w:p>
      <w:pPr>
        <w:spacing w:after="0" w:line="26" w:lineRule="exact"/>
        <w:rPr>
          <w:sz w:val="20"/>
          <w:szCs w:val="20"/>
          <w:color w:val="auto"/>
        </w:rPr>
      </w:pPr>
    </w:p>
    <w:p>
      <w:pPr>
        <w:ind w:left="4500"/>
        <w:spacing w:after="0"/>
        <w:tabs>
          <w:tab w:leader="none" w:pos="5260" w:val="left"/>
        </w:tabs>
        <w:rPr>
          <w:sz w:val="20"/>
          <w:szCs w:val="20"/>
          <w:color w:val="auto"/>
        </w:rPr>
      </w:pPr>
      <w:r>
        <w:rPr>
          <w:rFonts w:ascii="Times New Roman" w:cs="Times New Roman" w:eastAsia="Times New Roman" w:hAnsi="Times New Roman"/>
          <w:sz w:val="17"/>
          <w:szCs w:val="17"/>
          <w:color w:val="auto"/>
        </w:rPr>
        <w:t>Name:</w:t>
      </w:r>
      <w:r>
        <w:rPr>
          <w:sz w:val="20"/>
          <w:szCs w:val="20"/>
          <w:color w:val="auto"/>
        </w:rPr>
        <w:tab/>
      </w:r>
      <w:r>
        <w:rPr>
          <w:rFonts w:ascii="Times New Roman" w:cs="Times New Roman" w:eastAsia="Times New Roman" w:hAnsi="Times New Roman"/>
          <w:sz w:val="17"/>
          <w:szCs w:val="17"/>
          <w:color w:val="auto"/>
        </w:rPr>
        <w:t>Jim Fogarty</w:t>
      </w:r>
    </w:p>
    <w:p>
      <w:pPr>
        <w:spacing w:after="0" w:line="6" w:lineRule="exact"/>
        <w:rPr>
          <w:sz w:val="20"/>
          <w:szCs w:val="20"/>
          <w:color w:val="auto"/>
        </w:rPr>
      </w:pPr>
    </w:p>
    <w:p>
      <w:pPr>
        <w:ind w:left="4500"/>
        <w:spacing w:after="0"/>
        <w:tabs>
          <w:tab w:leader="none" w:pos="526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7"/>
          <w:szCs w:val="17"/>
          <w:color w:val="auto"/>
        </w:rPr>
        <w:t>CEO</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0"/>
          <w:szCs w:val="10"/>
          <w:color w:val="auto"/>
        </w:rPr>
        <w:t>ignature</w:t>
      </w:r>
      <w:r>
        <w:rPr>
          <w:rFonts w:ascii="Times New Roman" w:cs="Times New Roman" w:eastAsia="Times New Roman" w:hAnsi="Times New Roman"/>
          <w:sz w:val="16"/>
          <w:szCs w:val="16"/>
          <w:color w:val="auto"/>
        </w:rPr>
        <w:t xml:space="preserve"> P</w:t>
      </w:r>
      <w:r>
        <w:rPr>
          <w:rFonts w:ascii="Times New Roman" w:cs="Times New Roman" w:eastAsia="Times New Roman" w:hAnsi="Times New Roman"/>
          <w:sz w:val="10"/>
          <w:szCs w:val="10"/>
          <w:color w:val="auto"/>
        </w:rPr>
        <w:t>age to</w:t>
      </w:r>
      <w:r>
        <w:rPr>
          <w:rFonts w:ascii="Times New Roman" w:cs="Times New Roman" w:eastAsia="Times New Roman" w:hAnsi="Times New Roman"/>
          <w:sz w:val="16"/>
          <w:szCs w:val="16"/>
          <w:color w:val="auto"/>
        </w:rPr>
        <w:t xml:space="preserve"> A</w:t>
      </w:r>
      <w:r>
        <w:rPr>
          <w:rFonts w:ascii="Times New Roman" w:cs="Times New Roman" w:eastAsia="Times New Roman" w:hAnsi="Times New Roman"/>
          <w:sz w:val="10"/>
          <w:szCs w:val="10"/>
          <w:color w:val="auto"/>
        </w:rPr>
        <w:t>greement and</w:t>
      </w:r>
      <w:r>
        <w:rPr>
          <w:rFonts w:ascii="Times New Roman" w:cs="Times New Roman" w:eastAsia="Times New Roman" w:hAnsi="Times New Roman"/>
          <w:sz w:val="16"/>
          <w:szCs w:val="16"/>
          <w:color w:val="auto"/>
        </w:rPr>
        <w:t xml:space="preserve"> P</w:t>
      </w:r>
      <w:r>
        <w:rPr>
          <w:rFonts w:ascii="Times New Roman" w:cs="Times New Roman" w:eastAsia="Times New Roman" w:hAnsi="Times New Roman"/>
          <w:sz w:val="10"/>
          <w:szCs w:val="10"/>
          <w:color w:val="auto"/>
        </w:rPr>
        <w:t>lan of</w:t>
      </w:r>
      <w:r>
        <w:rPr>
          <w:rFonts w:ascii="Times New Roman" w:cs="Times New Roman" w:eastAsia="Times New Roman" w:hAnsi="Times New Roman"/>
          <w:sz w:val="16"/>
          <w:szCs w:val="16"/>
          <w:color w:val="auto"/>
        </w:rPr>
        <w:t xml:space="preserve"> M</w:t>
      </w:r>
      <w:r>
        <w:rPr>
          <w:rFonts w:ascii="Times New Roman" w:cs="Times New Roman" w:eastAsia="Times New Roman" w:hAnsi="Times New Roman"/>
          <w:sz w:val="10"/>
          <w:szCs w:val="10"/>
          <w:color w:val="auto"/>
        </w:rPr>
        <w:t>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254"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6"/>
          <w:szCs w:val="16"/>
          <w:color w:val="auto"/>
        </w:rPr>
        <w:t>EXHIBIT 99.1</w:t>
      </w:r>
    </w:p>
    <w:p>
      <w:pPr>
        <w:spacing w:after="0" w:line="200" w:lineRule="exact"/>
        <w:rPr>
          <w:sz w:val="20"/>
          <w:szCs w:val="20"/>
          <w:color w:val="auto"/>
        </w:rPr>
      </w:pPr>
    </w:p>
    <w:p>
      <w:pPr>
        <w:spacing w:after="0" w:line="366"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Destination XL Group and FullBeauty Brands to Combine</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Merger of Equals, Creating a Scaled, Category-Defining Retailer for Inclusive Apparel</w:t>
      </w:r>
    </w:p>
    <w:p>
      <w:pPr>
        <w:spacing w:after="0" w:line="167" w:lineRule="exact"/>
        <w:rPr>
          <w:sz w:val="20"/>
          <w:szCs w:val="20"/>
          <w:color w:val="auto"/>
        </w:rPr>
      </w:pPr>
    </w:p>
    <w:p>
      <w:pPr>
        <w:jc w:val="center"/>
        <w:ind w:right="60"/>
        <w:spacing w:after="0" w:line="273" w:lineRule="auto"/>
        <w:rPr>
          <w:sz w:val="20"/>
          <w:szCs w:val="20"/>
          <w:color w:val="auto"/>
        </w:rPr>
      </w:pPr>
      <w:r>
        <w:rPr>
          <w:rFonts w:ascii="Arial" w:cs="Arial" w:eastAsia="Arial" w:hAnsi="Arial"/>
          <w:sz w:val="17"/>
          <w:szCs w:val="17"/>
          <w:i w:val="1"/>
          <w:iCs w:val="1"/>
          <w:color w:val="auto"/>
        </w:rPr>
        <w:t>Creating One of the Largest Omni-Channel Retailers Across the Full Inclusive Sizing Market, with Approximately $1.2 Billion of Combined Annual Net Sales</w:t>
      </w:r>
    </w:p>
    <w:p>
      <w:pPr>
        <w:spacing w:after="0" w:line="123" w:lineRule="exact"/>
        <w:rPr>
          <w:sz w:val="20"/>
          <w:szCs w:val="20"/>
          <w:color w:val="auto"/>
        </w:rPr>
      </w:pPr>
    </w:p>
    <w:p>
      <w:pPr>
        <w:ind w:left="2060"/>
        <w:spacing w:after="0"/>
        <w:rPr>
          <w:sz w:val="20"/>
          <w:szCs w:val="20"/>
          <w:color w:val="auto"/>
        </w:rPr>
      </w:pPr>
      <w:r>
        <w:rPr>
          <w:rFonts w:ascii="Arial" w:cs="Arial" w:eastAsia="Arial" w:hAnsi="Arial"/>
          <w:sz w:val="17"/>
          <w:szCs w:val="17"/>
          <w:i w:val="1"/>
          <w:iCs w:val="1"/>
          <w:color w:val="auto"/>
        </w:rPr>
        <w:t>Poised to Capture Accelerated Growth Opportunities in an Underserved, Fragmented Market</w:t>
      </w:r>
    </w:p>
    <w:p>
      <w:pPr>
        <w:spacing w:after="0" w:line="183" w:lineRule="exact"/>
        <w:rPr>
          <w:sz w:val="20"/>
          <w:szCs w:val="20"/>
          <w:color w:val="auto"/>
        </w:rPr>
      </w:pPr>
    </w:p>
    <w:p>
      <w:pPr>
        <w:ind w:left="80"/>
        <w:spacing w:after="0"/>
        <w:rPr>
          <w:sz w:val="20"/>
          <w:szCs w:val="20"/>
          <w:color w:val="auto"/>
        </w:rPr>
      </w:pPr>
      <w:r>
        <w:rPr>
          <w:rFonts w:ascii="Arial" w:cs="Arial" w:eastAsia="Arial" w:hAnsi="Arial"/>
          <w:sz w:val="17"/>
          <w:szCs w:val="17"/>
          <w:i w:val="1"/>
          <w:iCs w:val="1"/>
          <w:color w:val="auto"/>
        </w:rPr>
        <w:t>Expect $25 Million in Annual Run-Rate Cost Synergies Significantly Actioned Within the First 12 Months of Closing, with Meaningful Commercial</w:t>
      </w:r>
    </w:p>
    <w:p>
      <w:pPr>
        <w:spacing w:after="0" w:line="10" w:lineRule="exact"/>
        <w:rPr>
          <w:sz w:val="20"/>
          <w:szCs w:val="20"/>
          <w:color w:val="auto"/>
        </w:rPr>
      </w:pPr>
    </w:p>
    <w:p>
      <w:pPr>
        <w:ind w:left="4980"/>
        <w:spacing w:after="0"/>
        <w:rPr>
          <w:sz w:val="20"/>
          <w:szCs w:val="20"/>
          <w:color w:val="auto"/>
        </w:rPr>
      </w:pPr>
      <w:r>
        <w:rPr>
          <w:rFonts w:ascii="Arial" w:cs="Arial" w:eastAsia="Arial" w:hAnsi="Arial"/>
          <w:sz w:val="17"/>
          <w:szCs w:val="17"/>
          <w:i w:val="1"/>
          <w:iCs w:val="1"/>
          <w:color w:val="auto"/>
        </w:rPr>
        <w:t>Synergy Upside</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Enhancing Financial Position and Free Cash Flow Generation, While Exercising Disciplined Capital Allocation to Drive Future Growth and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Shareholder Returns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Companies to Host a Joint Investor Conference Call at 5:00 PM U.S. Eastern Time</w:t>
      </w:r>
    </w:p>
    <w:p>
      <w:pPr>
        <w:spacing w:after="0" w:line="181" w:lineRule="exact"/>
        <w:rPr>
          <w:sz w:val="20"/>
          <w:szCs w:val="20"/>
          <w:color w:val="auto"/>
        </w:rPr>
      </w:pPr>
    </w:p>
    <w:p>
      <w:pPr>
        <w:jc w:val="both"/>
        <w:ind w:right="40"/>
        <w:spacing w:after="0" w:line="246" w:lineRule="auto"/>
        <w:rPr>
          <w:sz w:val="20"/>
          <w:szCs w:val="20"/>
          <w:color w:val="auto"/>
        </w:rPr>
      </w:pPr>
      <w:r>
        <w:rPr>
          <w:rFonts w:ascii="Arial" w:cs="Arial" w:eastAsia="Arial" w:hAnsi="Arial"/>
          <w:sz w:val="17"/>
          <w:szCs w:val="17"/>
          <w:b w:val="1"/>
          <w:bCs w:val="1"/>
          <w:color w:val="auto"/>
        </w:rPr>
        <w:t xml:space="preserve">Canton, MA and New York, NY – December 11, 2025 </w:t>
      </w:r>
      <w:r>
        <w:rPr>
          <w:rFonts w:ascii="Arial" w:cs="Arial" w:eastAsia="Arial" w:hAnsi="Arial"/>
          <w:sz w:val="17"/>
          <w:szCs w:val="17"/>
          <w:color w:val="auto"/>
        </w:rPr>
        <w:t>– Destination XL Group, Inc. (“DXL”) (NASDAQ: DXLG), the leading integrated commerce</w:t>
      </w:r>
      <w:r>
        <w:rPr>
          <w:rFonts w:ascii="Arial" w:cs="Arial" w:eastAsia="Arial" w:hAnsi="Arial"/>
          <w:sz w:val="17"/>
          <w:szCs w:val="17"/>
          <w:b w:val="1"/>
          <w:bCs w:val="1"/>
          <w:color w:val="auto"/>
        </w:rPr>
        <w:t xml:space="preserve"> </w:t>
      </w:r>
      <w:r>
        <w:rPr>
          <w:rFonts w:ascii="Arial" w:cs="Arial" w:eastAsia="Arial" w:hAnsi="Arial"/>
          <w:sz w:val="17"/>
          <w:szCs w:val="17"/>
          <w:color w:val="auto"/>
        </w:rPr>
        <w:t>retailer of Big + Tall men’s clothing and footwear, and FBB Holdings I, Inc. (“FullBeauty”), a first mover in inclusive sizing for both women and men and proudly inclusive since 1901, today announced that they have entered into a definitive agreement to combine in a merger of equals and create a scaled, category-defining retailer for inclusive apparel.</w:t>
      </w:r>
    </w:p>
    <w:p>
      <w:pPr>
        <w:spacing w:after="0" w:line="147" w:lineRule="exact"/>
        <w:rPr>
          <w:sz w:val="20"/>
          <w:szCs w:val="20"/>
          <w:color w:val="auto"/>
        </w:rPr>
      </w:pPr>
    </w:p>
    <w:p>
      <w:pPr>
        <w:ind w:right="20"/>
        <w:spacing w:after="0"/>
        <w:rPr>
          <w:sz w:val="20"/>
          <w:szCs w:val="20"/>
          <w:color w:val="auto"/>
        </w:rPr>
      </w:pPr>
      <w:r>
        <w:rPr>
          <w:rFonts w:ascii="Arial" w:cs="Arial" w:eastAsia="Arial" w:hAnsi="Arial"/>
          <w:sz w:val="17"/>
          <w:szCs w:val="17"/>
          <w:color w:val="auto"/>
        </w:rPr>
        <w:t>The combined company will unite complementary brands, channels, and capabilities to better serve plus-size women and Big + Tall men as a larger, stronger and more flexible public company positioned for long-term growth. Together, DXL and FullBeauty will be a leader in inclusive sizing apparel with one of the industry’s broadest and most diverse portfolios – spanning value to premium across lifestyles and occasions. By leveraging complementary strengths across gender, product and channel, the combined company will be positioned to accelerate growth, improve operational efficiency and deliver an enhanced customer experience through a comprehensive, innovative multi-channel strategy. The combined company will reflect a direct-to-consumer mix at 73% of total sales, with bricks-and-mortar at 27% of total sales.</w:t>
      </w:r>
    </w:p>
    <w:p>
      <w:pPr>
        <w:spacing w:after="0" w:line="152"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The companies delivered combined net sales of approximately $1.2 billion for the last twelve months ending October 2025. Assuming no pro forma adjustments, Adjusted EBITDA (a non-GAAP measure) was approximately $ 45 million. Including $25 million in expected annual run-rate cost synergies, the combined company would have generated approximately $70 million of LTM Adjusted EBITDA.</w:t>
      </w:r>
    </w:p>
    <w:p>
      <w:pPr>
        <w:spacing w:after="0" w:line="141" w:lineRule="exact"/>
        <w:rPr>
          <w:sz w:val="20"/>
          <w:szCs w:val="20"/>
          <w:color w:val="auto"/>
        </w:rPr>
      </w:pPr>
    </w:p>
    <w:p>
      <w:pPr>
        <w:ind w:right="740"/>
        <w:spacing w:after="0" w:line="273" w:lineRule="auto"/>
        <w:rPr>
          <w:sz w:val="20"/>
          <w:szCs w:val="20"/>
          <w:color w:val="auto"/>
        </w:rPr>
      </w:pPr>
      <w:r>
        <w:rPr>
          <w:rFonts w:ascii="Arial" w:cs="Arial" w:eastAsia="Arial" w:hAnsi="Arial"/>
          <w:sz w:val="17"/>
          <w:szCs w:val="17"/>
          <w:color w:val="auto"/>
        </w:rPr>
        <w:t>Following the completion of the all-stock transaction, FullBeauty and DXL shareholders will own 55% and 45% of the combined company, respectively.</w:t>
      </w:r>
    </w:p>
    <w:p>
      <w:pPr>
        <w:spacing w:after="0" w:line="123" w:lineRule="exact"/>
        <w:rPr>
          <w:sz w:val="20"/>
          <w:szCs w:val="20"/>
          <w:color w:val="auto"/>
        </w:rPr>
      </w:pPr>
    </w:p>
    <w:p>
      <w:pPr>
        <w:jc w:val="both"/>
        <w:ind w:right="200"/>
        <w:spacing w:after="0" w:line="242" w:lineRule="auto"/>
        <w:rPr>
          <w:sz w:val="20"/>
          <w:szCs w:val="20"/>
          <w:color w:val="auto"/>
        </w:rPr>
      </w:pPr>
      <w:r>
        <w:rPr>
          <w:rFonts w:ascii="Arial" w:cs="Arial" w:eastAsia="Arial" w:hAnsi="Arial"/>
          <w:sz w:val="17"/>
          <w:szCs w:val="17"/>
          <w:color w:val="auto"/>
        </w:rPr>
        <w:t>“We are excited about what this transaction means for our associates, customers and shareholders,” said Harvey Kanter, President and CEO of DXL. “Together with FullBeauty, we will be better able to serve our customers across the plus-size and Big + Tall apparel market, providing them more brands, more styles and more options whether they shop in stores or online through our powerful omni-channel platform. Our shareholders will benefit from the upside potential of our large, combined company as we capture growth opportunities, leverage our Fit expertise, execute on cost synergies and use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755650</wp:posOffset>
            </wp:positionV>
            <wp:extent cx="7174865" cy="406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92" w:right="319" w:bottom="1440" w:gutter="0" w:footer="0" w:header="0"/>
        </w:sectPr>
      </w:pPr>
    </w:p>
    <w:bookmarkStart w:id="103" w:name="page104"/>
    <w:bookmarkEnd w:id="103"/>
    <w:p>
      <w:pPr>
        <w:ind w:left="5"/>
        <w:spacing w:after="0" w:line="273" w:lineRule="auto"/>
        <w:rPr>
          <w:sz w:val="20"/>
          <w:szCs w:val="20"/>
          <w:color w:val="auto"/>
        </w:rPr>
      </w:pPr>
      <w:r>
        <w:rPr>
          <w:rFonts w:ascii="Arial" w:cs="Arial" w:eastAsia="Arial" w:hAnsi="Arial"/>
          <w:sz w:val="17"/>
          <w:szCs w:val="17"/>
          <w:color w:val="auto"/>
        </w:rPr>
        <w:t>enhanced financial position to invest in our business. We look forward to working with FullBeauty and joining our teams to deliver on the promise of this combination.”</w:t>
      </w:r>
    </w:p>
    <w:p>
      <w:pPr>
        <w:spacing w:after="0" w:line="123" w:lineRule="exact"/>
        <w:rPr>
          <w:sz w:val="20"/>
          <w:szCs w:val="20"/>
          <w:color w:val="auto"/>
        </w:rPr>
      </w:pPr>
    </w:p>
    <w:p>
      <w:pPr>
        <w:ind w:left="5"/>
        <w:spacing w:after="0"/>
        <w:rPr>
          <w:sz w:val="20"/>
          <w:szCs w:val="20"/>
          <w:color w:val="auto"/>
        </w:rPr>
      </w:pPr>
      <w:r>
        <w:rPr>
          <w:rFonts w:ascii="Arial" w:cs="Arial" w:eastAsia="Arial" w:hAnsi="Arial"/>
          <w:sz w:val="17"/>
          <w:szCs w:val="17"/>
          <w:color w:val="auto"/>
        </w:rPr>
        <w:t>“By uniting DXL and FullBeauty we are creating a leader in a fragmented market that will define the next decade of inclusive fashion,” said Jim Fogarty, CEO of FullBeauty and incoming CEO of the combined company. “Together we will be a powerful engine for innovation — combining data science, digital scale, proprietary fit technology and differentiated store expertise. With our shared values and mission, incredible portfolio of brands, complementary capabilities, enhanced financial profile, proven record of successful brand integrations and the scale of a larger public company, we expect to deliver sustainable growth, stronger margins and long-term shareholder value — while expanding choice for customers in an apparel category that has historically lacked options.”</w:t>
      </w:r>
    </w:p>
    <w:p>
      <w:pPr>
        <w:spacing w:after="0" w:line="152" w:lineRule="exact"/>
        <w:rPr>
          <w:sz w:val="20"/>
          <w:szCs w:val="20"/>
          <w:color w:val="auto"/>
        </w:rPr>
      </w:pPr>
    </w:p>
    <w:p>
      <w:pPr>
        <w:ind w:left="5" w:right="260"/>
        <w:spacing w:after="0" w:line="252" w:lineRule="auto"/>
        <w:rPr>
          <w:sz w:val="20"/>
          <w:szCs w:val="20"/>
          <w:color w:val="auto"/>
        </w:rPr>
      </w:pPr>
      <w:r>
        <w:rPr>
          <w:rFonts w:ascii="Arial" w:cs="Arial" w:eastAsia="Arial" w:hAnsi="Arial"/>
          <w:sz w:val="17"/>
          <w:szCs w:val="17"/>
          <w:color w:val="auto"/>
        </w:rPr>
        <w:t>Lionel Conacher, Chairman of the current Board of DXL, said, “Following a comprehensive review of this transaction, the Board determined that this combination has the potential to create significant value for and is the best path forward for DXL shareholders. We look forward to working together to guide the combined company to even greater success as one organization.”</w:t>
      </w:r>
    </w:p>
    <w:p>
      <w:pPr>
        <w:spacing w:after="0" w:line="141" w:lineRule="exact"/>
        <w:rPr>
          <w:sz w:val="20"/>
          <w:szCs w:val="20"/>
          <w:color w:val="auto"/>
        </w:rPr>
      </w:pPr>
    </w:p>
    <w:p>
      <w:pPr>
        <w:ind w:left="5"/>
        <w:spacing w:after="0" w:line="242" w:lineRule="auto"/>
        <w:rPr>
          <w:sz w:val="20"/>
          <w:szCs w:val="20"/>
          <w:color w:val="auto"/>
        </w:rPr>
      </w:pPr>
      <w:r>
        <w:rPr>
          <w:rFonts w:ascii="Arial" w:cs="Arial" w:eastAsia="Arial" w:hAnsi="Arial"/>
          <w:sz w:val="17"/>
          <w:szCs w:val="17"/>
          <w:color w:val="auto"/>
        </w:rPr>
        <w:t>Steve Tesoriere, portfolio manager of funds managed by Oaktree Capital Management, L.P. and Director of FullBeauty added, “As the largest individual owner of FullBeauty, we look forward to participating in the significant upside potential this transaction creates. Pro forma for cost synergies, we expect the combined company will generate solid free cash flow and generate very attractive shareholder returns. We are excited for the opportunity for value creation ahead as FullBeauty and DXL join forces to create a leader in inclusive apparel to pursue the vast and growing market opportunity.”</w:t>
      </w:r>
    </w:p>
    <w:p>
      <w:pPr>
        <w:spacing w:after="0" w:line="148"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auto"/>
        </w:rPr>
        <w:t>Compelling Strategic and Financial Benefits</w:t>
      </w:r>
    </w:p>
    <w:p>
      <w:pPr>
        <w:spacing w:after="0" w:line="185" w:lineRule="exact"/>
        <w:rPr>
          <w:sz w:val="20"/>
          <w:szCs w:val="20"/>
          <w:color w:val="auto"/>
        </w:rPr>
      </w:pPr>
    </w:p>
    <w:p>
      <w:pPr>
        <w:ind w:left="5" w:right="500"/>
        <w:spacing w:after="0" w:line="273" w:lineRule="auto"/>
        <w:rPr>
          <w:sz w:val="20"/>
          <w:szCs w:val="20"/>
          <w:color w:val="auto"/>
        </w:rPr>
      </w:pPr>
      <w:r>
        <w:rPr>
          <w:rFonts w:ascii="Arial" w:cs="Arial" w:eastAsia="Arial" w:hAnsi="Arial"/>
          <w:sz w:val="17"/>
          <w:szCs w:val="17"/>
          <w:color w:val="auto"/>
        </w:rPr>
        <w:t>The combined company is expected to be well-positioned to set a new standard in size-inclusive fashion. Together, the companies expect to deliver significant benefits to customers and shareholders:</w:t>
      </w:r>
    </w:p>
    <w:p>
      <w:pPr>
        <w:spacing w:after="0" w:line="121" w:lineRule="exact"/>
        <w:rPr>
          <w:sz w:val="20"/>
          <w:szCs w:val="20"/>
          <w:color w:val="auto"/>
        </w:rPr>
      </w:pPr>
    </w:p>
    <w:p>
      <w:pPr>
        <w:ind w:left="365" w:hanging="365"/>
        <w:spacing w:after="0"/>
        <w:tabs>
          <w:tab w:leader="none" w:pos="365" w:val="left"/>
        </w:tabs>
        <w:numPr>
          <w:ilvl w:val="0"/>
          <w:numId w:val="126"/>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Creates a scaled, category-defining size-inclusive brand portfolio in North America.</w:t>
      </w:r>
    </w:p>
    <w:p>
      <w:pPr>
        <w:spacing w:after="0" w:line="22" w:lineRule="exact"/>
        <w:rPr>
          <w:rFonts w:ascii="Times New Roman" w:cs="Times New Roman" w:eastAsia="Times New Roman" w:hAnsi="Times New Roman"/>
          <w:sz w:val="17"/>
          <w:szCs w:val="17"/>
          <w:color w:val="auto"/>
        </w:rPr>
      </w:pPr>
    </w:p>
    <w:p>
      <w:pPr>
        <w:ind w:left="745" w:right="660" w:hanging="375"/>
        <w:spacing w:after="0" w:line="23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 </w:t>
      </w:r>
      <w:r>
        <w:rPr>
          <w:rFonts w:ascii="Arial" w:cs="Arial" w:eastAsia="Arial" w:hAnsi="Arial"/>
          <w:sz w:val="17"/>
          <w:szCs w:val="17"/>
          <w:color w:val="auto"/>
        </w:rPr>
        <w:t>FullBeauty’s portfolio of distinctive women’s inclusive size brands, along with its Big + Tall KingSize brand, joins DXL’s Big + Tall</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specialty to create a powerful portfolio of women’s inclusive sizes and unmatched strength in Men’s Big + Tall.</w:t>
      </w:r>
    </w:p>
    <w:p>
      <w:pPr>
        <w:ind w:left="745" w:right="780" w:hanging="375"/>
        <w:spacing w:after="0" w:line="23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 </w:t>
      </w:r>
      <w:r>
        <w:rPr>
          <w:rFonts w:ascii="Arial" w:cs="Arial" w:eastAsia="Arial" w:hAnsi="Arial"/>
          <w:sz w:val="17"/>
          <w:szCs w:val="17"/>
          <w:color w:val="auto"/>
        </w:rPr>
        <w:t>The transaction results in one of the largest players by sales and store count in the inclusive sizing clothing sector, even before</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commercial synergies and future M&amp;A transactions.</w:t>
      </w:r>
    </w:p>
    <w:p>
      <w:pPr>
        <w:ind w:left="365"/>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   </w:t>
      </w:r>
      <w:r>
        <w:rPr>
          <w:rFonts w:ascii="Arial" w:cs="Arial" w:eastAsia="Arial" w:hAnsi="Arial"/>
          <w:sz w:val="17"/>
          <w:szCs w:val="17"/>
          <w:color w:val="auto"/>
        </w:rPr>
        <w:t>The combined company only captures a portion of a largely untapped market, highlighting significant growth opportunities ahead.</w:t>
      </w:r>
    </w:p>
    <w:p>
      <w:pPr>
        <w:spacing w:after="0" w:line="176" w:lineRule="exact"/>
        <w:rPr>
          <w:rFonts w:ascii="Times New Roman" w:cs="Times New Roman" w:eastAsia="Times New Roman" w:hAnsi="Times New Roman"/>
          <w:sz w:val="17"/>
          <w:szCs w:val="17"/>
          <w:color w:val="auto"/>
        </w:rPr>
      </w:pPr>
    </w:p>
    <w:p>
      <w:pPr>
        <w:ind w:left="365" w:hanging="365"/>
        <w:spacing w:after="0"/>
        <w:tabs>
          <w:tab w:leader="none" w:pos="365" w:val="left"/>
        </w:tabs>
        <w:numPr>
          <w:ilvl w:val="0"/>
          <w:numId w:val="126"/>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Builds a powerful omni-channel and data-driven platform.</w:t>
      </w:r>
    </w:p>
    <w:p>
      <w:pPr>
        <w:spacing w:after="0" w:line="22" w:lineRule="exact"/>
        <w:rPr>
          <w:rFonts w:ascii="Times New Roman" w:cs="Times New Roman" w:eastAsia="Times New Roman" w:hAnsi="Times New Roman"/>
          <w:sz w:val="17"/>
          <w:szCs w:val="17"/>
          <w:color w:val="auto"/>
        </w:rPr>
      </w:pPr>
    </w:p>
    <w:p>
      <w:pPr>
        <w:ind w:left="745" w:right="500" w:hanging="375"/>
        <w:spacing w:after="0" w:line="23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 </w:t>
      </w:r>
      <w:r>
        <w:rPr>
          <w:rFonts w:ascii="Arial" w:cs="Arial" w:eastAsia="Arial" w:hAnsi="Arial"/>
          <w:sz w:val="17"/>
          <w:szCs w:val="17"/>
          <w:color w:val="auto"/>
        </w:rPr>
        <w:t>Combines FullBeauty’s data-driven direct-to-consumer and digital marketing capabilities with DXL’s Big + Tall store leadership and</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national-brand partnerships.</w:t>
      </w:r>
    </w:p>
    <w:p>
      <w:pPr>
        <w:ind w:left="745" w:right="520" w:hanging="375"/>
        <w:spacing w:after="0" w:line="23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 </w:t>
      </w:r>
      <w:r>
        <w:rPr>
          <w:rFonts w:ascii="Arial" w:cs="Arial" w:eastAsia="Arial" w:hAnsi="Arial"/>
          <w:sz w:val="17"/>
          <w:szCs w:val="17"/>
          <w:color w:val="auto"/>
        </w:rPr>
        <w:t>The combined company will have a leading direct-to-consumer presence with approximately 34 million households in its combined</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customer database and 296 stores.</w:t>
      </w:r>
    </w:p>
    <w:p>
      <w:pPr>
        <w:ind w:left="745" w:right="300" w:hanging="375"/>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 </w:t>
      </w:r>
      <w:r>
        <w:rPr>
          <w:rFonts w:ascii="Arial" w:cs="Arial" w:eastAsia="Arial" w:hAnsi="Arial"/>
          <w:sz w:val="17"/>
          <w:szCs w:val="17"/>
          <w:color w:val="auto"/>
        </w:rPr>
        <w:t>With more first-party data and advanced analytics, the combined company will be positioned to provide more personalized marketing,</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make better inventory decisions and generate higher customer lifetime value.</w:t>
      </w:r>
    </w:p>
    <w:p>
      <w:pPr>
        <w:spacing w:after="0" w:line="139" w:lineRule="exact"/>
        <w:rPr>
          <w:rFonts w:ascii="Times New Roman" w:cs="Times New Roman" w:eastAsia="Times New Roman" w:hAnsi="Times New Roman"/>
          <w:sz w:val="17"/>
          <w:szCs w:val="17"/>
          <w:color w:val="auto"/>
        </w:rPr>
      </w:pPr>
    </w:p>
    <w:p>
      <w:pPr>
        <w:ind w:left="365" w:hanging="365"/>
        <w:spacing w:after="0"/>
        <w:tabs>
          <w:tab w:leader="none" w:pos="365" w:val="left"/>
        </w:tabs>
        <w:numPr>
          <w:ilvl w:val="0"/>
          <w:numId w:val="126"/>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Leverages each company’s strengths to accelerate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784860</wp:posOffset>
            </wp:positionV>
            <wp:extent cx="7174865" cy="406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5"/>
          </w:cols>
          <w:pgMar w:left="315" w:top="1256" w:right="339" w:bottom="1440" w:gutter="0" w:footer="0" w:header="0"/>
        </w:sectPr>
      </w:pPr>
    </w:p>
    <w:bookmarkStart w:id="104" w:name="page105"/>
    <w:bookmarkEnd w:id="104"/>
    <w:p>
      <w:pPr>
        <w:ind w:left="745" w:right="660" w:hanging="370"/>
        <w:spacing w:after="0" w:line="241" w:lineRule="auto"/>
        <w:tabs>
          <w:tab w:leader="none" w:pos="745" w:val="left"/>
        </w:tabs>
        <w:numPr>
          <w:ilvl w:val="1"/>
          <w:numId w:val="127"/>
        </w:numPr>
        <w:rPr>
          <w:rFonts w:ascii="Times New Roman" w:cs="Times New Roman" w:eastAsia="Times New Roman" w:hAnsi="Times New Roman"/>
          <w:sz w:val="17"/>
          <w:szCs w:val="17"/>
          <w:color w:val="auto"/>
        </w:rPr>
      </w:pPr>
      <w:r>
        <w:rPr>
          <w:rFonts w:ascii="Arial" w:cs="Arial" w:eastAsia="Arial" w:hAnsi="Arial"/>
          <w:sz w:val="17"/>
          <w:szCs w:val="17"/>
          <w:color w:val="auto"/>
        </w:rPr>
        <w:t>Under one umbrella, the combined company will have deep pure-play expertise across gender, assortment, brands, lifestyle and distribution channels to offer wide product variety at scale.</w:t>
      </w:r>
    </w:p>
    <w:p>
      <w:pPr>
        <w:spacing w:after="0" w:line="1" w:lineRule="exact"/>
        <w:rPr>
          <w:rFonts w:ascii="Times New Roman" w:cs="Times New Roman" w:eastAsia="Times New Roman" w:hAnsi="Times New Roman"/>
          <w:sz w:val="17"/>
          <w:szCs w:val="17"/>
          <w:color w:val="auto"/>
        </w:rPr>
      </w:pPr>
    </w:p>
    <w:p>
      <w:pPr>
        <w:ind w:left="745" w:right="120" w:hanging="370"/>
        <w:spacing w:after="0" w:line="232" w:lineRule="auto"/>
        <w:tabs>
          <w:tab w:leader="none" w:pos="745" w:val="left"/>
        </w:tabs>
        <w:numPr>
          <w:ilvl w:val="1"/>
          <w:numId w:val="127"/>
        </w:numPr>
        <w:rPr>
          <w:rFonts w:ascii="Times New Roman" w:cs="Times New Roman" w:eastAsia="Times New Roman" w:hAnsi="Times New Roman"/>
          <w:sz w:val="17"/>
          <w:szCs w:val="17"/>
          <w:color w:val="auto"/>
        </w:rPr>
      </w:pPr>
      <w:r>
        <w:rPr>
          <w:rFonts w:ascii="Arial" w:cs="Arial" w:eastAsia="Arial" w:hAnsi="Arial"/>
          <w:sz w:val="17"/>
          <w:szCs w:val="17"/>
          <w:color w:val="auto"/>
        </w:rPr>
        <w:t>The combined company will be poised to drive incremental revenue and capture profitability upside over time from cross-brand and cross-channel traffic, leveraging FullBeauty’s digital mall capabilities, marketplace infrastructure, print marketing and private label credit expertise with DXL’s existing store base, national brand and fit expertise. The combined company expects to have growth opportunities through disciplined new store openings and by pursuing alternate channels of distribution.</w:t>
      </w:r>
    </w:p>
    <w:p>
      <w:pPr>
        <w:ind w:left="745" w:right="100" w:hanging="370"/>
        <w:spacing w:after="0" w:line="242" w:lineRule="auto"/>
        <w:tabs>
          <w:tab w:leader="none" w:pos="745" w:val="left"/>
        </w:tabs>
        <w:numPr>
          <w:ilvl w:val="1"/>
          <w:numId w:val="127"/>
        </w:numPr>
        <w:rPr>
          <w:rFonts w:ascii="Times New Roman" w:cs="Times New Roman" w:eastAsia="Times New Roman" w:hAnsi="Times New Roman"/>
          <w:sz w:val="17"/>
          <w:szCs w:val="17"/>
          <w:color w:val="auto"/>
        </w:rPr>
      </w:pPr>
      <w:r>
        <w:rPr>
          <w:rFonts w:ascii="Arial" w:cs="Arial" w:eastAsia="Arial" w:hAnsi="Arial"/>
          <w:sz w:val="17"/>
          <w:szCs w:val="17"/>
          <w:color w:val="auto"/>
        </w:rPr>
        <w:t>In addition, DXL and FullBeauty’s shared focus on fit, flexibility and ongoing customer support positions the combined company to meet new and existing customers at every stage of their weight-fluctuation journey – including those using GLP-1 medications – through offerings such as DXL’s FiTMAP® and FullBeauty’s free exchange program.</w:t>
      </w:r>
    </w:p>
    <w:p>
      <w:pPr>
        <w:spacing w:after="0" w:line="146" w:lineRule="exact"/>
        <w:rPr>
          <w:rFonts w:ascii="Times New Roman" w:cs="Times New Roman" w:eastAsia="Times New Roman" w:hAnsi="Times New Roman"/>
          <w:sz w:val="17"/>
          <w:szCs w:val="17"/>
          <w:color w:val="auto"/>
        </w:rPr>
      </w:pPr>
    </w:p>
    <w:p>
      <w:pPr>
        <w:ind w:left="365" w:hanging="365"/>
        <w:spacing w:after="0"/>
        <w:tabs>
          <w:tab w:leader="none" w:pos="365" w:val="left"/>
        </w:tabs>
        <w:numPr>
          <w:ilvl w:val="0"/>
          <w:numId w:val="127"/>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Captures significant synergy opportunities.</w:t>
      </w:r>
    </w:p>
    <w:p>
      <w:pPr>
        <w:spacing w:after="0" w:line="22" w:lineRule="exact"/>
        <w:rPr>
          <w:rFonts w:ascii="Times New Roman" w:cs="Times New Roman" w:eastAsia="Times New Roman" w:hAnsi="Times New Roman"/>
          <w:sz w:val="17"/>
          <w:szCs w:val="17"/>
          <w:color w:val="auto"/>
        </w:rPr>
      </w:pPr>
    </w:p>
    <w:p>
      <w:pPr>
        <w:ind w:left="745" w:right="120" w:hanging="370"/>
        <w:spacing w:after="0"/>
        <w:tabs>
          <w:tab w:leader="none" w:pos="745" w:val="left"/>
        </w:tabs>
        <w:numPr>
          <w:ilvl w:val="1"/>
          <w:numId w:val="127"/>
        </w:numPr>
        <w:rPr>
          <w:rFonts w:ascii="Times New Roman" w:cs="Times New Roman" w:eastAsia="Times New Roman" w:hAnsi="Times New Roman"/>
          <w:sz w:val="17"/>
          <w:szCs w:val="17"/>
          <w:color w:val="auto"/>
        </w:rPr>
      </w:pPr>
      <w:r>
        <w:rPr>
          <w:rFonts w:ascii="Arial" w:cs="Arial" w:eastAsia="Arial" w:hAnsi="Arial"/>
          <w:sz w:val="17"/>
          <w:szCs w:val="17"/>
          <w:color w:val="auto"/>
        </w:rPr>
        <w:t>The transaction is expected to generate $25 million in annual run-rate cost synergies by 2027 primarily through cost-of-goods optimization, organizational efficiencies, reduced overhead expenses and other cost-saving measures. The combined company intends to begin capturing these synergies promptly after closing the transaction, with a significant portion to be actioned within the first 12 months.</w:t>
      </w:r>
    </w:p>
    <w:p>
      <w:pPr>
        <w:spacing w:after="0" w:line="169" w:lineRule="exact"/>
        <w:rPr>
          <w:rFonts w:ascii="Times New Roman" w:cs="Times New Roman" w:eastAsia="Times New Roman" w:hAnsi="Times New Roman"/>
          <w:sz w:val="17"/>
          <w:szCs w:val="17"/>
          <w:color w:val="auto"/>
        </w:rPr>
      </w:pPr>
    </w:p>
    <w:p>
      <w:pPr>
        <w:ind w:left="745" w:right="240" w:hanging="370"/>
        <w:spacing w:after="0" w:line="252" w:lineRule="auto"/>
        <w:tabs>
          <w:tab w:leader="none" w:pos="745" w:val="left"/>
        </w:tabs>
        <w:numPr>
          <w:ilvl w:val="1"/>
          <w:numId w:val="127"/>
        </w:numPr>
        <w:rPr>
          <w:rFonts w:ascii="Times New Roman" w:cs="Times New Roman" w:eastAsia="Times New Roman" w:hAnsi="Times New Roman"/>
          <w:sz w:val="17"/>
          <w:szCs w:val="17"/>
          <w:color w:val="auto"/>
        </w:rPr>
      </w:pPr>
      <w:r>
        <w:rPr>
          <w:rFonts w:ascii="Arial" w:cs="Arial" w:eastAsia="Arial" w:hAnsi="Arial"/>
          <w:sz w:val="17"/>
          <w:szCs w:val="17"/>
          <w:color w:val="auto"/>
        </w:rPr>
        <w:t>With a unified sourcing strategy, the merged company will be able to leverage greater scale advantages in product development while maintaining agility to pivot sourcing operations to mitigate tariff exposure.</w:t>
      </w:r>
    </w:p>
    <w:p>
      <w:pPr>
        <w:spacing w:after="0" w:line="138" w:lineRule="exact"/>
        <w:rPr>
          <w:rFonts w:ascii="Times New Roman" w:cs="Times New Roman" w:eastAsia="Times New Roman" w:hAnsi="Times New Roman"/>
          <w:sz w:val="17"/>
          <w:szCs w:val="17"/>
          <w:color w:val="auto"/>
        </w:rPr>
      </w:pPr>
    </w:p>
    <w:p>
      <w:pPr>
        <w:ind w:left="365" w:hanging="365"/>
        <w:spacing w:after="0"/>
        <w:tabs>
          <w:tab w:leader="none" w:pos="365" w:val="left"/>
        </w:tabs>
        <w:numPr>
          <w:ilvl w:val="0"/>
          <w:numId w:val="127"/>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Enhances scale, profitability and financial flexibility.</w:t>
      </w:r>
    </w:p>
    <w:p>
      <w:pPr>
        <w:spacing w:after="0" w:line="22" w:lineRule="exact"/>
        <w:rPr>
          <w:rFonts w:ascii="Times New Roman" w:cs="Times New Roman" w:eastAsia="Times New Roman" w:hAnsi="Times New Roman"/>
          <w:sz w:val="17"/>
          <w:szCs w:val="17"/>
          <w:color w:val="auto"/>
        </w:rPr>
      </w:pPr>
    </w:p>
    <w:p>
      <w:pPr>
        <w:ind w:left="745" w:right="500" w:hanging="370"/>
        <w:spacing w:after="0" w:line="242" w:lineRule="auto"/>
        <w:tabs>
          <w:tab w:leader="none" w:pos="745" w:val="left"/>
        </w:tabs>
        <w:numPr>
          <w:ilvl w:val="1"/>
          <w:numId w:val="127"/>
        </w:numPr>
        <w:rPr>
          <w:rFonts w:ascii="Times New Roman" w:cs="Times New Roman" w:eastAsia="Times New Roman" w:hAnsi="Times New Roman"/>
          <w:sz w:val="17"/>
          <w:szCs w:val="17"/>
          <w:color w:val="auto"/>
        </w:rPr>
      </w:pPr>
      <w:r>
        <w:rPr>
          <w:rFonts w:ascii="Arial" w:cs="Arial" w:eastAsia="Arial" w:hAnsi="Arial"/>
          <w:sz w:val="17"/>
          <w:szCs w:val="17"/>
          <w:color w:val="auto"/>
        </w:rPr>
        <w:t>With increased financial strength and flexibility, an enhanced free cash flow profile, efficiencies captured through synergies and disciplined capital allocation, the combined company will be poised to reinvest in growth initiatives, drive profitability while reducing leverage and deliver sustainable long-term value for shareholders.</w:t>
      </w:r>
    </w:p>
    <w:p>
      <w:pPr>
        <w:spacing w:after="0" w:line="147"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auto"/>
        </w:rPr>
        <w:t>Leadership, Governance and Structure</w:t>
      </w:r>
    </w:p>
    <w:p>
      <w:pPr>
        <w:spacing w:after="0" w:line="185" w:lineRule="exact"/>
        <w:rPr>
          <w:sz w:val="20"/>
          <w:szCs w:val="20"/>
          <w:color w:val="auto"/>
        </w:rPr>
      </w:pPr>
    </w:p>
    <w:p>
      <w:pPr>
        <w:ind w:left="5" w:right="100"/>
        <w:spacing w:after="0" w:line="246" w:lineRule="auto"/>
        <w:rPr>
          <w:sz w:val="20"/>
          <w:szCs w:val="20"/>
          <w:color w:val="auto"/>
        </w:rPr>
      </w:pPr>
      <w:r>
        <w:rPr>
          <w:rFonts w:ascii="Arial" w:cs="Arial" w:eastAsia="Arial" w:hAnsi="Arial"/>
          <w:sz w:val="17"/>
          <w:szCs w:val="17"/>
          <w:color w:val="auto"/>
        </w:rPr>
        <w:t>The combined company will be led by a proven management team that reflects the strengths and capabilities of both organizations. Following the closing of the merger, Jim Fogarty, current CEO of FullBeauty, will serve as Chief Executive Officer of the combined company and Peter Stratton, current CFO of DXL, will serve as Chief Financial Officer. Headquarters will remain in Canton, MA, and the combined company is expected to maintain a significant presence in New York City, Indianapolis and El Paso.</w:t>
      </w:r>
    </w:p>
    <w:p>
      <w:pPr>
        <w:spacing w:after="0" w:line="145" w:lineRule="exact"/>
        <w:rPr>
          <w:sz w:val="20"/>
          <w:szCs w:val="20"/>
          <w:color w:val="auto"/>
        </w:rPr>
      </w:pPr>
    </w:p>
    <w:p>
      <w:pPr>
        <w:ind w:left="5" w:right="520"/>
        <w:spacing w:after="0" w:line="273" w:lineRule="auto"/>
        <w:rPr>
          <w:sz w:val="20"/>
          <w:szCs w:val="20"/>
          <w:color w:val="auto"/>
        </w:rPr>
      </w:pPr>
      <w:r>
        <w:rPr>
          <w:rFonts w:ascii="Arial" w:cs="Arial" w:eastAsia="Arial" w:hAnsi="Arial"/>
          <w:sz w:val="17"/>
          <w:szCs w:val="17"/>
          <w:color w:val="auto"/>
        </w:rPr>
        <w:t>The combined company’s Board will comprise 9 directors — 4 appointed by FullBeauty, 4 by DXL and 1 independent director to be mutually agreed upon by the go-forward directors prior to closing.</w:t>
      </w:r>
    </w:p>
    <w:p>
      <w:pPr>
        <w:spacing w:after="0" w:line="123" w:lineRule="exact"/>
        <w:rPr>
          <w:sz w:val="20"/>
          <w:szCs w:val="20"/>
          <w:color w:val="auto"/>
        </w:rPr>
      </w:pPr>
    </w:p>
    <w:p>
      <w:pPr>
        <w:ind w:left="5"/>
        <w:spacing w:after="0" w:line="246" w:lineRule="auto"/>
        <w:rPr>
          <w:sz w:val="20"/>
          <w:szCs w:val="20"/>
          <w:color w:val="auto"/>
        </w:rPr>
      </w:pPr>
      <w:r>
        <w:rPr>
          <w:rFonts w:ascii="Arial" w:cs="Arial" w:eastAsia="Arial" w:hAnsi="Arial"/>
          <w:sz w:val="17"/>
          <w:szCs w:val="17"/>
          <w:color w:val="auto"/>
        </w:rPr>
        <w:t>Under the terms of the merger agreement, FullBeauty will merge with a newly formed subsidiary of DXL, with DXL remaining the publicly traded entity under the ticker symbol DXLG. In addition, at closing, certain of FullBeauty’s equity and debt holders will complete a committed subscription of $92 million, through the sale of common stock in exchange for a combination of new equity and outstanding debt equitization, resulting in a term loan outstanding at closing of approximately $172 million, with a maturity of August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872490</wp:posOffset>
            </wp:positionV>
            <wp:extent cx="7174865" cy="406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5"/>
          </w:cols>
          <w:pgMar w:left="315" w:top="1256" w:right="359" w:bottom="1440" w:gutter="0" w:footer="0" w:header="0"/>
        </w:sectPr>
      </w:pPr>
    </w:p>
    <w:bookmarkStart w:id="105" w:name="page106"/>
    <w:bookmarkEnd w:id="105"/>
    <w:p>
      <w:pPr>
        <w:spacing w:after="0"/>
        <w:rPr>
          <w:sz w:val="20"/>
          <w:szCs w:val="20"/>
          <w:color w:val="auto"/>
        </w:rPr>
      </w:pPr>
      <w:r>
        <w:rPr>
          <w:rFonts w:ascii="Arial" w:cs="Arial" w:eastAsia="Arial" w:hAnsi="Arial"/>
          <w:sz w:val="17"/>
          <w:szCs w:val="17"/>
          <w:b w:val="1"/>
          <w:bCs w:val="1"/>
          <w:color w:val="auto"/>
        </w:rPr>
        <w:t>Approvals and Voting Support</w:t>
      </w:r>
    </w:p>
    <w:p>
      <w:pPr>
        <w:spacing w:after="0" w:line="185"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The transaction has been unanimously approved by the Boards of Directors of both companies, and is expected to close in the first half of fiscal year 2026, subject to customary closing conditions and approval by DXL shareholders.</w:t>
      </w:r>
    </w:p>
    <w:p>
      <w:pPr>
        <w:spacing w:after="0" w:line="123" w:lineRule="exact"/>
        <w:rPr>
          <w:sz w:val="20"/>
          <w:szCs w:val="20"/>
          <w:color w:val="auto"/>
        </w:rPr>
      </w:pPr>
    </w:p>
    <w:p>
      <w:pPr>
        <w:ind w:right="220"/>
        <w:spacing w:after="0" w:line="252" w:lineRule="auto"/>
        <w:rPr>
          <w:sz w:val="20"/>
          <w:szCs w:val="20"/>
          <w:color w:val="auto"/>
        </w:rPr>
      </w:pPr>
      <w:r>
        <w:rPr>
          <w:rFonts w:ascii="Arial" w:cs="Arial" w:eastAsia="Arial" w:hAnsi="Arial"/>
          <w:sz w:val="17"/>
          <w:szCs w:val="17"/>
          <w:color w:val="auto"/>
        </w:rPr>
        <w:t>DXL has entered into voting support agreements with one of its largest shareholders, Fund 1 Investments LLC, and with each member of DXL’s Board of Directors, under which the parties agree to vote all their respective shares of DXL in favor of the transaction, which represents in total approximately 19.4% percent of the existing voting shares of DXL.</w:t>
      </w:r>
    </w:p>
    <w:p>
      <w:pPr>
        <w:spacing w:after="0" w:line="14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FullBeauty common shareholders have consented to the merger transaction. In addition, the company’s largest shareholders and sponsors have entered lock-up agreements in support of the transaction.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Third Quarter Fiscal 2025 Results</w:t>
      </w:r>
    </w:p>
    <w:p>
      <w:pPr>
        <w:spacing w:after="0" w:line="18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In a separate press release issued today, DXL announced its Third Quarter Fiscal 2025 financial results. To access the earnings release, please visit (https://investor.dxl.com).</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Joint Conference Call and Webcast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DXL and FullBeauty will hold a joint conference call today at 5:00 PM ET to discuss the proposed combination and DXL’s earnings.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Conference Call</w:t>
      </w:r>
    </w:p>
    <w:p>
      <w:pPr>
        <w:spacing w:after="0" w:line="10" w:lineRule="exact"/>
        <w:rPr>
          <w:sz w:val="20"/>
          <w:szCs w:val="20"/>
          <w:color w:val="auto"/>
        </w:rPr>
      </w:pPr>
    </w:p>
    <w:p>
      <w:pPr>
        <w:ind w:left="740" w:right="3640"/>
        <w:spacing w:after="0" w:line="243" w:lineRule="auto"/>
        <w:rPr>
          <w:sz w:val="20"/>
          <w:szCs w:val="20"/>
          <w:color w:val="auto"/>
        </w:rPr>
      </w:pPr>
      <w:r>
        <w:rPr>
          <w:rFonts w:ascii="Arial" w:cs="Arial" w:eastAsia="Arial" w:hAnsi="Arial"/>
          <w:sz w:val="17"/>
          <w:szCs w:val="17"/>
          <w:color w:val="auto"/>
        </w:rPr>
        <w:t>To participate in the conference call, please pre-register at: https://register-conf.media-server.com/register/BI179eabc9adaa4a199a67a98e41c452cd Upon registering, you will receive a dial-in number and unique PIN.</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Webcast</w:t>
      </w:r>
    </w:p>
    <w:p>
      <w:pPr>
        <w:spacing w:after="0" w:line="3" w:lineRule="exact"/>
        <w:rPr>
          <w:sz w:val="20"/>
          <w:szCs w:val="20"/>
          <w:color w:val="auto"/>
        </w:rPr>
      </w:pPr>
    </w:p>
    <w:p>
      <w:pPr>
        <w:ind w:left="740"/>
        <w:spacing w:after="0"/>
        <w:rPr>
          <w:sz w:val="20"/>
          <w:szCs w:val="20"/>
          <w:color w:val="auto"/>
        </w:rPr>
      </w:pPr>
      <w:r>
        <w:rPr>
          <w:rFonts w:ascii="Arial" w:cs="Arial" w:eastAsia="Arial" w:hAnsi="Arial"/>
          <w:sz w:val="17"/>
          <w:szCs w:val="17"/>
          <w:color w:val="auto"/>
        </w:rPr>
        <w:t>To listen to the webcast, please join and register at:</w:t>
      </w:r>
    </w:p>
    <w:p>
      <w:pPr>
        <w:ind w:left="740"/>
        <w:spacing w:after="0"/>
        <w:rPr>
          <w:sz w:val="20"/>
          <w:szCs w:val="20"/>
          <w:color w:val="auto"/>
        </w:rPr>
      </w:pPr>
      <w:r>
        <w:rPr>
          <w:rFonts w:ascii="Arial" w:cs="Arial" w:eastAsia="Arial" w:hAnsi="Arial"/>
          <w:sz w:val="17"/>
          <w:szCs w:val="17"/>
          <w:color w:val="auto"/>
        </w:rPr>
        <w:t>https://edge.media-server.com/mmc/p/d66e7hkn</w:t>
      </w:r>
    </w:p>
    <w:p>
      <w:pPr>
        <w:spacing w:after="0" w:line="167" w:lineRule="exact"/>
        <w:rPr>
          <w:sz w:val="20"/>
          <w:szCs w:val="20"/>
          <w:color w:val="auto"/>
        </w:rPr>
      </w:pPr>
    </w:p>
    <w:p>
      <w:pPr>
        <w:ind w:right="980"/>
        <w:spacing w:after="0" w:line="464" w:lineRule="auto"/>
        <w:rPr>
          <w:sz w:val="20"/>
          <w:szCs w:val="20"/>
          <w:color w:val="auto"/>
        </w:rPr>
      </w:pPr>
      <w:r>
        <w:rPr>
          <w:rFonts w:ascii="Arial" w:cs="Arial" w:eastAsia="Arial" w:hAnsi="Arial"/>
          <w:sz w:val="17"/>
          <w:szCs w:val="17"/>
          <w:color w:val="auto"/>
        </w:rPr>
        <w:t xml:space="preserve">A replay of the event will be available at the above webcast link or in the "Events" section of DXL’s website at https://investor.dxl.com. </w:t>
      </w:r>
      <w:r>
        <w:rPr>
          <w:rFonts w:ascii="Arial" w:cs="Arial" w:eastAsia="Arial" w:hAnsi="Arial"/>
          <w:sz w:val="17"/>
          <w:szCs w:val="17"/>
          <w:b w:val="1"/>
          <w:bCs w:val="1"/>
          <w:color w:val="auto"/>
        </w:rPr>
        <w:t>Advisors</w:t>
      </w:r>
    </w:p>
    <w:p>
      <w:pPr>
        <w:spacing w:after="0" w:line="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Guggenheim Securities, LLC is acting as financial advisor to DXL, Greenberg Traurig, LLP is acting as its legal advisor and Joele Frank, Wilkinson Brimmer Katcher is serving as its strategic communications advisor.</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Rothschild &amp; Co is acting as financial advisor to FullBeauty and Cleary Gottlieb Steen &amp; Hamilton LLP is acting as its legal advisor.</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Destination XL Group, Inc.</w:t>
      </w:r>
    </w:p>
    <w:p>
      <w:pPr>
        <w:spacing w:after="0" w:line="12"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Destination XL Group, Inc. is the leading retailer of Men’s Big + Tall apparel that provides the Big + Tall man the freedom to choose his own style. Subsidiaries of Destination XL Group, Inc. operate DXL Big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748665</wp:posOffset>
            </wp:positionV>
            <wp:extent cx="7174865" cy="406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20" w:top="1254" w:right="379" w:bottom="1440" w:gutter="0" w:footer="0" w:header="0"/>
        </w:sectPr>
      </w:pPr>
    </w:p>
    <w:bookmarkStart w:id="106" w:name="page107"/>
    <w:bookmarkEnd w:id="106"/>
    <w:p>
      <w:pPr>
        <w:ind w:right="20"/>
        <w:spacing w:after="0" w:line="246" w:lineRule="auto"/>
        <w:rPr>
          <w:sz w:val="20"/>
          <w:szCs w:val="20"/>
          <w:color w:val="auto"/>
        </w:rPr>
      </w:pPr>
      <w:r>
        <w:rPr>
          <w:rFonts w:ascii="Arial" w:cs="Arial" w:eastAsia="Arial" w:hAnsi="Arial"/>
          <w:sz w:val="17"/>
          <w:szCs w:val="17"/>
          <w:color w:val="auto"/>
        </w:rPr>
        <w:t>Tall retail and outlet stores and Casual Male XL retail and outlet stores throughout the United States, and an e-commerce website, DXL.COM, and mobile app, which offer a multi-channel solution similar to the DXL store experience with the most extensive selection of online products available anywhere for Big + Tall men. The Company is headquartered in Canton, Massachusetts, and its common stock is listed on the Nasdaq Global Market under the symbol "DXLG." For more information, please visit the Company's investor relations website: https://investor.dxl.com.</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FULLBEAUTY Brands, Inc.</w:t>
      </w:r>
    </w:p>
    <w:p>
      <w:pPr>
        <w:spacing w:after="0" w:line="12" w:lineRule="exact"/>
        <w:rPr>
          <w:sz w:val="20"/>
          <w:szCs w:val="20"/>
          <w:color w:val="auto"/>
        </w:rPr>
      </w:pPr>
    </w:p>
    <w:p>
      <w:pPr>
        <w:spacing w:after="0" w:line="212" w:lineRule="auto"/>
        <w:rPr>
          <w:sz w:val="20"/>
          <w:szCs w:val="20"/>
          <w:color w:val="auto"/>
        </w:rPr>
      </w:pPr>
      <w:r>
        <w:rPr>
          <w:rFonts w:ascii="Arial" w:cs="Arial" w:eastAsia="Arial" w:hAnsi="Arial"/>
          <w:sz w:val="17"/>
          <w:szCs w:val="17"/>
          <w:color w:val="auto"/>
        </w:rPr>
        <w:t>FULLBEAUTY Brands, Inc. is the industry leader in extended sizes and a pioneer in size inclusive fashions for plus-size women and big &amp; tall men seeking fashion inspiration, style advice, and clothing tailored to their individual needs. Beginning in 1901 with a mission to serve the plus sized customer, the company’s mission continues over 120 years later. The FULLBEAUTY family of premier fashion brands includes OneStopPlus</w:t>
      </w:r>
      <w:r>
        <w:rPr>
          <w:rFonts w:ascii="Arial" w:cs="Arial" w:eastAsia="Arial" w:hAnsi="Arial"/>
          <w:sz w:val="23"/>
          <w:szCs w:val="23"/>
          <w:color w:val="auto"/>
          <w:vertAlign w:val="superscript"/>
        </w:rPr>
        <w:t>®</w:t>
      </w:r>
      <w:r>
        <w:rPr>
          <w:rFonts w:ascii="Arial" w:cs="Arial" w:eastAsia="Arial" w:hAnsi="Arial"/>
          <w:sz w:val="17"/>
          <w:szCs w:val="17"/>
          <w:color w:val="auto"/>
        </w:rPr>
        <w:t>, the world’s first and largest online shopping destination for plus-size women, Catherines®, WomanWithin</w:t>
      </w:r>
      <w:r>
        <w:rPr>
          <w:rFonts w:ascii="Arial" w:cs="Arial" w:eastAsia="Arial" w:hAnsi="Arial"/>
          <w:sz w:val="23"/>
          <w:szCs w:val="23"/>
          <w:color w:val="auto"/>
          <w:vertAlign w:val="superscript"/>
        </w:rPr>
        <w:t>®</w:t>
      </w:r>
      <w:r>
        <w:rPr>
          <w:rFonts w:ascii="Arial" w:cs="Arial" w:eastAsia="Arial" w:hAnsi="Arial"/>
          <w:sz w:val="17"/>
          <w:szCs w:val="17"/>
          <w:color w:val="auto"/>
        </w:rPr>
        <w:t>, Jessica London</w:t>
      </w:r>
      <w:r>
        <w:rPr>
          <w:rFonts w:ascii="Arial" w:cs="Arial" w:eastAsia="Arial" w:hAnsi="Arial"/>
          <w:sz w:val="23"/>
          <w:szCs w:val="23"/>
          <w:color w:val="auto"/>
          <w:vertAlign w:val="superscript"/>
        </w:rPr>
        <w:t>®</w:t>
      </w:r>
      <w:r>
        <w:rPr>
          <w:rFonts w:ascii="Arial" w:cs="Arial" w:eastAsia="Arial" w:hAnsi="Arial"/>
          <w:sz w:val="17"/>
          <w:szCs w:val="17"/>
          <w:color w:val="auto"/>
        </w:rPr>
        <w:t>, Roaman’s</w:t>
      </w:r>
      <w:r>
        <w:rPr>
          <w:rFonts w:ascii="Arial" w:cs="Arial" w:eastAsia="Arial" w:hAnsi="Arial"/>
          <w:sz w:val="23"/>
          <w:szCs w:val="23"/>
          <w:color w:val="auto"/>
          <w:vertAlign w:val="superscript"/>
        </w:rPr>
        <w:t>®</w:t>
      </w:r>
      <w:r>
        <w:rPr>
          <w:rFonts w:ascii="Arial" w:cs="Arial" w:eastAsia="Arial" w:hAnsi="Arial"/>
          <w:sz w:val="17"/>
          <w:szCs w:val="17"/>
          <w:color w:val="auto"/>
        </w:rPr>
        <w:t>, SwimsuitsForAll</w:t>
      </w:r>
      <w:r>
        <w:rPr>
          <w:rFonts w:ascii="Arial" w:cs="Arial" w:eastAsia="Arial" w:hAnsi="Arial"/>
          <w:sz w:val="23"/>
          <w:szCs w:val="23"/>
          <w:color w:val="auto"/>
          <w:vertAlign w:val="superscript"/>
        </w:rPr>
        <w:t>®</w:t>
      </w:r>
      <w:r>
        <w:rPr>
          <w:rFonts w:ascii="Arial" w:cs="Arial" w:eastAsia="Arial" w:hAnsi="Arial"/>
          <w:sz w:val="17"/>
          <w:szCs w:val="17"/>
          <w:color w:val="auto"/>
        </w:rPr>
        <w:t>, Ellos</w:t>
      </w:r>
      <w:r>
        <w:rPr>
          <w:rFonts w:ascii="Arial" w:cs="Arial" w:eastAsia="Arial" w:hAnsi="Arial"/>
          <w:sz w:val="23"/>
          <w:szCs w:val="23"/>
          <w:color w:val="auto"/>
          <w:vertAlign w:val="superscript"/>
        </w:rPr>
        <w:t>®</w:t>
      </w:r>
      <w:r>
        <w:rPr>
          <w:rFonts w:ascii="Arial" w:cs="Arial" w:eastAsia="Arial" w:hAnsi="Arial"/>
          <w:sz w:val="17"/>
          <w:szCs w:val="17"/>
          <w:color w:val="auto"/>
        </w:rPr>
        <w:t>, Active For All</w:t>
      </w:r>
      <w:r>
        <w:rPr>
          <w:rFonts w:ascii="Arial" w:cs="Arial" w:eastAsia="Arial" w:hAnsi="Arial"/>
          <w:sz w:val="23"/>
          <w:szCs w:val="23"/>
          <w:color w:val="auto"/>
          <w:vertAlign w:val="superscript"/>
        </w:rPr>
        <w:t>®</w:t>
      </w:r>
      <w:r>
        <w:rPr>
          <w:rFonts w:ascii="Arial" w:cs="Arial" w:eastAsia="Arial" w:hAnsi="Arial"/>
          <w:sz w:val="17"/>
          <w:szCs w:val="17"/>
          <w:color w:val="auto"/>
        </w:rPr>
        <w:t>, Shoes For All</w:t>
      </w:r>
      <w:r>
        <w:rPr>
          <w:rFonts w:ascii="Arial" w:cs="Arial" w:eastAsia="Arial" w:hAnsi="Arial"/>
          <w:sz w:val="23"/>
          <w:szCs w:val="23"/>
          <w:color w:val="auto"/>
          <w:vertAlign w:val="superscript"/>
        </w:rPr>
        <w:t>®</w:t>
      </w:r>
      <w:r>
        <w:rPr>
          <w:rFonts w:ascii="Arial" w:cs="Arial" w:eastAsia="Arial" w:hAnsi="Arial"/>
          <w:sz w:val="17"/>
          <w:szCs w:val="17"/>
          <w:color w:val="auto"/>
        </w:rPr>
        <w:t>, Intimates For All</w:t>
      </w:r>
      <w:r>
        <w:rPr>
          <w:rFonts w:ascii="Arial" w:cs="Arial" w:eastAsia="Arial" w:hAnsi="Arial"/>
          <w:sz w:val="23"/>
          <w:szCs w:val="23"/>
          <w:color w:val="auto"/>
          <w:vertAlign w:val="superscript"/>
        </w:rPr>
        <w:t>®</w:t>
      </w:r>
      <w:r>
        <w:rPr>
          <w:rFonts w:ascii="Arial" w:cs="Arial" w:eastAsia="Arial" w:hAnsi="Arial"/>
          <w:sz w:val="17"/>
          <w:szCs w:val="17"/>
          <w:color w:val="auto"/>
        </w:rPr>
        <w:t>, KingSize</w:t>
      </w:r>
      <w:r>
        <w:rPr>
          <w:rFonts w:ascii="Arial" w:cs="Arial" w:eastAsia="Arial" w:hAnsi="Arial"/>
          <w:sz w:val="23"/>
          <w:szCs w:val="23"/>
          <w:color w:val="auto"/>
          <w:vertAlign w:val="superscript"/>
        </w:rPr>
        <w:t>®</w:t>
      </w:r>
      <w:r>
        <w:rPr>
          <w:rFonts w:ascii="Arial" w:cs="Arial" w:eastAsia="Arial" w:hAnsi="Arial"/>
          <w:sz w:val="17"/>
          <w:szCs w:val="17"/>
          <w:color w:val="auto"/>
        </w:rPr>
        <w:t>, Brylane Home</w:t>
      </w:r>
      <w:r>
        <w:rPr>
          <w:rFonts w:ascii="Arial" w:cs="Arial" w:eastAsia="Arial" w:hAnsi="Arial"/>
          <w:sz w:val="23"/>
          <w:szCs w:val="23"/>
          <w:color w:val="auto"/>
          <w:vertAlign w:val="superscript"/>
        </w:rPr>
        <w:t>®</w:t>
      </w:r>
      <w:r>
        <w:rPr>
          <w:rFonts w:ascii="Arial" w:cs="Arial" w:eastAsia="Arial" w:hAnsi="Arial"/>
          <w:sz w:val="17"/>
          <w:szCs w:val="17"/>
          <w:color w:val="auto"/>
        </w:rPr>
        <w:t>, June &amp; Vie</w:t>
      </w:r>
      <w:r>
        <w:rPr>
          <w:rFonts w:ascii="Arial" w:cs="Arial" w:eastAsia="Arial" w:hAnsi="Arial"/>
          <w:sz w:val="23"/>
          <w:szCs w:val="23"/>
          <w:color w:val="auto"/>
          <w:vertAlign w:val="superscript"/>
        </w:rPr>
        <w:t>™</w:t>
      </w:r>
      <w:r>
        <w:rPr>
          <w:rFonts w:ascii="Arial" w:cs="Arial" w:eastAsia="Arial" w:hAnsi="Arial"/>
          <w:sz w:val="17"/>
          <w:szCs w:val="17"/>
          <w:color w:val="auto"/>
        </w:rPr>
        <w:t>, Eloquii</w:t>
      </w:r>
      <w:r>
        <w:rPr>
          <w:rFonts w:ascii="Arial" w:cs="Arial" w:eastAsia="Arial" w:hAnsi="Arial"/>
          <w:sz w:val="23"/>
          <w:szCs w:val="23"/>
          <w:color w:val="auto"/>
          <w:vertAlign w:val="superscript"/>
        </w:rPr>
        <w:t>®</w:t>
      </w:r>
      <w:r>
        <w:rPr>
          <w:rFonts w:ascii="Arial" w:cs="Arial" w:eastAsia="Arial" w:hAnsi="Arial"/>
          <w:sz w:val="17"/>
          <w:szCs w:val="17"/>
          <w:color w:val="auto"/>
        </w:rPr>
        <w:t>, CUUP</w:t>
      </w:r>
      <w:r>
        <w:rPr>
          <w:rFonts w:ascii="Arial" w:cs="Arial" w:eastAsia="Arial" w:hAnsi="Arial"/>
          <w:sz w:val="23"/>
          <w:szCs w:val="23"/>
          <w:color w:val="auto"/>
          <w:vertAlign w:val="superscript"/>
        </w:rPr>
        <w:t>®</w:t>
      </w:r>
      <w:r>
        <w:rPr>
          <w:rFonts w:ascii="Arial" w:cs="Arial" w:eastAsia="Arial" w:hAnsi="Arial"/>
          <w:sz w:val="17"/>
          <w:szCs w:val="17"/>
          <w:color w:val="auto"/>
        </w:rPr>
        <w:t>, Dia Shop</w:t>
      </w:r>
      <w:r>
        <w:rPr>
          <w:rFonts w:ascii="Arial" w:cs="Arial" w:eastAsia="Arial" w:hAnsi="Arial"/>
          <w:sz w:val="23"/>
          <w:szCs w:val="23"/>
          <w:color w:val="auto"/>
          <w:vertAlign w:val="superscript"/>
        </w:rPr>
        <w:t>™</w:t>
      </w:r>
      <w:r>
        <w:rPr>
          <w:rFonts w:ascii="Arial" w:cs="Arial" w:eastAsia="Arial" w:hAnsi="Arial"/>
          <w:sz w:val="17"/>
          <w:szCs w:val="17"/>
          <w:color w:val="auto"/>
        </w:rPr>
        <w:t>, Dia &amp; Co</w:t>
      </w:r>
      <w:r>
        <w:rPr>
          <w:rFonts w:ascii="Arial" w:cs="Arial" w:eastAsia="Arial" w:hAnsi="Arial"/>
          <w:sz w:val="23"/>
          <w:szCs w:val="23"/>
          <w:color w:val="auto"/>
          <w:vertAlign w:val="superscript"/>
        </w:rPr>
        <w:t>®</w:t>
      </w:r>
      <w:r>
        <w:rPr>
          <w:rFonts w:ascii="Arial" w:cs="Arial" w:eastAsia="Arial" w:hAnsi="Arial"/>
          <w:sz w:val="17"/>
          <w:szCs w:val="17"/>
          <w:color w:val="auto"/>
        </w:rPr>
        <w:t>, Avenue</w:t>
      </w:r>
      <w:r>
        <w:rPr>
          <w:rFonts w:ascii="Arial" w:cs="Arial" w:eastAsia="Arial" w:hAnsi="Arial"/>
          <w:sz w:val="23"/>
          <w:szCs w:val="23"/>
          <w:color w:val="auto"/>
          <w:vertAlign w:val="superscript"/>
        </w:rPr>
        <w:t>®</w:t>
      </w:r>
      <w:r>
        <w:rPr>
          <w:rFonts w:ascii="Arial" w:cs="Arial" w:eastAsia="Arial" w:hAnsi="Arial"/>
          <w:sz w:val="17"/>
          <w:szCs w:val="17"/>
          <w:color w:val="auto"/>
        </w:rPr>
        <w:t>, Joe Browns®, FullBeauty</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and FullBeauty Outlet</w:t>
      </w:r>
      <w:r>
        <w:rPr>
          <w:rFonts w:ascii="Arial" w:cs="Arial" w:eastAsia="Arial" w:hAnsi="Arial"/>
          <w:sz w:val="23"/>
          <w:szCs w:val="23"/>
          <w:color w:val="auto"/>
          <w:vertAlign w:val="superscript"/>
        </w:rPr>
        <w:t>®</w:t>
      </w:r>
      <w:r>
        <w:rPr>
          <w:rFonts w:ascii="Arial" w:cs="Arial" w:eastAsia="Arial" w:hAnsi="Arial"/>
          <w:sz w:val="17"/>
          <w:szCs w:val="17"/>
          <w:color w:val="auto"/>
        </w:rPr>
        <w:t>, collectively offering more than 100 individual brands.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Measures</w:t>
      </w:r>
    </w:p>
    <w:p>
      <w:pPr>
        <w:spacing w:after="0" w:line="12"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In addition to financial measures prepared in accordance with U.S. generally accepted accounting principles (“GAAP”), this press release contains the presentation of Adjusted EBITDA, a non-GAAP financial measure. The presentation of this non-GAAP measure is not in accordance with GAAP and should not be considered superior to, or as a substitute for, net income (loss) or any other measure of performance derived in accordance with GAAP. In addition, not all companies calculate Adjusted EBITDA in the same manner and, accordingly, the non-GAAP measures presented in this release may not be comparable to similar Adjusted EBITDA measures used by other companies.</w:t>
      </w:r>
    </w:p>
    <w:p>
      <w:pPr>
        <w:spacing w:after="0" w:line="150"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As reported in this press release, Adjusted EBITDA was calculated for both DXL and FullBeauty as earnings for the last twelve months ended November 1, 2025 for DXL and October 25, 2025 for FullBeauty, before interest, taxes, depreciation, and amortization, and adjusted for certain non-recurring items. Each of DXL and FullBeauty makes adjustments in its calculation of Adjusted EBITDA. Specifically, Adjusted EBITDA for DXL reflects adjustments for the impairment of assets and the accrual for estimated non-recurring legal settlement costs, while Adjusted EBITDA for FullBeauty reflects adjustments for restructuring costs, acquisitions costs, and the accrual for estimated non-recurring legal settlement costs. We believe that providing Adjusted EBITA is useful to investors to evaluate the current performance of DXL and FullBeauty, on a combined basis, and is a key metric to measure profitability and economic productivity.</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 for Combined Financial Information</w:t>
      </w:r>
    </w:p>
    <w:p>
      <w:pPr>
        <w:spacing w:after="0" w:line="12"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The combined financial information presented in this press release is for illustrative purposes only and is not intended to represent “pro forma” financial information as defined by and required by Article 11 of Regulation S-X. The combined results represent a simple arithmetic summation of the historical financial results of DXL and FullBeauty for the respective periods indicated, without giving effect to any purchase accounting adjustments, financing adjustments, or other transaction-related adjustments that would be required in a compliant pro forma presentation. Consequently, this combined information does not purport to represent what the actual results of operations or financial condition of the combined company would have been had the transaction occurred on the dates indicated, nor does it purport to project the results of operations or financial condition of the combined company for any future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756920</wp:posOffset>
            </wp:positionV>
            <wp:extent cx="7174865" cy="406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20" w:top="1256" w:right="379" w:bottom="1440" w:gutter="0" w:footer="0" w:header="0"/>
        </w:sectPr>
      </w:pPr>
    </w:p>
    <w:bookmarkStart w:id="107" w:name="page108"/>
    <w:bookmarkEnd w:id="107"/>
    <w:p>
      <w:pPr>
        <w:ind w:right="500"/>
        <w:spacing w:after="0" w:line="358" w:lineRule="auto"/>
        <w:rPr>
          <w:sz w:val="20"/>
          <w:szCs w:val="20"/>
          <w:color w:val="auto"/>
        </w:rPr>
      </w:pPr>
      <w:r>
        <w:rPr>
          <w:rFonts w:ascii="Arial" w:cs="Arial" w:eastAsia="Arial" w:hAnsi="Arial"/>
          <w:sz w:val="17"/>
          <w:szCs w:val="17"/>
          <w:color w:val="auto"/>
        </w:rPr>
        <w:t xml:space="preserve">or as of any future date. Investors are cautioned not to place undue reliance on these combined figures as a predictor of future performance. </w:t>
      </w:r>
      <w:r>
        <w:rPr>
          <w:rFonts w:ascii="Arial" w:cs="Arial" w:eastAsia="Arial" w:hAnsi="Arial"/>
          <w:sz w:val="17"/>
          <w:szCs w:val="17"/>
          <w:b w:val="1"/>
          <w:bCs w:val="1"/>
          <w:color w:val="auto"/>
        </w:rPr>
        <w:t>Forward-Looking Statements</w:t>
      </w:r>
    </w:p>
    <w:p>
      <w:pPr>
        <w:spacing w:after="0" w:line="1"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In addition to historical information, this document contains forward-looking statements within the meaning of Section 27A of the Securities Act of 1933, as amended, and Section 21E of the Securities Exchange Act of 1934, as amended. These forward-looking statements, which are based on current expectations, estimates and projections about the industry and markets in which DXL and FullBeauty operate and beliefs of and assumptions made by DXL management and FullBeauty management, involve uncertainties that could significantly affect the financial results of DXL or FullBeauty or the combined company. Words such as “anticipates,” “believes,” “estimates,” “expects,” “intends,” “plans,” “seeks” and variations of such words and similar expressions are intended to identify such forward-looking statements, which generally are not historical in nature. With respect to any such forward-looking statements, DXL and FullBeauty each claim the protection provided for in the Private Securities Litigation Reform Act of 1995. Such forward-looking statements include, but are not limited to, statements about the benefits of the transaction involving DXL and FullBeauty, including future financial and operating results and the combined company’s plans, objectives, expectations and intentions. All statements that address operating performance, events or developments that we expect or anticipate will occur in the future — including statements relating to creating value for stockholders, integrating DXL and FullBeauty, and the expected timing for completing the merger</w:t>
      </w:r>
    </w:p>
    <w:p>
      <w:pPr>
        <w:spacing w:after="0" w:line="3"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 xml:space="preserve">— are forward-looking statements. These statements are not guarantees of future performance and involve certain risks, uncertainties and assumptions that are difficult to predict. Although we believe the expectations reflected in any forward-looking statements are based on reasonable assumptions, we can give no assurance that our expectations will be attained and therefore, actual outcomes and results may differ materially from what is expressed or forecasted in such forward-looking statements. For example, these forward-looking statements could be affected by factors including, without limitation, risks associated with the ability to consummate the merger and the timing of the closing of the merger; the conditions to the completion of the merger, including the receipt of DXL stockholder approval for the merger; the ability to successfully integrate and scale our operations and employees; the ability and timing to realize anticipated benefits and synergies of the merger; the potential impact of the announcement, pendency or consummation of the merger on relationships, including with employees, customers, credit rating agencies, suppliers and competitors; the ability to retain key personnel; the challenging macroeconomic environment, including volatility and changes in global trade policies, and the ability of the combined company to mitigate potential tariff exposure and maintain supply; the ability to achieve performance targets; changes in financial markets, interest rates and foreign currency exchange rates; negative rating agency actions; the outcome of any legal proceedings that may be instituted against DXL or FullBeauty; the risk that any announcements relating to the merger could have adverse effects on the market price of the common stock of DXL; diversion of management’s attention from ongoing business operations and opportunities; and those additional risks and factors detailed in the Proxy Statement referenced below when available and other reports filed with the SEC by DXL from time to time, including those discussed under the heading “Risk Factors” in DXL’s most recently filed Annual Report on Form 10-K. These documents are available through our website or through the SEC’s Electronic Data Gathering and Analysis Retrieval (EDGAR) system at </w:t>
      </w:r>
      <w:r>
        <w:rPr>
          <w:rFonts w:ascii="Arial" w:cs="Arial" w:eastAsia="Arial" w:hAnsi="Arial"/>
          <w:sz w:val="17"/>
          <w:szCs w:val="17"/>
          <w:i w:val="1"/>
          <w:iCs w:val="1"/>
          <w:color w:val="auto"/>
        </w:rPr>
        <w:t>http://www.sec.gov</w:t>
      </w:r>
      <w:r>
        <w:rPr>
          <w:rFonts w:ascii="Arial" w:cs="Arial" w:eastAsia="Arial" w:hAnsi="Arial"/>
          <w:sz w:val="17"/>
          <w:szCs w:val="17"/>
          <w:color w:val="auto"/>
        </w:rPr>
        <w:t>. Neither DXL nor FullBeauty undertakes any duty to update any forward-looking statements contained herein, whether as a</w:t>
      </w:r>
      <w:r>
        <w:rPr>
          <w:rFonts w:ascii="Arial" w:cs="Arial" w:eastAsia="Arial" w:hAnsi="Arial"/>
          <w:sz w:val="17"/>
          <w:szCs w:val="17"/>
          <w:i w:val="1"/>
          <w:iCs w:val="1"/>
          <w:color w:val="auto"/>
        </w:rPr>
        <w:t xml:space="preserve"> </w:t>
      </w:r>
      <w:r>
        <w:rPr>
          <w:rFonts w:ascii="Arial" w:cs="Arial" w:eastAsia="Arial" w:hAnsi="Arial"/>
          <w:sz w:val="17"/>
          <w:szCs w:val="17"/>
          <w:color w:val="auto"/>
        </w:rPr>
        <w:t>result of new information or developments, future events or otherwise, except as required by law. Readers are cautioned not to place undue reliance on any of these forward-looking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Information About the Merger and Where to Find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777875</wp:posOffset>
            </wp:positionV>
            <wp:extent cx="7174865" cy="406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256" w:right="339" w:bottom="1440" w:gutter="0" w:footer="0" w:header="0"/>
        </w:sectPr>
      </w:pPr>
    </w:p>
    <w:bookmarkStart w:id="108" w:name="page109"/>
    <w:bookmarkEnd w:id="108"/>
    <w:p>
      <w:pPr>
        <w:ind w:right="20"/>
        <w:spacing w:after="0"/>
        <w:rPr>
          <w:sz w:val="20"/>
          <w:szCs w:val="20"/>
          <w:color w:val="auto"/>
        </w:rPr>
      </w:pPr>
      <w:r>
        <w:rPr>
          <w:rFonts w:ascii="Arial" w:cs="Arial" w:eastAsia="Arial" w:hAnsi="Arial"/>
          <w:sz w:val="17"/>
          <w:szCs w:val="17"/>
          <w:color w:val="auto"/>
        </w:rPr>
        <w:t xml:space="preserve">In connection with the merger, DXL intends to file a proxy statement (the “Proxy Statement”), which will be distributed to the stockholders of DXL in connection with their votes on the issuance of DXL Common Stock in the merger. Investors and security holders are encouraged to read the Proxy Statement when it becomes available (and any other documents filed with the Securities and Exchange Commission (the “SEC”) in connection with the merger or incorporated by reference into the Proxy Statement) because such documents will contain important information regarding the merger and related matters. Investors and security holders will be able to obtain these documents, and any other documents DXL has filed with the SEC, free of charge at the SEC’s website,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or by accessing DXL’s website at </w:t>
      </w:r>
      <w:r>
        <w:rPr>
          <w:rFonts w:ascii="Arial" w:cs="Arial" w:eastAsia="Arial" w:hAnsi="Arial"/>
          <w:sz w:val="17"/>
          <w:szCs w:val="17"/>
          <w:i w:val="1"/>
          <w:iCs w:val="1"/>
          <w:color w:val="auto"/>
        </w:rPr>
        <w:t>investor.dxl.com</w:t>
      </w:r>
      <w:r>
        <w:rPr>
          <w:rFonts w:ascii="Arial" w:cs="Arial" w:eastAsia="Arial" w:hAnsi="Arial"/>
          <w:sz w:val="17"/>
          <w:szCs w:val="17"/>
          <w:color w:val="auto"/>
        </w:rPr>
        <w:t>. In addition, documents filed with the SEC by DXL will be available free of charge by writing to DXL at 555 Turnpike Street, Canton, Massachusetts 02021, Attention: Corporate Secretary.</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Participants in the Solicitation</w:t>
      </w:r>
    </w:p>
    <w:p>
      <w:pPr>
        <w:spacing w:after="0" w:line="12"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DXL and certain of its directors and executive officers may be deemed to be participants in the solicitation of proxies from the stockholders of DXL in connection with the merger. Information about DXL’s directors and executive officers, including a description of their direct or indirect interests, by security holdings or otherwise, is set forth in DXL’s proxy statement for its 2025 annual meeting of stockholders, which was filed with the SEC on June 30, 2025, including under the headings “Director Compensation,” “Compensation Discussion and Analysis,” “Executive Compensation,” “Security Ownership of Management.” To the extent holdings of DXL common stock by the directors and executive officers of DXL have changed from the amounts of DXL common stock held by such persons as reflected therein, such changes have been or will be reflected on Initial Statements of Beneficial Ownership of Securities on Form 3, Statements of Changes in Beneficial Ownership on Form 4 or Annual Statements of Changes in Beneficial Ownership of Securities on Form 5, in each case filed with the SEC, including the Form 4s filed by each of the non-executive directors on August 6, 2025, the Form 4s filed by each of the executive officers on September 3, 2025 and the Form 4s filed by each of the non-executive directors on November 5, 2025.</w:t>
      </w:r>
    </w:p>
    <w:p>
      <w:pPr>
        <w:spacing w:after="0" w:line="151"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FullBeauty and its chief executive officer may be deemed to be participants in the solicitation of proxies from the stockholders of DXL in connection with the Merger. Information about FullBeauty and its chief executive officer is available as Exhibit 99.9 to the Form 8-K filed on December 11, 2025.</w:t>
      </w:r>
    </w:p>
    <w:p>
      <w:pPr>
        <w:spacing w:after="0" w:line="338"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Additional information regarding the participants in the proxy solicitation and a description of their direct and indirect interests, by security holdings or otherwise, will be contained in the Proxy Statement regarding the merger when it becomes available. Free copies of this document may be obtained as described above.</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 Offer or Solicitation</w:t>
      </w:r>
    </w:p>
    <w:p>
      <w:pPr>
        <w:spacing w:after="0" w:line="12"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This communication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FullBeauty Brands Inc. Contact:</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ICR, Inc.</w:t>
      </w:r>
    </w:p>
    <w:p>
      <w:pPr>
        <w:spacing w:after="0"/>
        <w:rPr>
          <w:sz w:val="20"/>
          <w:szCs w:val="20"/>
          <w:color w:val="auto"/>
        </w:rPr>
      </w:pPr>
      <w:r>
        <w:rPr>
          <w:rFonts w:ascii="Arial" w:cs="Arial" w:eastAsia="Arial" w:hAnsi="Arial"/>
          <w:sz w:val="17"/>
          <w:szCs w:val="17"/>
          <w:color w:val="0563C1"/>
        </w:rPr>
        <w:t>FullBeauty@icrinc.com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886460</wp:posOffset>
            </wp:positionV>
            <wp:extent cx="7174865" cy="406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256" w:right="339" w:bottom="1440" w:gutter="0" w:footer="0" w:header="0"/>
        </w:sectPr>
      </w:pPr>
    </w:p>
    <w:bookmarkStart w:id="109" w:name="page110"/>
    <w:bookmarkEnd w:id="109"/>
    <w:p>
      <w:pPr>
        <w:spacing w:after="0"/>
        <w:rPr>
          <w:sz w:val="20"/>
          <w:szCs w:val="20"/>
          <w:color w:val="auto"/>
        </w:rPr>
      </w:pPr>
      <w:r>
        <w:rPr>
          <w:rFonts w:ascii="Arial" w:cs="Arial" w:eastAsia="Arial" w:hAnsi="Arial"/>
          <w:sz w:val="17"/>
          <w:szCs w:val="17"/>
          <w:b w:val="1"/>
          <w:bCs w:val="1"/>
          <w:color w:val="auto"/>
        </w:rPr>
        <w:t>Destination XL Group Investor Contact:</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Investor.relations@dxlg.com</w:t>
      </w:r>
    </w:p>
    <w:p>
      <w:pPr>
        <w:spacing w:after="0"/>
        <w:rPr>
          <w:sz w:val="20"/>
          <w:szCs w:val="20"/>
          <w:color w:val="auto"/>
        </w:rPr>
      </w:pPr>
      <w:r>
        <w:rPr>
          <w:rFonts w:ascii="Arial" w:cs="Arial" w:eastAsia="Arial" w:hAnsi="Arial"/>
          <w:sz w:val="17"/>
          <w:szCs w:val="17"/>
          <w:color w:val="auto"/>
        </w:rPr>
        <w:t>603-933-0541</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Destination XL Group Media Contact:</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Aaron Palash / Michael Reilly / Carly King</w:t>
      </w:r>
    </w:p>
    <w:p>
      <w:pPr>
        <w:spacing w:after="0" w:line="232" w:lineRule="auto"/>
        <w:rPr>
          <w:sz w:val="20"/>
          <w:szCs w:val="20"/>
          <w:color w:val="auto"/>
        </w:rPr>
      </w:pPr>
      <w:r>
        <w:rPr>
          <w:rFonts w:ascii="Arial" w:cs="Arial" w:eastAsia="Arial" w:hAnsi="Arial"/>
          <w:sz w:val="17"/>
          <w:szCs w:val="17"/>
          <w:color w:val="auto"/>
        </w:rPr>
        <w:t>Joele Frank, Wilkinson Brimmer Katcher</w:t>
      </w:r>
    </w:p>
    <w:p>
      <w:pPr>
        <w:spacing w:after="0"/>
        <w:rPr>
          <w:sz w:val="20"/>
          <w:szCs w:val="20"/>
          <w:color w:val="auto"/>
        </w:rPr>
      </w:pPr>
      <w:r>
        <w:rPr>
          <w:rFonts w:ascii="Arial" w:cs="Arial" w:eastAsia="Arial" w:hAnsi="Arial"/>
          <w:sz w:val="17"/>
          <w:szCs w:val="17"/>
          <w:color w:val="auto"/>
        </w:rPr>
        <w:t>(212) 355-4449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886460</wp:posOffset>
            </wp:positionV>
            <wp:extent cx="7174865" cy="406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139"/>
          </w:cols>
          <w:pgMar w:left="320" w:top="1254" w:right="1440" w:bottom="1440" w:gutter="0" w:footer="0" w:header="0"/>
        </w:sectPr>
      </w:pPr>
    </w:p>
    <w:bookmarkStart w:id="110" w:name="page111"/>
    <w:bookmarkEnd w:id="1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6816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16775" cy="4368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6"/>
          <w:szCs w:val="16"/>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-105410</wp:posOffset>
            </wp:positionV>
            <wp:extent cx="1148715" cy="69088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148715" cy="69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Dear DXL team,</w:t>
      </w:r>
    </w:p>
    <w:p>
      <w:pPr>
        <w:spacing w:after="0" w:line="183"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I am reaching out with some exciting news today about the future of Destination XL Group. Moments ago, we announced that DXL has entered a definitive agreement to combine with FullBeauty in a merger of equals that will create a scaled, category-defining retailer for inclusive apparel.</w:t>
      </w:r>
    </w:p>
    <w:p>
      <w:pPr>
        <w:spacing w:after="0" w:line="123"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We are thrilled to be joining forces with FullBeauty, a pioneer in size-inclusive fashions that has been serving the plus-size and Big + Tall apparel market since 1901. FullBeauty is a trusted resource for consumers seeking fashion inspiration, style advice and clothing tailored to their individual needs, offering inclusive apparel options from their premier portfolio of brands such as OneStopPlus®, Catherines®, WomanWithin® and KingSize®.</w:t>
      </w:r>
    </w:p>
    <w:p>
      <w:pPr>
        <w:spacing w:after="0" w:line="14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Their team shares our foundational commitment to providing an inclusive shopping experience to consumers that are underserved in the broader retail landscape. We are confident that together, we will be well-positioned to realize our vision for a more inclusive fashion industry.</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This transaction is about building a stronger engine for growth. Through this combination, DXL and FullBeauty together will have:</w:t>
      </w:r>
    </w:p>
    <w:p>
      <w:pPr>
        <w:spacing w:after="0" w:line="10" w:lineRule="exact"/>
        <w:rPr>
          <w:sz w:val="20"/>
          <w:szCs w:val="20"/>
          <w:color w:val="auto"/>
        </w:rPr>
      </w:pPr>
    </w:p>
    <w:p>
      <w:pPr>
        <w:ind w:left="740" w:right="80" w:hanging="370"/>
        <w:spacing w:after="0" w:line="231" w:lineRule="auto"/>
        <w:tabs>
          <w:tab w:leader="none" w:pos="740" w:val="left"/>
        </w:tabs>
        <w:numPr>
          <w:ilvl w:val="0"/>
          <w:numId w:val="129"/>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A comprehensive plus-size and Big + Tall offering: </w:t>
      </w:r>
      <w:r>
        <w:rPr>
          <w:rFonts w:ascii="Arial" w:cs="Arial" w:eastAsia="Arial" w:hAnsi="Arial"/>
          <w:sz w:val="17"/>
          <w:szCs w:val="17"/>
          <w:color w:val="auto"/>
        </w:rPr>
        <w:t>our combined company will be a leader in inclusive sizing apparel with one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industry’s broadest and most diverse portfolios – spanning value to premium across lifestyles and occasions;</w:t>
      </w:r>
    </w:p>
    <w:p>
      <w:pPr>
        <w:spacing w:after="0" w:line="1" w:lineRule="exact"/>
        <w:rPr>
          <w:rFonts w:ascii="Times New Roman" w:cs="Times New Roman" w:eastAsia="Times New Roman" w:hAnsi="Times New Roman"/>
          <w:sz w:val="17"/>
          <w:szCs w:val="17"/>
          <w:color w:val="auto"/>
        </w:rPr>
      </w:pPr>
    </w:p>
    <w:p>
      <w:pPr>
        <w:ind w:left="740" w:right="1100" w:hanging="370"/>
        <w:spacing w:after="0" w:line="231" w:lineRule="auto"/>
        <w:tabs>
          <w:tab w:leader="none" w:pos="740" w:val="left"/>
        </w:tabs>
        <w:numPr>
          <w:ilvl w:val="0"/>
          <w:numId w:val="129"/>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A powerful omni-channel and data-driven platform: </w:t>
      </w:r>
      <w:r>
        <w:rPr>
          <w:rFonts w:ascii="Arial" w:cs="Arial" w:eastAsia="Arial" w:hAnsi="Arial"/>
          <w:sz w:val="17"/>
          <w:szCs w:val="17"/>
          <w:color w:val="auto"/>
        </w:rPr>
        <w:t>including a leading direct-to-consumer presence with a database of</w:t>
      </w:r>
      <w:r>
        <w:rPr>
          <w:rFonts w:ascii="Arial" w:cs="Arial" w:eastAsia="Arial" w:hAnsi="Arial"/>
          <w:sz w:val="17"/>
          <w:szCs w:val="17"/>
          <w:b w:val="1"/>
          <w:bCs w:val="1"/>
          <w:color w:val="auto"/>
        </w:rPr>
        <w:t xml:space="preserve"> </w:t>
      </w:r>
      <w:r>
        <w:rPr>
          <w:rFonts w:ascii="Arial" w:cs="Arial" w:eastAsia="Arial" w:hAnsi="Arial"/>
          <w:sz w:val="17"/>
          <w:szCs w:val="17"/>
          <w:color w:val="auto"/>
        </w:rPr>
        <w:t>approximately 34 million households and 296 stores;</w:t>
      </w:r>
    </w:p>
    <w:p>
      <w:pPr>
        <w:spacing w:after="0" w:line="1" w:lineRule="exact"/>
        <w:rPr>
          <w:rFonts w:ascii="Times New Roman" w:cs="Times New Roman" w:eastAsia="Times New Roman" w:hAnsi="Times New Roman"/>
          <w:sz w:val="17"/>
          <w:szCs w:val="17"/>
          <w:color w:val="auto"/>
        </w:rPr>
      </w:pPr>
    </w:p>
    <w:p>
      <w:pPr>
        <w:ind w:left="740" w:right="560" w:hanging="370"/>
        <w:spacing w:after="0" w:line="231" w:lineRule="auto"/>
        <w:tabs>
          <w:tab w:leader="none" w:pos="740" w:val="left"/>
        </w:tabs>
        <w:numPr>
          <w:ilvl w:val="0"/>
          <w:numId w:val="129"/>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Accelerated growth opportunities: </w:t>
      </w:r>
      <w:r>
        <w:rPr>
          <w:rFonts w:ascii="Arial" w:cs="Arial" w:eastAsia="Arial" w:hAnsi="Arial"/>
          <w:sz w:val="17"/>
          <w:szCs w:val="17"/>
          <w:color w:val="auto"/>
        </w:rPr>
        <w:t>leveraging our combined depth of expertise across gender, assortment, brands, lifestyle and</w:t>
      </w:r>
      <w:r>
        <w:rPr>
          <w:rFonts w:ascii="Arial" w:cs="Arial" w:eastAsia="Arial" w:hAnsi="Arial"/>
          <w:sz w:val="17"/>
          <w:szCs w:val="17"/>
          <w:b w:val="1"/>
          <w:bCs w:val="1"/>
          <w:color w:val="auto"/>
        </w:rPr>
        <w:t xml:space="preserve"> </w:t>
      </w:r>
      <w:r>
        <w:rPr>
          <w:rFonts w:ascii="Arial" w:cs="Arial" w:eastAsia="Arial" w:hAnsi="Arial"/>
          <w:sz w:val="17"/>
          <w:szCs w:val="17"/>
          <w:color w:val="auto"/>
        </w:rPr>
        <w:t>distribution channels to offer wide product variety at scale and create value across our highly complementary platforms;</w:t>
      </w:r>
    </w:p>
    <w:p>
      <w:pPr>
        <w:spacing w:after="0" w:line="1" w:lineRule="exact"/>
        <w:rPr>
          <w:rFonts w:ascii="Times New Roman" w:cs="Times New Roman" w:eastAsia="Times New Roman" w:hAnsi="Times New Roman"/>
          <w:sz w:val="17"/>
          <w:szCs w:val="17"/>
          <w:color w:val="auto"/>
        </w:rPr>
      </w:pPr>
    </w:p>
    <w:p>
      <w:pPr>
        <w:ind w:left="740" w:right="280" w:hanging="370"/>
        <w:spacing w:after="0" w:line="231" w:lineRule="auto"/>
        <w:tabs>
          <w:tab w:leader="none" w:pos="740" w:val="left"/>
        </w:tabs>
        <w:numPr>
          <w:ilvl w:val="0"/>
          <w:numId w:val="129"/>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Accelerated growth opportunities as one of the largest omni-channel inclusive sizing retailers: </w:t>
      </w:r>
      <w:r>
        <w:rPr>
          <w:rFonts w:ascii="Arial" w:cs="Arial" w:eastAsia="Arial" w:hAnsi="Arial"/>
          <w:sz w:val="17"/>
          <w:szCs w:val="17"/>
          <w:color w:val="auto"/>
        </w:rPr>
        <w:t>enabling more opportunities for</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as part of a larger organization; and</w:t>
      </w:r>
    </w:p>
    <w:p>
      <w:pPr>
        <w:spacing w:after="0" w:line="1" w:lineRule="exact"/>
        <w:rPr>
          <w:rFonts w:ascii="Times New Roman" w:cs="Times New Roman" w:eastAsia="Times New Roman" w:hAnsi="Times New Roman"/>
          <w:sz w:val="17"/>
          <w:szCs w:val="17"/>
          <w:color w:val="auto"/>
        </w:rPr>
      </w:pPr>
    </w:p>
    <w:p>
      <w:pPr>
        <w:ind w:left="740" w:right="320" w:hanging="370"/>
        <w:spacing w:after="0" w:line="252" w:lineRule="auto"/>
        <w:tabs>
          <w:tab w:leader="none" w:pos="740" w:val="left"/>
        </w:tabs>
        <w:numPr>
          <w:ilvl w:val="0"/>
          <w:numId w:val="129"/>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Enhanced scale, profitability and financial flexibility: </w:t>
      </w:r>
      <w:r>
        <w:rPr>
          <w:rFonts w:ascii="Arial" w:cs="Arial" w:eastAsia="Arial" w:hAnsi="Arial"/>
          <w:sz w:val="17"/>
          <w:szCs w:val="17"/>
          <w:color w:val="auto"/>
        </w:rPr>
        <w:t>to power investments in our business as we continue to execute against our</w:t>
      </w:r>
      <w:r>
        <w:rPr>
          <w:rFonts w:ascii="Arial" w:cs="Arial" w:eastAsia="Arial" w:hAnsi="Arial"/>
          <w:sz w:val="17"/>
          <w:szCs w:val="17"/>
          <w:b w:val="1"/>
          <w:bCs w:val="1"/>
          <w:color w:val="auto"/>
        </w:rPr>
        <w:t xml:space="preserve"> </w:t>
      </w:r>
      <w:r>
        <w:rPr>
          <w:rFonts w:ascii="Arial" w:cs="Arial" w:eastAsia="Arial" w:hAnsi="Arial"/>
          <w:sz w:val="17"/>
          <w:szCs w:val="17"/>
          <w:color w:val="auto"/>
        </w:rPr>
        <w:t>strategic priorities.</w:t>
      </w:r>
    </w:p>
    <w:p>
      <w:pPr>
        <w:spacing w:after="0" w:line="140" w:lineRule="exact"/>
        <w:rPr>
          <w:sz w:val="20"/>
          <w:szCs w:val="20"/>
          <w:color w:val="auto"/>
        </w:rPr>
      </w:pPr>
    </w:p>
    <w:p>
      <w:pPr>
        <w:ind w:right="120"/>
        <w:spacing w:after="0" w:line="283" w:lineRule="auto"/>
        <w:rPr>
          <w:sz w:val="20"/>
          <w:szCs w:val="20"/>
          <w:color w:val="auto"/>
        </w:rPr>
      </w:pPr>
      <w:r>
        <w:rPr>
          <w:rFonts w:ascii="Arial" w:cs="Arial" w:eastAsia="Arial" w:hAnsi="Arial"/>
          <w:sz w:val="17"/>
          <w:szCs w:val="17"/>
          <w:color w:val="auto"/>
        </w:rPr>
        <w:t xml:space="preserve">While we are announcing the transaction today, we expect the transaction to close in the first half of fiscal 2026, subject to customary closing conditions and approval by DXL shareholders. Between now and then, we will remain separate companies. </w:t>
      </w:r>
      <w:r>
        <w:rPr>
          <w:rFonts w:ascii="Arial" w:cs="Arial" w:eastAsia="Arial" w:hAnsi="Arial"/>
          <w:sz w:val="17"/>
          <w:szCs w:val="17"/>
          <w:b w:val="1"/>
          <w:bCs w:val="1"/>
          <w:color w:val="auto"/>
        </w:rPr>
        <w:t>It is business as usual for all of us.</w:t>
      </w:r>
    </w:p>
    <w:p>
      <w:pPr>
        <w:spacing w:after="0" w:line="105"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b w:val="1"/>
          <w:bCs w:val="1"/>
          <w:color w:val="auto"/>
        </w:rPr>
        <w:t xml:space="preserve">In terms of what this means for all of you today: </w:t>
      </w:r>
      <w:r>
        <w:rPr>
          <w:rFonts w:ascii="Arial" w:cs="Arial" w:eastAsia="Arial" w:hAnsi="Arial"/>
          <w:sz w:val="17"/>
          <w:szCs w:val="17"/>
          <w:color w:val="auto"/>
        </w:rPr>
        <w:t>your day-to-day roles and responsibilities remain the same, and we are counting on everyone</w:t>
      </w:r>
      <w:r>
        <w:rPr>
          <w:rFonts w:ascii="Arial" w:cs="Arial" w:eastAsia="Arial" w:hAnsi="Arial"/>
          <w:sz w:val="17"/>
          <w:szCs w:val="17"/>
          <w:b w:val="1"/>
          <w:bCs w:val="1"/>
          <w:color w:val="auto"/>
        </w:rPr>
        <w:t xml:space="preserve"> </w:t>
      </w:r>
      <w:r>
        <w:rPr>
          <w:rFonts w:ascii="Arial" w:cs="Arial" w:eastAsia="Arial" w:hAnsi="Arial"/>
          <w:sz w:val="17"/>
          <w:szCs w:val="17"/>
          <w:color w:val="auto"/>
        </w:rPr>
        <w:t>to continue providing our customers with the same outstanding service as always.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1217930</wp:posOffset>
            </wp:positionV>
            <wp:extent cx="7174865" cy="4064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691" w:right="339" w:bottom="1440" w:gutter="0" w:footer="0" w:header="0"/>
        </w:sectPr>
      </w:pPr>
    </w:p>
    <w:bookmarkStart w:id="127" w:name="page128"/>
    <w:bookmarkEnd w:id="127"/>
    <w:p>
      <w:pPr>
        <w:spacing w:after="0" w:line="195"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As we bring our companies together, we will have a dedicated team focused on integration planning. While there are many details that will be sorted out over the coming months, there are several important things we can tell you about today.</w:t>
      </w:r>
    </w:p>
    <w:p>
      <w:pPr>
        <w:spacing w:after="0" w:line="123"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The combined company’s headquarters will remain in Canton, and the combined company expects to maintain a significant presence where FullBeauty currently has operations, such as in New York, Indianapolis and El Paso. Jim Fogarty, current CEO of FullBeauty, will serve as Chief Executive Officer of the combined company and Peter Stratton, current CFO of DXL, will serve as Chief Financial Officer. My focus remains on leading our company and serving our customers between now and closing.</w:t>
      </w:r>
    </w:p>
    <w:p>
      <w:pPr>
        <w:spacing w:after="0" w:line="145"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We will continue to keep you informed as we move forward, starting with a Town Hall tomorrow morning at 9:00am ET. I encourage you all to join to meet Jim and hear more about why we are so excited to be uniting these two great companies. In the meantime, the attached set of FAQs includes answers to questions we expect will be top of mind today.</w:t>
      </w:r>
    </w:p>
    <w:p>
      <w:pPr>
        <w:spacing w:after="0" w:line="141"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This transaction is an amazing milestone for our company, and we would not have been able to reach this point without all of your hard work and invaluable contributions to DXL. Thank you for all that you do to help us deliver The DXL Factor for each and every customer we serve. Together, we have built a remarkable business with a bright future ahead, and I know the best is still to come.</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Onward and Upward!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128270</wp:posOffset>
            </wp:positionV>
            <wp:extent cx="855980" cy="3302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55980" cy="330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Harvey Kanter</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1059180</wp:posOffset>
            </wp:positionV>
            <wp:extent cx="7174865" cy="4064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238125</wp:posOffset>
            </wp:positionV>
            <wp:extent cx="4476115" cy="41275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4476115" cy="412750"/>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28" w:name="page129"/>
    <w:bookmarkEnd w:id="128"/>
    <w:p>
      <w:pPr>
        <w:spacing w:after="0" w:line="379" w:lineRule="exact"/>
        <w:rPr>
          <w:sz w:val="20"/>
          <w:szCs w:val="20"/>
          <w:color w:val="auto"/>
        </w:rPr>
      </w:pPr>
    </w:p>
    <w:p>
      <w:pPr>
        <w:jc w:val="center"/>
        <w:ind w:right="-24"/>
        <w:spacing w:after="0"/>
        <w:rPr>
          <w:sz w:val="20"/>
          <w:szCs w:val="20"/>
          <w:color w:val="auto"/>
        </w:rPr>
      </w:pPr>
      <w:r>
        <w:rPr>
          <w:rFonts w:ascii="Arial" w:cs="Arial" w:eastAsia="Arial" w:hAnsi="Arial"/>
          <w:sz w:val="19"/>
          <w:szCs w:val="19"/>
          <w:b w:val="1"/>
          <w:bCs w:val="1"/>
          <w:color w:val="auto"/>
        </w:rPr>
        <w:t>Frequently Asked Questions</w:t>
      </w:r>
    </w:p>
    <w:p>
      <w:pPr>
        <w:spacing w:after="0" w:line="186" w:lineRule="exact"/>
        <w:rPr>
          <w:sz w:val="20"/>
          <w:szCs w:val="20"/>
          <w:color w:val="auto"/>
        </w:rPr>
      </w:pPr>
    </w:p>
    <w:p>
      <w:pPr>
        <w:ind w:left="365" w:hanging="365"/>
        <w:spacing w:after="0"/>
        <w:tabs>
          <w:tab w:leader="none" w:pos="365" w:val="left"/>
        </w:tabs>
        <w:numPr>
          <w:ilvl w:val="0"/>
          <w:numId w:val="130"/>
        </w:numPr>
        <w:rPr>
          <w:rFonts w:ascii="Calibri" w:cs="Calibri" w:eastAsia="Calibri" w:hAnsi="Calibri"/>
          <w:sz w:val="17"/>
          <w:szCs w:val="17"/>
          <w:b w:val="1"/>
          <w:bCs w:val="1"/>
          <w:color w:val="auto"/>
        </w:rPr>
      </w:pPr>
      <w:r>
        <w:rPr>
          <w:rFonts w:ascii="Arial" w:cs="Arial" w:eastAsia="Arial" w:hAnsi="Arial"/>
          <w:sz w:val="17"/>
          <w:szCs w:val="17"/>
          <w:b w:val="1"/>
          <w:bCs w:val="1"/>
          <w:color w:val="auto"/>
        </w:rPr>
        <w:t>What was announced?</w:t>
      </w:r>
    </w:p>
    <w:p>
      <w:pPr>
        <w:spacing w:after="0" w:line="31" w:lineRule="exact"/>
        <w:rPr>
          <w:rFonts w:ascii="Calibri" w:cs="Calibri" w:eastAsia="Calibri" w:hAnsi="Calibri"/>
          <w:sz w:val="17"/>
          <w:szCs w:val="17"/>
          <w:b w:val="1"/>
          <w:bCs w:val="1"/>
          <w:color w:val="auto"/>
        </w:rPr>
      </w:pPr>
    </w:p>
    <w:p>
      <w:pPr>
        <w:ind w:left="745" w:right="360" w:hanging="370"/>
        <w:spacing w:after="0" w:line="234" w:lineRule="auto"/>
        <w:tabs>
          <w:tab w:leader="none" w:pos="745" w:val="left"/>
        </w:tabs>
        <w:numPr>
          <w:ilvl w:val="1"/>
          <w:numId w:val="130"/>
        </w:numPr>
        <w:rPr>
          <w:rFonts w:ascii="Times New Roman" w:cs="Times New Roman" w:eastAsia="Times New Roman" w:hAnsi="Times New Roman"/>
          <w:sz w:val="17"/>
          <w:szCs w:val="17"/>
          <w:color w:val="auto"/>
        </w:rPr>
      </w:pPr>
      <w:r>
        <w:rPr>
          <w:rFonts w:ascii="Arial" w:cs="Arial" w:eastAsia="Arial" w:hAnsi="Arial"/>
          <w:sz w:val="17"/>
          <w:szCs w:val="17"/>
          <w:color w:val="auto"/>
        </w:rPr>
        <w:t>Destination XL Group and FullBeauty have agreed to combine in a merger of equals to create a scaled, category-defining retailer for inclusive apparel.</w:t>
      </w:r>
    </w:p>
    <w:p>
      <w:pPr>
        <w:ind w:left="745" w:right="340" w:hanging="370"/>
        <w:spacing w:after="0" w:line="231" w:lineRule="auto"/>
        <w:tabs>
          <w:tab w:leader="none" w:pos="745" w:val="left"/>
        </w:tabs>
        <w:numPr>
          <w:ilvl w:val="1"/>
          <w:numId w:val="130"/>
        </w:numPr>
        <w:rPr>
          <w:rFonts w:ascii="Times New Roman" w:cs="Times New Roman" w:eastAsia="Times New Roman" w:hAnsi="Times New Roman"/>
          <w:sz w:val="17"/>
          <w:szCs w:val="17"/>
          <w:color w:val="auto"/>
        </w:rPr>
      </w:pPr>
      <w:r>
        <w:rPr>
          <w:rFonts w:ascii="Arial" w:cs="Arial" w:eastAsia="Arial" w:hAnsi="Arial"/>
          <w:sz w:val="17"/>
          <w:szCs w:val="17"/>
          <w:color w:val="auto"/>
        </w:rPr>
        <w:t>The combination will bring together complementary brands, channels and capabilities to better serve plus-size women and Big + Tall men, while creating a larger, stronger and more flexible public company positioned to invest in long-term growth.</w:t>
      </w:r>
    </w:p>
    <w:p>
      <w:pPr>
        <w:spacing w:after="0" w:line="1" w:lineRule="exact"/>
        <w:rPr>
          <w:rFonts w:ascii="Times New Roman" w:cs="Times New Roman" w:eastAsia="Times New Roman" w:hAnsi="Times New Roman"/>
          <w:sz w:val="17"/>
          <w:szCs w:val="17"/>
          <w:color w:val="auto"/>
        </w:rPr>
      </w:pPr>
    </w:p>
    <w:p>
      <w:pPr>
        <w:ind w:left="745" w:right="460" w:hanging="370"/>
        <w:spacing w:after="0" w:line="231" w:lineRule="auto"/>
        <w:tabs>
          <w:tab w:leader="none" w:pos="745" w:val="left"/>
        </w:tabs>
        <w:numPr>
          <w:ilvl w:val="1"/>
          <w:numId w:val="130"/>
        </w:numPr>
        <w:rPr>
          <w:rFonts w:ascii="Times New Roman" w:cs="Times New Roman" w:eastAsia="Times New Roman" w:hAnsi="Times New Roman"/>
          <w:sz w:val="17"/>
          <w:szCs w:val="17"/>
          <w:color w:val="auto"/>
        </w:rPr>
      </w:pPr>
      <w:r>
        <w:rPr>
          <w:rFonts w:ascii="Arial" w:cs="Arial" w:eastAsia="Arial" w:hAnsi="Arial"/>
          <w:sz w:val="17"/>
          <w:szCs w:val="17"/>
          <w:color w:val="auto"/>
        </w:rPr>
        <w:t>The combined company will be a leader in inclusive sizing apparel with one of the industry’s broadest and most diverse portfolios – spanning value to premium across lifestyles and occasions.</w:t>
      </w:r>
    </w:p>
    <w:p>
      <w:pPr>
        <w:spacing w:after="0" w:line="1" w:lineRule="exact"/>
        <w:rPr>
          <w:rFonts w:ascii="Times New Roman" w:cs="Times New Roman" w:eastAsia="Times New Roman" w:hAnsi="Times New Roman"/>
          <w:sz w:val="17"/>
          <w:szCs w:val="17"/>
          <w:color w:val="auto"/>
        </w:rPr>
      </w:pPr>
    </w:p>
    <w:p>
      <w:pPr>
        <w:ind w:left="745" w:right="640" w:hanging="370"/>
        <w:spacing w:after="0" w:line="252" w:lineRule="auto"/>
        <w:tabs>
          <w:tab w:leader="none" w:pos="745" w:val="left"/>
        </w:tabs>
        <w:numPr>
          <w:ilvl w:val="1"/>
          <w:numId w:val="130"/>
        </w:numPr>
        <w:rPr>
          <w:rFonts w:ascii="Times New Roman" w:cs="Times New Roman" w:eastAsia="Times New Roman" w:hAnsi="Times New Roman"/>
          <w:sz w:val="17"/>
          <w:szCs w:val="17"/>
          <w:color w:val="auto"/>
        </w:rPr>
      </w:pPr>
      <w:r>
        <w:rPr>
          <w:rFonts w:ascii="Arial" w:cs="Arial" w:eastAsia="Arial" w:hAnsi="Arial"/>
          <w:sz w:val="17"/>
          <w:szCs w:val="17"/>
          <w:color w:val="auto"/>
        </w:rPr>
        <w:t>By leveraging our complementary strengths, the combined company will be positioned to accelerate growth, improve operational efficiency and deliver an enhanced customer experience through a comprehensive, innovative multi-channel strategy.</w:t>
      </w:r>
    </w:p>
    <w:p>
      <w:pPr>
        <w:spacing w:after="0" w:line="138" w:lineRule="exact"/>
        <w:rPr>
          <w:rFonts w:ascii="Times New Roman" w:cs="Times New Roman" w:eastAsia="Times New Roman" w:hAnsi="Times New Roman"/>
          <w:sz w:val="17"/>
          <w:szCs w:val="17"/>
          <w:color w:val="auto"/>
        </w:rPr>
      </w:pPr>
    </w:p>
    <w:p>
      <w:pPr>
        <w:ind w:left="365" w:hanging="365"/>
        <w:spacing w:after="0"/>
        <w:tabs>
          <w:tab w:leader="none" w:pos="365" w:val="left"/>
        </w:tabs>
        <w:numPr>
          <w:ilvl w:val="0"/>
          <w:numId w:val="130"/>
        </w:numPr>
        <w:rPr>
          <w:rFonts w:ascii="Calibri" w:cs="Calibri" w:eastAsia="Calibri" w:hAnsi="Calibri"/>
          <w:sz w:val="17"/>
          <w:szCs w:val="17"/>
          <w:b w:val="1"/>
          <w:bCs w:val="1"/>
          <w:color w:val="auto"/>
        </w:rPr>
      </w:pPr>
      <w:r>
        <w:rPr>
          <w:rFonts w:ascii="Arial" w:cs="Arial" w:eastAsia="Arial" w:hAnsi="Arial"/>
          <w:sz w:val="17"/>
          <w:szCs w:val="17"/>
          <w:b w:val="1"/>
          <w:bCs w:val="1"/>
          <w:color w:val="auto"/>
        </w:rPr>
        <w:t>Who is FullBeauty Brands?</w:t>
      </w:r>
    </w:p>
    <w:p>
      <w:pPr>
        <w:spacing w:after="0" w:line="31" w:lineRule="exact"/>
        <w:rPr>
          <w:rFonts w:ascii="Calibri" w:cs="Calibri" w:eastAsia="Calibri" w:hAnsi="Calibri"/>
          <w:sz w:val="17"/>
          <w:szCs w:val="17"/>
          <w:b w:val="1"/>
          <w:bCs w:val="1"/>
          <w:color w:val="auto"/>
        </w:rPr>
      </w:pPr>
    </w:p>
    <w:p>
      <w:pPr>
        <w:ind w:left="745" w:right="40" w:hanging="370"/>
        <w:spacing w:after="0" w:line="234" w:lineRule="auto"/>
        <w:tabs>
          <w:tab w:leader="none" w:pos="745" w:val="left"/>
        </w:tabs>
        <w:numPr>
          <w:ilvl w:val="1"/>
          <w:numId w:val="130"/>
        </w:numPr>
        <w:rPr>
          <w:rFonts w:ascii="Times New Roman" w:cs="Times New Roman" w:eastAsia="Times New Roman" w:hAnsi="Times New Roman"/>
          <w:sz w:val="17"/>
          <w:szCs w:val="17"/>
          <w:color w:val="auto"/>
        </w:rPr>
      </w:pPr>
      <w:r>
        <w:rPr>
          <w:rFonts w:ascii="Arial" w:cs="Arial" w:eastAsia="Arial" w:hAnsi="Arial"/>
          <w:sz w:val="17"/>
          <w:szCs w:val="17"/>
          <w:color w:val="auto"/>
        </w:rPr>
        <w:t>FullBeauty Brands is an industry leading-company in extended sizes and size inclusive fashions for plus-size women and Big + Tall men seeking fashion inspiration, style advice and clothing tailored to their individual needs.</w:t>
      </w:r>
    </w:p>
    <w:p>
      <w:pPr>
        <w:ind w:left="745" w:right="200" w:hanging="370"/>
        <w:spacing w:after="0" w:line="231" w:lineRule="auto"/>
        <w:tabs>
          <w:tab w:leader="none" w:pos="745" w:val="left"/>
        </w:tabs>
        <w:numPr>
          <w:ilvl w:val="1"/>
          <w:numId w:val="130"/>
        </w:numPr>
        <w:rPr>
          <w:rFonts w:ascii="Times New Roman" w:cs="Times New Roman" w:eastAsia="Times New Roman" w:hAnsi="Times New Roman"/>
          <w:sz w:val="17"/>
          <w:szCs w:val="17"/>
          <w:color w:val="auto"/>
        </w:rPr>
      </w:pPr>
      <w:r>
        <w:rPr>
          <w:rFonts w:ascii="Arial" w:cs="Arial" w:eastAsia="Arial" w:hAnsi="Arial"/>
          <w:sz w:val="17"/>
          <w:szCs w:val="17"/>
          <w:color w:val="auto"/>
        </w:rPr>
        <w:t>They have a large family of premier fashion websites including OneStopPlus®, the world’s first and largest online shopping destination for plus-size women, Catherines®, WomanWithin®, Jessica London®, KingSize® and more.</w:t>
      </w:r>
    </w:p>
    <w:p>
      <w:pPr>
        <w:spacing w:after="0" w:line="1" w:lineRule="exact"/>
        <w:rPr>
          <w:rFonts w:ascii="Times New Roman" w:cs="Times New Roman" w:eastAsia="Times New Roman" w:hAnsi="Times New Roman"/>
          <w:sz w:val="17"/>
          <w:szCs w:val="17"/>
          <w:color w:val="auto"/>
        </w:rPr>
      </w:pPr>
    </w:p>
    <w:p>
      <w:pPr>
        <w:ind w:left="745" w:hanging="370"/>
        <w:spacing w:after="0"/>
        <w:tabs>
          <w:tab w:leader="none" w:pos="745" w:val="left"/>
        </w:tabs>
        <w:numPr>
          <w:ilvl w:val="1"/>
          <w:numId w:val="130"/>
        </w:numPr>
        <w:rPr>
          <w:rFonts w:ascii="Times New Roman" w:cs="Times New Roman" w:eastAsia="Times New Roman" w:hAnsi="Times New Roman"/>
          <w:sz w:val="17"/>
          <w:szCs w:val="17"/>
          <w:color w:val="auto"/>
        </w:rPr>
      </w:pPr>
      <w:r>
        <w:rPr>
          <w:rFonts w:ascii="Arial" w:cs="Arial" w:eastAsia="Arial" w:hAnsi="Arial"/>
          <w:sz w:val="17"/>
          <w:szCs w:val="17"/>
          <w:color w:val="auto"/>
        </w:rPr>
        <w:t>FullBeauty Brands has deep expertise across gender, assortment, brands, lifestyle and distribution channels.</w:t>
      </w:r>
    </w:p>
    <w:p>
      <w:pPr>
        <w:spacing w:after="0" w:line="176" w:lineRule="exact"/>
        <w:rPr>
          <w:rFonts w:ascii="Times New Roman" w:cs="Times New Roman" w:eastAsia="Times New Roman" w:hAnsi="Times New Roman"/>
          <w:sz w:val="17"/>
          <w:szCs w:val="17"/>
          <w:color w:val="auto"/>
        </w:rPr>
      </w:pPr>
    </w:p>
    <w:p>
      <w:pPr>
        <w:ind w:left="365" w:hanging="365"/>
        <w:spacing w:after="0"/>
        <w:tabs>
          <w:tab w:leader="none" w:pos="365" w:val="left"/>
        </w:tabs>
        <w:numPr>
          <w:ilvl w:val="0"/>
          <w:numId w:val="130"/>
        </w:numPr>
        <w:rPr>
          <w:rFonts w:ascii="Calibri" w:cs="Calibri" w:eastAsia="Calibri" w:hAnsi="Calibri"/>
          <w:sz w:val="17"/>
          <w:szCs w:val="17"/>
          <w:b w:val="1"/>
          <w:bCs w:val="1"/>
          <w:color w:val="auto"/>
        </w:rPr>
      </w:pPr>
      <w:r>
        <w:rPr>
          <w:rFonts w:ascii="Arial" w:cs="Arial" w:eastAsia="Arial" w:hAnsi="Arial"/>
          <w:sz w:val="17"/>
          <w:szCs w:val="17"/>
          <w:b w:val="1"/>
          <w:bCs w:val="1"/>
          <w:color w:val="auto"/>
        </w:rPr>
        <w:t>Why are they the right partner for DXL?</w:t>
      </w:r>
    </w:p>
    <w:p>
      <w:pPr>
        <w:spacing w:after="0" w:line="31" w:lineRule="exact"/>
        <w:rPr>
          <w:rFonts w:ascii="Calibri" w:cs="Calibri" w:eastAsia="Calibri" w:hAnsi="Calibri"/>
          <w:sz w:val="17"/>
          <w:szCs w:val="17"/>
          <w:b w:val="1"/>
          <w:bCs w:val="1"/>
          <w:color w:val="auto"/>
        </w:rPr>
      </w:pPr>
    </w:p>
    <w:p>
      <w:pPr>
        <w:ind w:left="745" w:hanging="370"/>
        <w:spacing w:after="0"/>
        <w:tabs>
          <w:tab w:leader="none" w:pos="745" w:val="left"/>
        </w:tabs>
        <w:numPr>
          <w:ilvl w:val="1"/>
          <w:numId w:val="130"/>
        </w:numPr>
        <w:rPr>
          <w:rFonts w:ascii="Times New Roman" w:cs="Times New Roman" w:eastAsia="Times New Roman" w:hAnsi="Times New Roman"/>
          <w:sz w:val="17"/>
          <w:szCs w:val="17"/>
          <w:color w:val="auto"/>
        </w:rPr>
      </w:pPr>
      <w:r>
        <w:rPr>
          <w:rFonts w:ascii="Arial" w:cs="Arial" w:eastAsia="Arial" w:hAnsi="Arial"/>
          <w:sz w:val="17"/>
          <w:szCs w:val="17"/>
          <w:color w:val="auto"/>
        </w:rPr>
        <w:t>FullBeauty Brands has deep expertise across gender, assortment, brands, lifestyle and distribution channels.</w:t>
      </w:r>
    </w:p>
    <w:p>
      <w:pPr>
        <w:spacing w:after="0" w:line="8" w:lineRule="exact"/>
        <w:rPr>
          <w:rFonts w:ascii="Times New Roman" w:cs="Times New Roman" w:eastAsia="Times New Roman" w:hAnsi="Times New Roman"/>
          <w:sz w:val="17"/>
          <w:szCs w:val="17"/>
          <w:color w:val="auto"/>
        </w:rPr>
      </w:pPr>
    </w:p>
    <w:p>
      <w:pPr>
        <w:ind w:left="745" w:hanging="370"/>
        <w:spacing w:after="0" w:line="232" w:lineRule="auto"/>
        <w:tabs>
          <w:tab w:leader="none" w:pos="745" w:val="left"/>
        </w:tabs>
        <w:numPr>
          <w:ilvl w:val="1"/>
          <w:numId w:val="130"/>
        </w:numPr>
        <w:rPr>
          <w:rFonts w:ascii="Times New Roman" w:cs="Times New Roman" w:eastAsia="Times New Roman" w:hAnsi="Times New Roman"/>
          <w:sz w:val="17"/>
          <w:szCs w:val="17"/>
          <w:color w:val="auto"/>
        </w:rPr>
      </w:pPr>
      <w:r>
        <w:rPr>
          <w:rFonts w:ascii="Arial" w:cs="Arial" w:eastAsia="Arial" w:hAnsi="Arial"/>
          <w:sz w:val="17"/>
          <w:szCs w:val="17"/>
          <w:color w:val="auto"/>
        </w:rPr>
        <w:t>The combined company will unite complementary brands, channels and capabilities to better serve plus-size women and Big + Tall men as a larger, stronger and more flexible public company positioned for long-term growth. The combined company will also be positioned to accelerate growth, improve operational efficiency and deliver an enhanced customer experience through a comprehensive, innovative multi-channel strategy.</w:t>
      </w:r>
    </w:p>
    <w:p>
      <w:pPr>
        <w:ind w:left="745" w:right="340" w:hanging="370"/>
        <w:spacing w:after="0" w:line="242" w:lineRule="auto"/>
        <w:tabs>
          <w:tab w:leader="none" w:pos="745" w:val="left"/>
        </w:tabs>
        <w:numPr>
          <w:ilvl w:val="1"/>
          <w:numId w:val="130"/>
        </w:numPr>
        <w:rPr>
          <w:rFonts w:ascii="Times New Roman" w:cs="Times New Roman" w:eastAsia="Times New Roman" w:hAnsi="Times New Roman"/>
          <w:sz w:val="17"/>
          <w:szCs w:val="17"/>
          <w:color w:val="auto"/>
        </w:rPr>
      </w:pPr>
      <w:r>
        <w:rPr>
          <w:rFonts w:ascii="Arial" w:cs="Arial" w:eastAsia="Arial" w:hAnsi="Arial"/>
          <w:sz w:val="17"/>
          <w:szCs w:val="17"/>
          <w:color w:val="auto"/>
        </w:rPr>
        <w:t>In short, together with FullBeauty, we will be better able to serve our customers across the plus-size and Big + Tall apparel market, providing them more brands, more styles and more options whether they shop in stores or online through our powerful omni-channel platform.</w:t>
      </w:r>
    </w:p>
    <w:p>
      <w:pPr>
        <w:spacing w:after="0" w:line="146" w:lineRule="exact"/>
        <w:rPr>
          <w:rFonts w:ascii="Times New Roman" w:cs="Times New Roman" w:eastAsia="Times New Roman" w:hAnsi="Times New Roman"/>
          <w:sz w:val="17"/>
          <w:szCs w:val="17"/>
          <w:color w:val="auto"/>
        </w:rPr>
      </w:pPr>
    </w:p>
    <w:p>
      <w:pPr>
        <w:ind w:left="365" w:hanging="365"/>
        <w:spacing w:after="0"/>
        <w:tabs>
          <w:tab w:leader="none" w:pos="365" w:val="left"/>
        </w:tabs>
        <w:numPr>
          <w:ilvl w:val="0"/>
          <w:numId w:val="130"/>
        </w:numPr>
        <w:rPr>
          <w:rFonts w:ascii="Calibri" w:cs="Calibri" w:eastAsia="Calibri" w:hAnsi="Calibri"/>
          <w:sz w:val="17"/>
          <w:szCs w:val="17"/>
          <w:b w:val="1"/>
          <w:bCs w:val="1"/>
          <w:color w:val="auto"/>
        </w:rPr>
      </w:pPr>
      <w:r>
        <w:rPr>
          <w:rFonts w:ascii="Arial" w:cs="Arial" w:eastAsia="Arial" w:hAnsi="Arial"/>
          <w:sz w:val="17"/>
          <w:szCs w:val="17"/>
          <w:b w:val="1"/>
          <w:bCs w:val="1"/>
          <w:color w:val="auto"/>
        </w:rPr>
        <w:t>Who will lead the combined company following the close?</w:t>
      </w:r>
    </w:p>
    <w:p>
      <w:pPr>
        <w:spacing w:after="0" w:line="31" w:lineRule="exact"/>
        <w:rPr>
          <w:rFonts w:ascii="Calibri" w:cs="Calibri" w:eastAsia="Calibri" w:hAnsi="Calibri"/>
          <w:sz w:val="17"/>
          <w:szCs w:val="17"/>
          <w:b w:val="1"/>
          <w:bCs w:val="1"/>
          <w:color w:val="auto"/>
        </w:rPr>
      </w:pPr>
    </w:p>
    <w:p>
      <w:pPr>
        <w:ind w:left="745" w:right="840" w:hanging="370"/>
        <w:spacing w:after="0" w:line="234" w:lineRule="auto"/>
        <w:tabs>
          <w:tab w:leader="none" w:pos="745" w:val="left"/>
        </w:tabs>
        <w:numPr>
          <w:ilvl w:val="1"/>
          <w:numId w:val="130"/>
        </w:numPr>
        <w:rPr>
          <w:rFonts w:ascii="Times New Roman" w:cs="Times New Roman" w:eastAsia="Times New Roman" w:hAnsi="Times New Roman"/>
          <w:sz w:val="17"/>
          <w:szCs w:val="17"/>
          <w:color w:val="auto"/>
        </w:rPr>
      </w:pPr>
      <w:r>
        <w:rPr>
          <w:rFonts w:ascii="Arial" w:cs="Arial" w:eastAsia="Arial" w:hAnsi="Arial"/>
          <w:sz w:val="17"/>
          <w:szCs w:val="17"/>
          <w:color w:val="auto"/>
        </w:rPr>
        <w:t>The combined company will be led by a proven management team that reflects the strengths and capabilities of both DXL and FullBeauty Brands.</w:t>
      </w:r>
    </w:p>
    <w:p>
      <w:pPr>
        <w:ind w:left="745" w:right="540" w:hanging="370"/>
        <w:spacing w:after="0" w:line="231" w:lineRule="auto"/>
        <w:tabs>
          <w:tab w:leader="none" w:pos="745" w:val="left"/>
        </w:tabs>
        <w:numPr>
          <w:ilvl w:val="1"/>
          <w:numId w:val="130"/>
        </w:numPr>
        <w:rPr>
          <w:rFonts w:ascii="Times New Roman" w:cs="Times New Roman" w:eastAsia="Times New Roman" w:hAnsi="Times New Roman"/>
          <w:sz w:val="17"/>
          <w:szCs w:val="17"/>
          <w:color w:val="auto"/>
        </w:rPr>
      </w:pPr>
      <w:r>
        <w:rPr>
          <w:rFonts w:ascii="Arial" w:cs="Arial" w:eastAsia="Arial" w:hAnsi="Arial"/>
          <w:sz w:val="17"/>
          <w:szCs w:val="17"/>
          <w:color w:val="auto"/>
        </w:rPr>
        <w:t>Following the closing of the merger, Jim Fogarty, current CEO of FullBeauty, will serve as Chief Executive Officer of the combined company, and Peter Stratton, current CFO of DXL, will serve as Chief Financial Officer.</w:t>
      </w:r>
    </w:p>
    <w:p>
      <w:pPr>
        <w:spacing w:after="0" w:line="1" w:lineRule="exact"/>
        <w:rPr>
          <w:rFonts w:ascii="Times New Roman" w:cs="Times New Roman" w:eastAsia="Times New Roman" w:hAnsi="Times New Roman"/>
          <w:sz w:val="17"/>
          <w:szCs w:val="17"/>
          <w:color w:val="auto"/>
        </w:rPr>
      </w:pPr>
    </w:p>
    <w:p>
      <w:pPr>
        <w:ind w:left="745" w:hanging="370"/>
        <w:spacing w:after="0"/>
        <w:tabs>
          <w:tab w:leader="none" w:pos="745" w:val="left"/>
        </w:tabs>
        <w:numPr>
          <w:ilvl w:val="1"/>
          <w:numId w:val="130"/>
        </w:numPr>
        <w:rPr>
          <w:rFonts w:ascii="Times New Roman" w:cs="Times New Roman" w:eastAsia="Times New Roman" w:hAnsi="Times New Roman"/>
          <w:sz w:val="17"/>
          <w:szCs w:val="17"/>
          <w:color w:val="auto"/>
        </w:rPr>
      </w:pPr>
      <w:r>
        <w:rPr>
          <w:rFonts w:ascii="Arial" w:cs="Arial" w:eastAsia="Arial" w:hAnsi="Arial"/>
          <w:sz w:val="17"/>
          <w:szCs w:val="17"/>
          <w:color w:val="auto"/>
        </w:rPr>
        <w:t>Additional leadership appointments and updates will be shared as they are finalized.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826135</wp:posOffset>
            </wp:positionV>
            <wp:extent cx="7174865" cy="406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5080</wp:posOffset>
            </wp:positionV>
            <wp:extent cx="4476115" cy="41275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4476115" cy="412750"/>
                    </a:xfrm>
                    <a:prstGeom prst="rect">
                      <a:avLst/>
                    </a:prstGeom>
                    <a:noFill/>
                  </pic:spPr>
                </pic:pic>
              </a:graphicData>
            </a:graphic>
          </wp:anchor>
        </w:drawing>
      </w:r>
    </w:p>
    <w:p>
      <w:pPr>
        <w:sectPr>
          <w:pgSz w:w="11900" w:h="16838" w:orient="portrait"/>
          <w:cols w:equalWidth="0" w:num="1">
            <w:col w:w="11225"/>
          </w:cols>
          <w:pgMar w:left="315" w:top="1440" w:right="359" w:bottom="1440" w:gutter="0" w:footer="0" w:header="0"/>
        </w:sectPr>
      </w:pPr>
    </w:p>
    <w:bookmarkStart w:id="129" w:name="page130"/>
    <w:bookmarkEnd w:id="129"/>
    <w:p>
      <w:pPr>
        <w:spacing w:after="0" w:line="3" w:lineRule="exact"/>
        <w:rPr>
          <w:sz w:val="20"/>
          <w:szCs w:val="20"/>
          <w:color w:val="auto"/>
        </w:rPr>
      </w:pPr>
    </w:p>
    <w:p>
      <w:pPr>
        <w:ind w:left="365" w:hanging="365"/>
        <w:spacing w:after="0"/>
        <w:tabs>
          <w:tab w:leader="none" w:pos="365" w:val="left"/>
        </w:tabs>
        <w:numPr>
          <w:ilvl w:val="0"/>
          <w:numId w:val="131"/>
        </w:numPr>
        <w:rPr>
          <w:rFonts w:ascii="Calibri" w:cs="Calibri" w:eastAsia="Calibri" w:hAnsi="Calibri"/>
          <w:sz w:val="17"/>
          <w:szCs w:val="17"/>
          <w:b w:val="1"/>
          <w:bCs w:val="1"/>
          <w:color w:val="auto"/>
        </w:rPr>
      </w:pPr>
      <w:r>
        <w:rPr>
          <w:rFonts w:ascii="Arial" w:cs="Arial" w:eastAsia="Arial" w:hAnsi="Arial"/>
          <w:sz w:val="17"/>
          <w:szCs w:val="17"/>
          <w:b w:val="1"/>
          <w:bCs w:val="1"/>
          <w:color w:val="auto"/>
        </w:rPr>
        <w:t>What will the Company be called? What will happen to the DXL brand?</w:t>
      </w:r>
    </w:p>
    <w:p>
      <w:pPr>
        <w:spacing w:after="0" w:line="31" w:lineRule="exact"/>
        <w:rPr>
          <w:rFonts w:ascii="Calibri" w:cs="Calibri" w:eastAsia="Calibri" w:hAnsi="Calibri"/>
          <w:sz w:val="17"/>
          <w:szCs w:val="17"/>
          <w:b w:val="1"/>
          <w:bCs w:val="1"/>
          <w:color w:val="auto"/>
        </w:rPr>
      </w:pPr>
    </w:p>
    <w:p>
      <w:pPr>
        <w:ind w:left="745" w:hanging="370"/>
        <w:spacing w:after="0"/>
        <w:tabs>
          <w:tab w:leader="none" w:pos="745" w:val="left"/>
        </w:tabs>
        <w:numPr>
          <w:ilvl w:val="2"/>
          <w:numId w:val="131"/>
        </w:numPr>
        <w:rPr>
          <w:rFonts w:ascii="Times New Roman" w:cs="Times New Roman" w:eastAsia="Times New Roman" w:hAnsi="Times New Roman"/>
          <w:sz w:val="17"/>
          <w:szCs w:val="17"/>
          <w:color w:val="auto"/>
        </w:rPr>
      </w:pPr>
      <w:r>
        <w:rPr>
          <w:rFonts w:ascii="Arial" w:cs="Arial" w:eastAsia="Arial" w:hAnsi="Arial"/>
          <w:sz w:val="17"/>
          <w:szCs w:val="17"/>
          <w:color w:val="auto"/>
        </w:rPr>
        <w:t>The combined company will trade under the ticker symbol DXLG.</w:t>
      </w:r>
    </w:p>
    <w:p>
      <w:pPr>
        <w:spacing w:after="0" w:line="8" w:lineRule="exact"/>
        <w:rPr>
          <w:rFonts w:ascii="Times New Roman" w:cs="Times New Roman" w:eastAsia="Times New Roman" w:hAnsi="Times New Roman"/>
          <w:sz w:val="17"/>
          <w:szCs w:val="17"/>
          <w:color w:val="auto"/>
        </w:rPr>
      </w:pPr>
    </w:p>
    <w:p>
      <w:pPr>
        <w:ind w:left="745" w:right="140" w:hanging="370"/>
        <w:spacing w:after="0" w:line="231" w:lineRule="auto"/>
        <w:tabs>
          <w:tab w:leader="none" w:pos="745" w:val="left"/>
        </w:tabs>
        <w:numPr>
          <w:ilvl w:val="2"/>
          <w:numId w:val="131"/>
        </w:numPr>
        <w:rPr>
          <w:rFonts w:ascii="Times New Roman" w:cs="Times New Roman" w:eastAsia="Times New Roman" w:hAnsi="Times New Roman"/>
          <w:sz w:val="17"/>
          <w:szCs w:val="17"/>
          <w:color w:val="auto"/>
        </w:rPr>
      </w:pPr>
      <w:r>
        <w:rPr>
          <w:rFonts w:ascii="Arial" w:cs="Arial" w:eastAsia="Arial" w:hAnsi="Arial"/>
          <w:sz w:val="17"/>
          <w:szCs w:val="17"/>
          <w:color w:val="auto"/>
        </w:rPr>
        <w:t>The DXL brand will continue as a key part of the combined company’s portfolio, maintaining its strong presence in the Big + Tall market and serving customers through existing channels.</w:t>
      </w:r>
    </w:p>
    <w:p>
      <w:pPr>
        <w:spacing w:after="0" w:line="1" w:lineRule="exact"/>
        <w:rPr>
          <w:rFonts w:ascii="Times New Roman" w:cs="Times New Roman" w:eastAsia="Times New Roman" w:hAnsi="Times New Roman"/>
          <w:sz w:val="17"/>
          <w:szCs w:val="17"/>
          <w:color w:val="auto"/>
        </w:rPr>
      </w:pPr>
    </w:p>
    <w:p>
      <w:pPr>
        <w:ind w:left="745" w:hanging="370"/>
        <w:spacing w:after="0"/>
        <w:tabs>
          <w:tab w:leader="none" w:pos="745" w:val="left"/>
        </w:tabs>
        <w:numPr>
          <w:ilvl w:val="2"/>
          <w:numId w:val="131"/>
        </w:numPr>
        <w:rPr>
          <w:rFonts w:ascii="Times New Roman" w:cs="Times New Roman" w:eastAsia="Times New Roman" w:hAnsi="Times New Roman"/>
          <w:sz w:val="17"/>
          <w:szCs w:val="17"/>
          <w:color w:val="auto"/>
        </w:rPr>
      </w:pPr>
      <w:r>
        <w:rPr>
          <w:rFonts w:ascii="Arial" w:cs="Arial" w:eastAsia="Arial" w:hAnsi="Arial"/>
          <w:sz w:val="17"/>
          <w:szCs w:val="17"/>
          <w:color w:val="auto"/>
        </w:rPr>
        <w:t>Further details regarding brand strategy and integration will be shared as plans are finalized.</w:t>
      </w:r>
    </w:p>
    <w:p>
      <w:pPr>
        <w:spacing w:after="0" w:line="176" w:lineRule="exact"/>
        <w:rPr>
          <w:rFonts w:ascii="Times New Roman" w:cs="Times New Roman" w:eastAsia="Times New Roman" w:hAnsi="Times New Roman"/>
          <w:sz w:val="17"/>
          <w:szCs w:val="17"/>
          <w:color w:val="auto"/>
        </w:rPr>
      </w:pPr>
    </w:p>
    <w:p>
      <w:pPr>
        <w:ind w:left="365" w:hanging="365"/>
        <w:spacing w:after="0"/>
        <w:tabs>
          <w:tab w:leader="none" w:pos="365" w:val="left"/>
        </w:tabs>
        <w:numPr>
          <w:ilvl w:val="0"/>
          <w:numId w:val="131"/>
        </w:numPr>
        <w:rPr>
          <w:rFonts w:ascii="Calibri" w:cs="Calibri" w:eastAsia="Calibri" w:hAnsi="Calibri"/>
          <w:sz w:val="17"/>
          <w:szCs w:val="17"/>
          <w:b w:val="1"/>
          <w:bCs w:val="1"/>
          <w:color w:val="auto"/>
        </w:rPr>
      </w:pPr>
      <w:r>
        <w:rPr>
          <w:rFonts w:ascii="Arial" w:cs="Arial" w:eastAsia="Arial" w:hAnsi="Arial"/>
          <w:sz w:val="17"/>
          <w:szCs w:val="17"/>
          <w:b w:val="1"/>
          <w:bCs w:val="1"/>
          <w:color w:val="auto"/>
        </w:rPr>
        <w:t>Will there be any office or store closures as a result of this transaction?</w:t>
      </w:r>
    </w:p>
    <w:p>
      <w:pPr>
        <w:spacing w:after="0" w:line="31" w:lineRule="exact"/>
        <w:rPr>
          <w:rFonts w:ascii="Calibri" w:cs="Calibri" w:eastAsia="Calibri" w:hAnsi="Calibri"/>
          <w:sz w:val="17"/>
          <w:szCs w:val="17"/>
          <w:b w:val="1"/>
          <w:bCs w:val="1"/>
          <w:color w:val="auto"/>
        </w:rPr>
      </w:pPr>
    </w:p>
    <w:p>
      <w:pPr>
        <w:ind w:left="745" w:right="280" w:hanging="370"/>
        <w:spacing w:after="0" w:line="257" w:lineRule="auto"/>
        <w:tabs>
          <w:tab w:leader="none" w:pos="745" w:val="left"/>
        </w:tabs>
        <w:numPr>
          <w:ilvl w:val="2"/>
          <w:numId w:val="131"/>
        </w:numPr>
        <w:rPr>
          <w:rFonts w:ascii="Times New Roman" w:cs="Times New Roman" w:eastAsia="Times New Roman" w:hAnsi="Times New Roman"/>
          <w:sz w:val="17"/>
          <w:szCs w:val="17"/>
          <w:color w:val="auto"/>
        </w:rPr>
      </w:pPr>
      <w:r>
        <w:rPr>
          <w:rFonts w:ascii="Arial" w:cs="Arial" w:eastAsia="Arial" w:hAnsi="Arial"/>
          <w:sz w:val="17"/>
          <w:szCs w:val="17"/>
          <w:color w:val="auto"/>
        </w:rPr>
        <w:t>Both companies will continue to operate as usual until the close, and any future changes will be communicated transparently as plans are finalized.</w:t>
      </w:r>
    </w:p>
    <w:p>
      <w:pPr>
        <w:spacing w:after="0" w:line="134" w:lineRule="exact"/>
        <w:rPr>
          <w:rFonts w:ascii="Times New Roman" w:cs="Times New Roman" w:eastAsia="Times New Roman" w:hAnsi="Times New Roman"/>
          <w:sz w:val="17"/>
          <w:szCs w:val="17"/>
          <w:color w:val="auto"/>
        </w:rPr>
      </w:pPr>
    </w:p>
    <w:p>
      <w:pPr>
        <w:ind w:left="365" w:hanging="365"/>
        <w:spacing w:after="0"/>
        <w:tabs>
          <w:tab w:leader="none" w:pos="365" w:val="left"/>
        </w:tabs>
        <w:numPr>
          <w:ilvl w:val="0"/>
          <w:numId w:val="131"/>
        </w:numPr>
        <w:rPr>
          <w:rFonts w:ascii="Calibri" w:cs="Calibri" w:eastAsia="Calibri" w:hAnsi="Calibri"/>
          <w:sz w:val="17"/>
          <w:szCs w:val="17"/>
          <w:b w:val="1"/>
          <w:bCs w:val="1"/>
          <w:color w:val="auto"/>
        </w:rPr>
      </w:pPr>
      <w:r>
        <w:rPr>
          <w:rFonts w:ascii="Arial" w:cs="Arial" w:eastAsia="Arial" w:hAnsi="Arial"/>
          <w:sz w:val="17"/>
          <w:szCs w:val="17"/>
          <w:b w:val="1"/>
          <w:bCs w:val="1"/>
          <w:color w:val="auto"/>
        </w:rPr>
        <w:t>What does this mean for employees? Will this affect my day-to-day responsibilities?</w:t>
      </w:r>
    </w:p>
    <w:p>
      <w:pPr>
        <w:spacing w:after="0" w:line="31" w:lineRule="exact"/>
        <w:rPr>
          <w:rFonts w:ascii="Calibri" w:cs="Calibri" w:eastAsia="Calibri" w:hAnsi="Calibri"/>
          <w:sz w:val="17"/>
          <w:szCs w:val="17"/>
          <w:b w:val="1"/>
          <w:bCs w:val="1"/>
          <w:color w:val="auto"/>
        </w:rPr>
      </w:pPr>
    </w:p>
    <w:p>
      <w:pPr>
        <w:ind w:left="745" w:hanging="370"/>
        <w:spacing w:after="0"/>
        <w:tabs>
          <w:tab w:leader="none" w:pos="745" w:val="left"/>
        </w:tabs>
        <w:numPr>
          <w:ilvl w:val="2"/>
          <w:numId w:val="131"/>
        </w:numPr>
        <w:rPr>
          <w:rFonts w:ascii="Times New Roman" w:cs="Times New Roman" w:eastAsia="Times New Roman" w:hAnsi="Times New Roman"/>
          <w:sz w:val="17"/>
          <w:szCs w:val="17"/>
          <w:color w:val="auto"/>
        </w:rPr>
      </w:pPr>
      <w:r>
        <w:rPr>
          <w:rFonts w:ascii="Arial" w:cs="Arial" w:eastAsia="Arial" w:hAnsi="Arial"/>
          <w:sz w:val="17"/>
          <w:szCs w:val="17"/>
          <w:color w:val="auto"/>
        </w:rPr>
        <w:t>Until the transaction is completed it is business as usual.</w:t>
      </w:r>
    </w:p>
    <w:p>
      <w:pPr>
        <w:spacing w:after="0" w:line="8" w:lineRule="exact"/>
        <w:rPr>
          <w:rFonts w:ascii="Times New Roman" w:cs="Times New Roman" w:eastAsia="Times New Roman" w:hAnsi="Times New Roman"/>
          <w:sz w:val="17"/>
          <w:szCs w:val="17"/>
          <w:color w:val="auto"/>
        </w:rPr>
      </w:pPr>
    </w:p>
    <w:p>
      <w:pPr>
        <w:ind w:left="745" w:right="360" w:hanging="370"/>
        <w:spacing w:after="0" w:line="231" w:lineRule="auto"/>
        <w:tabs>
          <w:tab w:leader="none" w:pos="745" w:val="left"/>
        </w:tabs>
        <w:numPr>
          <w:ilvl w:val="2"/>
          <w:numId w:val="131"/>
        </w:numPr>
        <w:rPr>
          <w:rFonts w:ascii="Times New Roman" w:cs="Times New Roman" w:eastAsia="Times New Roman" w:hAnsi="Times New Roman"/>
          <w:sz w:val="17"/>
          <w:szCs w:val="17"/>
          <w:color w:val="auto"/>
        </w:rPr>
      </w:pPr>
      <w:r>
        <w:rPr>
          <w:rFonts w:ascii="Arial" w:cs="Arial" w:eastAsia="Arial" w:hAnsi="Arial"/>
          <w:sz w:val="17"/>
          <w:szCs w:val="17"/>
          <w:color w:val="auto"/>
        </w:rPr>
        <w:t>There are no changes to your day-to-day responsibilities at this time, and we encourage everyone to remain focused on their current roles and priorities.</w:t>
      </w:r>
    </w:p>
    <w:p>
      <w:pPr>
        <w:spacing w:after="0" w:line="1" w:lineRule="exact"/>
        <w:rPr>
          <w:rFonts w:ascii="Times New Roman" w:cs="Times New Roman" w:eastAsia="Times New Roman" w:hAnsi="Times New Roman"/>
          <w:sz w:val="17"/>
          <w:szCs w:val="17"/>
          <w:color w:val="auto"/>
        </w:rPr>
      </w:pPr>
    </w:p>
    <w:p>
      <w:pPr>
        <w:ind w:left="745" w:right="480" w:hanging="370"/>
        <w:spacing w:after="0" w:line="231" w:lineRule="auto"/>
        <w:tabs>
          <w:tab w:leader="none" w:pos="745" w:val="left"/>
        </w:tabs>
        <w:numPr>
          <w:ilvl w:val="2"/>
          <w:numId w:val="131"/>
        </w:numPr>
        <w:rPr>
          <w:rFonts w:ascii="Times New Roman" w:cs="Times New Roman" w:eastAsia="Times New Roman" w:hAnsi="Times New Roman"/>
          <w:sz w:val="17"/>
          <w:szCs w:val="17"/>
          <w:color w:val="auto"/>
        </w:rPr>
      </w:pPr>
      <w:r>
        <w:rPr>
          <w:rFonts w:ascii="Arial" w:cs="Arial" w:eastAsia="Arial" w:hAnsi="Arial"/>
          <w:sz w:val="17"/>
          <w:szCs w:val="17"/>
          <w:color w:val="auto"/>
        </w:rPr>
        <w:t>As the combined company moves forward, we expect to create new opportunities for growth and collaboration, and will share more information as it becomes available.</w:t>
      </w:r>
    </w:p>
    <w:p>
      <w:pPr>
        <w:spacing w:after="0" w:line="1" w:lineRule="exact"/>
        <w:rPr>
          <w:rFonts w:ascii="Times New Roman" w:cs="Times New Roman" w:eastAsia="Times New Roman" w:hAnsi="Times New Roman"/>
          <w:sz w:val="17"/>
          <w:szCs w:val="17"/>
          <w:color w:val="auto"/>
        </w:rPr>
      </w:pPr>
    </w:p>
    <w:p>
      <w:pPr>
        <w:ind w:left="745" w:hanging="370"/>
        <w:spacing w:after="0" w:line="252" w:lineRule="auto"/>
        <w:tabs>
          <w:tab w:leader="none" w:pos="745" w:val="left"/>
        </w:tabs>
        <w:numPr>
          <w:ilvl w:val="2"/>
          <w:numId w:val="131"/>
        </w:numPr>
        <w:rPr>
          <w:rFonts w:ascii="Times New Roman" w:cs="Times New Roman" w:eastAsia="Times New Roman" w:hAnsi="Times New Roman"/>
          <w:sz w:val="17"/>
          <w:szCs w:val="17"/>
          <w:color w:val="auto"/>
        </w:rPr>
      </w:pPr>
      <w:r>
        <w:rPr>
          <w:rFonts w:ascii="Arial" w:cs="Arial" w:eastAsia="Arial" w:hAnsi="Arial"/>
          <w:sz w:val="17"/>
          <w:szCs w:val="17"/>
          <w:color w:val="auto"/>
        </w:rPr>
        <w:t>We are committed to transparent communication and will keep you informed of any updates or changes related to the integration process as plans are finalized.</w:t>
      </w:r>
    </w:p>
    <w:p>
      <w:pPr>
        <w:spacing w:after="0" w:line="138" w:lineRule="exact"/>
        <w:rPr>
          <w:rFonts w:ascii="Times New Roman" w:cs="Times New Roman" w:eastAsia="Times New Roman" w:hAnsi="Times New Roman"/>
          <w:sz w:val="17"/>
          <w:szCs w:val="17"/>
          <w:color w:val="auto"/>
        </w:rPr>
      </w:pPr>
    </w:p>
    <w:p>
      <w:pPr>
        <w:ind w:left="365" w:hanging="365"/>
        <w:spacing w:after="0"/>
        <w:tabs>
          <w:tab w:leader="none" w:pos="365" w:val="left"/>
        </w:tabs>
        <w:numPr>
          <w:ilvl w:val="0"/>
          <w:numId w:val="131"/>
        </w:numPr>
        <w:rPr>
          <w:rFonts w:ascii="Calibri" w:cs="Calibri" w:eastAsia="Calibri" w:hAnsi="Calibri"/>
          <w:sz w:val="17"/>
          <w:szCs w:val="17"/>
          <w:b w:val="1"/>
          <w:bCs w:val="1"/>
          <w:color w:val="auto"/>
        </w:rPr>
      </w:pPr>
      <w:r>
        <w:rPr>
          <w:rFonts w:ascii="Arial" w:cs="Arial" w:eastAsia="Arial" w:hAnsi="Arial"/>
          <w:sz w:val="17"/>
          <w:szCs w:val="17"/>
          <w:b w:val="1"/>
          <w:bCs w:val="1"/>
          <w:color w:val="auto"/>
        </w:rPr>
        <w:t>Will this transaction impact my compensation or benefits?</w:t>
      </w:r>
    </w:p>
    <w:p>
      <w:pPr>
        <w:spacing w:after="0" w:line="31" w:lineRule="exact"/>
        <w:rPr>
          <w:rFonts w:ascii="Calibri" w:cs="Calibri" w:eastAsia="Calibri" w:hAnsi="Calibri"/>
          <w:sz w:val="17"/>
          <w:szCs w:val="17"/>
          <w:b w:val="1"/>
          <w:bCs w:val="1"/>
          <w:color w:val="auto"/>
        </w:rPr>
      </w:pPr>
    </w:p>
    <w:p>
      <w:pPr>
        <w:ind w:left="745" w:hanging="370"/>
        <w:spacing w:after="0"/>
        <w:tabs>
          <w:tab w:leader="none" w:pos="745" w:val="left"/>
        </w:tabs>
        <w:numPr>
          <w:ilvl w:val="2"/>
          <w:numId w:val="131"/>
        </w:numPr>
        <w:rPr>
          <w:rFonts w:ascii="Times New Roman" w:cs="Times New Roman" w:eastAsia="Times New Roman" w:hAnsi="Times New Roman"/>
          <w:sz w:val="17"/>
          <w:szCs w:val="17"/>
          <w:color w:val="auto"/>
        </w:rPr>
      </w:pPr>
      <w:r>
        <w:rPr>
          <w:rFonts w:ascii="Arial" w:cs="Arial" w:eastAsia="Arial" w:hAnsi="Arial"/>
          <w:sz w:val="17"/>
          <w:szCs w:val="17"/>
          <w:color w:val="auto"/>
        </w:rPr>
        <w:t>Until the transaction is completed, it is business as usual.</w:t>
      </w:r>
    </w:p>
    <w:p>
      <w:pPr>
        <w:spacing w:after="0" w:line="8" w:lineRule="exact"/>
        <w:rPr>
          <w:rFonts w:ascii="Times New Roman" w:cs="Times New Roman" w:eastAsia="Times New Roman" w:hAnsi="Times New Roman"/>
          <w:sz w:val="17"/>
          <w:szCs w:val="17"/>
          <w:color w:val="auto"/>
        </w:rPr>
      </w:pPr>
    </w:p>
    <w:p>
      <w:pPr>
        <w:ind w:left="745" w:hanging="370"/>
        <w:spacing w:after="0"/>
        <w:tabs>
          <w:tab w:leader="none" w:pos="745" w:val="left"/>
        </w:tabs>
        <w:numPr>
          <w:ilvl w:val="2"/>
          <w:numId w:val="131"/>
        </w:numPr>
        <w:rPr>
          <w:rFonts w:ascii="Times New Roman" w:cs="Times New Roman" w:eastAsia="Times New Roman" w:hAnsi="Times New Roman"/>
          <w:sz w:val="17"/>
          <w:szCs w:val="17"/>
          <w:color w:val="auto"/>
        </w:rPr>
      </w:pPr>
      <w:r>
        <w:rPr>
          <w:rFonts w:ascii="Arial" w:cs="Arial" w:eastAsia="Arial" w:hAnsi="Arial"/>
          <w:sz w:val="17"/>
          <w:szCs w:val="17"/>
          <w:color w:val="auto"/>
        </w:rPr>
        <w:t>We are paying employees and providing benefits as usual.</w:t>
      </w:r>
    </w:p>
    <w:p>
      <w:pPr>
        <w:spacing w:after="0" w:line="4" w:lineRule="exact"/>
        <w:rPr>
          <w:rFonts w:ascii="Times New Roman" w:cs="Times New Roman" w:eastAsia="Times New Roman" w:hAnsi="Times New Roman"/>
          <w:sz w:val="17"/>
          <w:szCs w:val="17"/>
          <w:color w:val="auto"/>
        </w:rPr>
      </w:pPr>
    </w:p>
    <w:p>
      <w:pPr>
        <w:ind w:left="745" w:hanging="370"/>
        <w:spacing w:after="0"/>
        <w:tabs>
          <w:tab w:leader="none" w:pos="745" w:val="left"/>
        </w:tabs>
        <w:numPr>
          <w:ilvl w:val="2"/>
          <w:numId w:val="131"/>
        </w:numPr>
        <w:rPr>
          <w:rFonts w:ascii="Times New Roman" w:cs="Times New Roman" w:eastAsia="Times New Roman" w:hAnsi="Times New Roman"/>
          <w:sz w:val="17"/>
          <w:szCs w:val="17"/>
          <w:color w:val="auto"/>
        </w:rPr>
      </w:pPr>
      <w:r>
        <w:rPr>
          <w:rFonts w:ascii="Arial" w:cs="Arial" w:eastAsia="Arial" w:hAnsi="Arial"/>
          <w:sz w:val="17"/>
          <w:szCs w:val="17"/>
          <w:color w:val="auto"/>
        </w:rPr>
        <w:t>We are working with the FullBeauty team on integration planning and there are many details still to be determined.</w:t>
      </w:r>
    </w:p>
    <w:p>
      <w:pPr>
        <w:spacing w:after="0" w:line="4" w:lineRule="exact"/>
        <w:rPr>
          <w:rFonts w:ascii="Times New Roman" w:cs="Times New Roman" w:eastAsia="Times New Roman" w:hAnsi="Times New Roman"/>
          <w:sz w:val="17"/>
          <w:szCs w:val="17"/>
          <w:color w:val="auto"/>
        </w:rPr>
      </w:pPr>
    </w:p>
    <w:p>
      <w:pPr>
        <w:ind w:left="745" w:hanging="370"/>
        <w:spacing w:after="0"/>
        <w:tabs>
          <w:tab w:leader="none" w:pos="745" w:val="left"/>
        </w:tabs>
        <w:numPr>
          <w:ilvl w:val="2"/>
          <w:numId w:val="131"/>
        </w:numPr>
        <w:rPr>
          <w:rFonts w:ascii="Times New Roman" w:cs="Times New Roman" w:eastAsia="Times New Roman" w:hAnsi="Times New Roman"/>
          <w:sz w:val="17"/>
          <w:szCs w:val="17"/>
          <w:color w:val="auto"/>
        </w:rPr>
      </w:pPr>
      <w:r>
        <w:rPr>
          <w:rFonts w:ascii="Arial" w:cs="Arial" w:eastAsia="Arial" w:hAnsi="Arial"/>
          <w:sz w:val="17"/>
          <w:szCs w:val="17"/>
          <w:color w:val="auto"/>
        </w:rPr>
        <w:t>We are committed to sharing relevant information at the appropriate time.</w:t>
      </w:r>
    </w:p>
    <w:p>
      <w:pPr>
        <w:spacing w:after="0" w:line="176" w:lineRule="exact"/>
        <w:rPr>
          <w:rFonts w:ascii="Times New Roman" w:cs="Times New Roman" w:eastAsia="Times New Roman" w:hAnsi="Times New Roman"/>
          <w:sz w:val="17"/>
          <w:szCs w:val="17"/>
          <w:color w:val="auto"/>
        </w:rPr>
      </w:pPr>
    </w:p>
    <w:p>
      <w:pPr>
        <w:ind w:left="365" w:hanging="365"/>
        <w:spacing w:after="0"/>
        <w:tabs>
          <w:tab w:leader="none" w:pos="365" w:val="left"/>
        </w:tabs>
        <w:numPr>
          <w:ilvl w:val="0"/>
          <w:numId w:val="131"/>
        </w:numPr>
        <w:rPr>
          <w:rFonts w:ascii="Calibri" w:cs="Calibri" w:eastAsia="Calibri" w:hAnsi="Calibri"/>
          <w:sz w:val="17"/>
          <w:szCs w:val="17"/>
          <w:b w:val="1"/>
          <w:bCs w:val="1"/>
          <w:color w:val="auto"/>
        </w:rPr>
      </w:pPr>
      <w:r>
        <w:rPr>
          <w:rFonts w:ascii="Arial" w:cs="Arial" w:eastAsia="Arial" w:hAnsi="Arial"/>
          <w:sz w:val="17"/>
          <w:szCs w:val="17"/>
          <w:b w:val="1"/>
          <w:bCs w:val="1"/>
          <w:color w:val="auto"/>
        </w:rPr>
        <w:t>What should I tell customers / partners who ask me about the transaction?</w:t>
      </w:r>
    </w:p>
    <w:p>
      <w:pPr>
        <w:spacing w:after="0" w:line="31" w:lineRule="exact"/>
        <w:rPr>
          <w:rFonts w:ascii="Calibri" w:cs="Calibri" w:eastAsia="Calibri" w:hAnsi="Calibri"/>
          <w:sz w:val="17"/>
          <w:szCs w:val="17"/>
          <w:b w:val="1"/>
          <w:bCs w:val="1"/>
          <w:color w:val="auto"/>
        </w:rPr>
      </w:pPr>
    </w:p>
    <w:p>
      <w:pPr>
        <w:ind w:left="745" w:right="680" w:hanging="370"/>
        <w:spacing w:after="0" w:line="234" w:lineRule="auto"/>
        <w:tabs>
          <w:tab w:leader="none" w:pos="745" w:val="left"/>
        </w:tabs>
        <w:numPr>
          <w:ilvl w:val="2"/>
          <w:numId w:val="131"/>
        </w:numPr>
        <w:rPr>
          <w:rFonts w:ascii="Times New Roman" w:cs="Times New Roman" w:eastAsia="Times New Roman" w:hAnsi="Times New Roman"/>
          <w:sz w:val="17"/>
          <w:szCs w:val="17"/>
          <w:color w:val="auto"/>
        </w:rPr>
      </w:pPr>
      <w:r>
        <w:rPr>
          <w:rFonts w:ascii="Arial" w:cs="Arial" w:eastAsia="Arial" w:hAnsi="Arial"/>
          <w:sz w:val="17"/>
          <w:szCs w:val="17"/>
          <w:color w:val="auto"/>
        </w:rPr>
        <w:t>You should tell them that this is an exciting next step for DXL that will make us a stronger partner and be better able to provide a shopping experience like no other.</w:t>
      </w:r>
    </w:p>
    <w:p>
      <w:pPr>
        <w:ind w:left="745" w:right="100" w:hanging="370"/>
        <w:spacing w:after="0" w:line="231" w:lineRule="auto"/>
        <w:tabs>
          <w:tab w:leader="none" w:pos="745" w:val="left"/>
        </w:tabs>
        <w:numPr>
          <w:ilvl w:val="2"/>
          <w:numId w:val="131"/>
        </w:numPr>
        <w:rPr>
          <w:rFonts w:ascii="Times New Roman" w:cs="Times New Roman" w:eastAsia="Times New Roman" w:hAnsi="Times New Roman"/>
          <w:sz w:val="17"/>
          <w:szCs w:val="17"/>
          <w:color w:val="auto"/>
        </w:rPr>
      </w:pPr>
      <w:r>
        <w:rPr>
          <w:rFonts w:ascii="Arial" w:cs="Arial" w:eastAsia="Arial" w:hAnsi="Arial"/>
          <w:sz w:val="17"/>
          <w:szCs w:val="17"/>
          <w:color w:val="auto"/>
        </w:rPr>
        <w:t>With this transaction, we’ll be able to serve our customers with more brands, more styles and more options, whether they shop in one of our stores or online.</w:t>
      </w:r>
    </w:p>
    <w:p>
      <w:pPr>
        <w:spacing w:after="0" w:line="1" w:lineRule="exact"/>
        <w:rPr>
          <w:rFonts w:ascii="Times New Roman" w:cs="Times New Roman" w:eastAsia="Times New Roman" w:hAnsi="Times New Roman"/>
          <w:sz w:val="17"/>
          <w:szCs w:val="17"/>
          <w:color w:val="auto"/>
        </w:rPr>
      </w:pPr>
    </w:p>
    <w:p>
      <w:pPr>
        <w:ind w:left="745" w:right="260" w:hanging="370"/>
        <w:spacing w:after="0" w:line="252" w:lineRule="auto"/>
        <w:tabs>
          <w:tab w:leader="none" w:pos="745" w:val="left"/>
        </w:tabs>
        <w:numPr>
          <w:ilvl w:val="2"/>
          <w:numId w:val="131"/>
        </w:numPr>
        <w:rPr>
          <w:rFonts w:ascii="Times New Roman" w:cs="Times New Roman" w:eastAsia="Times New Roman" w:hAnsi="Times New Roman"/>
          <w:sz w:val="17"/>
          <w:szCs w:val="17"/>
          <w:color w:val="auto"/>
        </w:rPr>
      </w:pPr>
      <w:r>
        <w:rPr>
          <w:rFonts w:ascii="Arial" w:cs="Arial" w:eastAsia="Arial" w:hAnsi="Arial"/>
          <w:sz w:val="17"/>
          <w:szCs w:val="17"/>
          <w:color w:val="auto"/>
        </w:rPr>
        <w:t>You can also reiterate that until the close of the transaction, it remains business as usual for all of us and we will continue to work with them as we always have.</w:t>
      </w:r>
    </w:p>
    <w:p>
      <w:pPr>
        <w:spacing w:after="0" w:line="138" w:lineRule="exact"/>
        <w:rPr>
          <w:rFonts w:ascii="Times New Roman" w:cs="Times New Roman" w:eastAsia="Times New Roman" w:hAnsi="Times New Roman"/>
          <w:sz w:val="17"/>
          <w:szCs w:val="17"/>
          <w:color w:val="auto"/>
        </w:rPr>
      </w:pPr>
    </w:p>
    <w:p>
      <w:pPr>
        <w:ind w:left="365" w:hanging="365"/>
        <w:spacing w:after="0"/>
        <w:tabs>
          <w:tab w:leader="none" w:pos="365" w:val="left"/>
        </w:tabs>
        <w:numPr>
          <w:ilvl w:val="0"/>
          <w:numId w:val="131"/>
        </w:numPr>
        <w:rPr>
          <w:rFonts w:ascii="Calibri" w:cs="Calibri" w:eastAsia="Calibri" w:hAnsi="Calibri"/>
          <w:sz w:val="17"/>
          <w:szCs w:val="17"/>
          <w:b w:val="1"/>
          <w:bCs w:val="1"/>
          <w:color w:val="auto"/>
        </w:rPr>
      </w:pPr>
      <w:r>
        <w:rPr>
          <w:rFonts w:ascii="Arial" w:cs="Arial" w:eastAsia="Arial" w:hAnsi="Arial"/>
          <w:sz w:val="17"/>
          <w:szCs w:val="17"/>
          <w:b w:val="1"/>
          <w:bCs w:val="1"/>
          <w:color w:val="auto"/>
        </w:rPr>
        <w:t>Where can I find additional information?</w:t>
      </w:r>
    </w:p>
    <w:p>
      <w:pPr>
        <w:spacing w:after="0" w:line="31" w:lineRule="exact"/>
        <w:rPr>
          <w:rFonts w:ascii="Calibri" w:cs="Calibri" w:eastAsia="Calibri" w:hAnsi="Calibri"/>
          <w:sz w:val="17"/>
          <w:szCs w:val="17"/>
          <w:b w:val="1"/>
          <w:bCs w:val="1"/>
          <w:color w:val="auto"/>
        </w:rPr>
      </w:pPr>
    </w:p>
    <w:p>
      <w:pPr>
        <w:ind w:left="665" w:hanging="380"/>
        <w:spacing w:after="0"/>
        <w:tabs>
          <w:tab w:leader="none" w:pos="665" w:val="left"/>
        </w:tabs>
        <w:numPr>
          <w:ilvl w:val="1"/>
          <w:numId w:val="131"/>
        </w:numPr>
        <w:rPr>
          <w:rFonts w:ascii="Times New Roman" w:cs="Times New Roman" w:eastAsia="Times New Roman" w:hAnsi="Times New Roman"/>
          <w:sz w:val="17"/>
          <w:szCs w:val="17"/>
          <w:color w:val="auto"/>
        </w:rPr>
      </w:pPr>
      <w:r>
        <w:rPr>
          <w:rFonts w:ascii="Arial" w:cs="Arial" w:eastAsia="Arial" w:hAnsi="Arial"/>
          <w:sz w:val="17"/>
          <w:szCs w:val="17"/>
          <w:color w:val="auto"/>
        </w:rPr>
        <w:t>We will keep you informed as we have news to share.</w:t>
      </w:r>
    </w:p>
    <w:p>
      <w:pPr>
        <w:spacing w:after="0" w:line="8" w:lineRule="exact"/>
        <w:rPr>
          <w:rFonts w:ascii="Times New Roman" w:cs="Times New Roman" w:eastAsia="Times New Roman" w:hAnsi="Times New Roman"/>
          <w:sz w:val="17"/>
          <w:szCs w:val="17"/>
          <w:color w:val="auto"/>
        </w:rPr>
      </w:pPr>
    </w:p>
    <w:p>
      <w:pPr>
        <w:ind w:left="665" w:hanging="380"/>
        <w:spacing w:after="0"/>
        <w:tabs>
          <w:tab w:leader="none" w:pos="665" w:val="left"/>
        </w:tabs>
        <w:numPr>
          <w:ilvl w:val="1"/>
          <w:numId w:val="131"/>
        </w:numPr>
        <w:rPr>
          <w:rFonts w:ascii="Times New Roman" w:cs="Times New Roman" w:eastAsia="Times New Roman" w:hAnsi="Times New Roman"/>
          <w:sz w:val="17"/>
          <w:szCs w:val="17"/>
          <w:color w:val="auto"/>
        </w:rPr>
      </w:pPr>
      <w:r>
        <w:rPr>
          <w:rFonts w:ascii="Arial" w:cs="Arial" w:eastAsia="Arial" w:hAnsi="Arial"/>
          <w:sz w:val="17"/>
          <w:szCs w:val="17"/>
          <w:color w:val="auto"/>
        </w:rPr>
        <w:t>If you have further questions, please contact your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1186180</wp:posOffset>
            </wp:positionV>
            <wp:extent cx="7174865" cy="406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365760</wp:posOffset>
            </wp:positionV>
            <wp:extent cx="4476115" cy="41275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4476115" cy="412750"/>
                    </a:xfrm>
                    <a:prstGeom prst="rect">
                      <a:avLst/>
                    </a:prstGeom>
                    <a:noFill/>
                  </pic:spPr>
                </pic:pic>
              </a:graphicData>
            </a:graphic>
          </wp:anchor>
        </w:drawing>
      </w:r>
    </w:p>
    <w:p>
      <w:pPr>
        <w:sectPr>
          <w:pgSz w:w="11900" w:h="16838" w:orient="portrait"/>
          <w:cols w:equalWidth="0" w:num="1">
            <w:col w:w="11245"/>
          </w:cols>
          <w:pgMar w:left="315" w:top="1440" w:right="339" w:bottom="1440" w:gutter="0" w:footer="0" w:header="0"/>
        </w:sectPr>
      </w:pPr>
    </w:p>
    <w:bookmarkStart w:id="130" w:name="page131"/>
    <w:bookmarkEnd w:id="130"/>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173" w:lineRule="exact"/>
        <w:rPr>
          <w:sz w:val="20"/>
          <w:szCs w:val="20"/>
          <w:color w:val="auto"/>
        </w:rPr>
      </w:pPr>
    </w:p>
    <w:p>
      <w:pPr>
        <w:spacing w:after="0" w:line="248" w:lineRule="auto"/>
        <w:rPr>
          <w:sz w:val="20"/>
          <w:szCs w:val="20"/>
          <w:color w:val="auto"/>
        </w:rPr>
      </w:pPr>
      <w:r>
        <w:rPr>
          <w:rFonts w:ascii="Arial" w:cs="Arial" w:eastAsia="Arial" w:hAnsi="Arial"/>
          <w:sz w:val="15"/>
          <w:szCs w:val="15"/>
          <w:color w:val="auto"/>
        </w:rPr>
        <w:t xml:space="preserve">In addition to historical information, this document contains forward-looking statements within the meaning of Section 27A of the Securities Act of 1933, as amended, and Section 21E of the Securities Exchange Act of 1934, as amended. These forward-looking statements, which are based on current expectations, estimates and projections about the industry and markets in which DXL and FullBeauty operate and beliefs of and assumptions made by DXL management and FullBeauty management, involve uncertainties that could significantly affect the financial results of DXL or FullBeauty or the combined company. Words such as “anticipates,” “believes,” “estimates,” “expects,” “intends,” “plans,” “seeks” and variations of such words and similar expressions are intended to identify such forward-looking statements, which generally are not historical in nature. With respect to any such forward-looking statements, DXL and FullBeauty each claim the protection provided for in the Private Securities Litigation Reform Act of 1995. Such forward-looking statements include, but are not limited to, statements about the benefits of the transaction involving DXL and FullBeauty, including future financial and operating results and the combined company’s plans, objectives, expectations and intentions. All statements that address operating performance, events or developments that we expect or anticipate will occur in the future — including statements relating to creating value for stockholders, integrating DXL and FullBeauty, and the expected timing for completing the merger — are forward-looking statements. These statements are not guarantees of future performance and involve certain risks, uncertainties and assumptions that are difficult to predict. Although we believe the expectations reflected in any forward-looking statements are based on reasonable assumptions, we can give no assurance that our expectations will be attained and therefore, actual outcomes and results may differ materially from what is expressed or forecasted in such forward-looking statements. For example, these forward-looking statements could be affected by factors including, without limitation, risks associated with the ability to consummate the merger and the timing of the closing of the merger; the conditions to the completion of the merger, including the receipt of DXL stockholder approval for the merger; the ability to successfully integrate and scale our operations and employees; the ability and timing to realize anticipated benefits and synergies of the merger; the potential impact of the announcement, pendency or consummation of the merger on relationships, including with employees, customers, credit rating agencies, suppliers and competitors; the ability to retain key personnel; the challenging macroeconomic environment, including volatility and changes in global trade policies, and the ability of the combined company to mitigate potential tariff exposure and maintain supply; the ability to achieve performance targets; changes in financial markets, interest rates and foreign currency exchange rates; negative rating agency actions; the outcome of any legal proceedings that may be instituted against DXL or FullBeauty; the risk that any announcements relating to the merger could have adverse effects on the market price of the common stock of DXL; diversion of management’s attention from ongoing business operations and opportunities; and those additional risks and factors detailed in the Proxy Statement referenced below when available and other reports filed with the SEC by DXL from time to time, including those discussed under the heading “Risk Factors” in DXL’s most recently filed Annual Report on Form 10-K. These documents are available through our website or through the SEC’s Electronic Data Gathering and Analysis Retrieval (EDGAR) system at </w:t>
      </w:r>
      <w:r>
        <w:rPr>
          <w:rFonts w:ascii="Arial" w:cs="Arial" w:eastAsia="Arial" w:hAnsi="Arial"/>
          <w:sz w:val="15"/>
          <w:szCs w:val="15"/>
          <w:i w:val="1"/>
          <w:iCs w:val="1"/>
          <w:color w:val="auto"/>
        </w:rPr>
        <w:t>http://www.sec.gov</w:t>
      </w:r>
      <w:r>
        <w:rPr>
          <w:rFonts w:ascii="Arial" w:cs="Arial" w:eastAsia="Arial" w:hAnsi="Arial"/>
          <w:sz w:val="15"/>
          <w:szCs w:val="15"/>
          <w:color w:val="auto"/>
        </w:rPr>
        <w:t>. Neither DXL nor FullBeauty undertakes any duty to update any forward-looking statements contained herein, whether as a result of new information or developments, future events or otherwise, except as required by law. Readers are cautioned not to place undue reliance on any of these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1049020</wp:posOffset>
            </wp:positionV>
            <wp:extent cx="7174865" cy="4064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228600</wp:posOffset>
            </wp:positionV>
            <wp:extent cx="4476115" cy="41275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4476115" cy="41275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3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Additional Information About the Merger and Where to Find It</w:t>
      </w:r>
    </w:p>
    <w:p>
      <w:pPr>
        <w:spacing w:after="0" w:line="173" w:lineRule="exact"/>
        <w:rPr>
          <w:sz w:val="20"/>
          <w:szCs w:val="20"/>
          <w:color w:val="auto"/>
        </w:rPr>
      </w:pPr>
    </w:p>
    <w:p>
      <w:pPr>
        <w:ind w:right="40"/>
        <w:spacing w:after="0" w:line="236" w:lineRule="auto"/>
        <w:rPr>
          <w:sz w:val="20"/>
          <w:szCs w:val="20"/>
          <w:color w:val="auto"/>
        </w:rPr>
      </w:pPr>
      <w:r>
        <w:rPr>
          <w:rFonts w:ascii="Arial" w:cs="Arial" w:eastAsia="Arial" w:hAnsi="Arial"/>
          <w:sz w:val="16"/>
          <w:szCs w:val="16"/>
          <w:color w:val="auto"/>
        </w:rPr>
        <w:t xml:space="preserve">In connection with the merger, DXL intends to file a proxy statement (the “Proxy Statement”), which will be distributed to the stockholders of DXL in connection with their votes on the issuance of DXL Common Stock in the merger. Investors and security holders are encouraged to read the Proxy Statement when it becomes available (and any other documents filed with the Securities and Exchange Commission (the “SEC”) in connection with the merger or incorporated by reference into the Proxy Statement) because such documents will contain important information regarding the merger and related matters. Investors and security holders will be able to obtain these documents, and any other documents DXL has filed with the SEC, free of charge at the SEC’s website,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or by accessing DXL’s website at </w:t>
      </w:r>
      <w:r>
        <w:rPr>
          <w:rFonts w:ascii="Arial" w:cs="Arial" w:eastAsia="Arial" w:hAnsi="Arial"/>
          <w:sz w:val="16"/>
          <w:szCs w:val="16"/>
          <w:i w:val="1"/>
          <w:iCs w:val="1"/>
          <w:color w:val="auto"/>
        </w:rPr>
        <w:t>investor.dxl.com</w:t>
      </w:r>
      <w:r>
        <w:rPr>
          <w:rFonts w:ascii="Arial" w:cs="Arial" w:eastAsia="Arial" w:hAnsi="Arial"/>
          <w:sz w:val="16"/>
          <w:szCs w:val="16"/>
          <w:color w:val="auto"/>
        </w:rPr>
        <w:t>. In addition, documents filed with the SEC by DXL will be available free of charge by writing to DXL at 555 Turnpike Street, Canton, Massachusetts 02021, Attention: Corporate Secretary.</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Participants in the Solicitation</w:t>
      </w:r>
    </w:p>
    <w:p>
      <w:pPr>
        <w:spacing w:after="0" w:line="173" w:lineRule="exact"/>
        <w:rPr>
          <w:sz w:val="20"/>
          <w:szCs w:val="20"/>
          <w:color w:val="auto"/>
        </w:rPr>
      </w:pPr>
    </w:p>
    <w:p>
      <w:pPr>
        <w:spacing w:after="0" w:line="235" w:lineRule="auto"/>
        <w:rPr>
          <w:sz w:val="20"/>
          <w:szCs w:val="20"/>
          <w:color w:val="auto"/>
        </w:rPr>
      </w:pPr>
      <w:r>
        <w:rPr>
          <w:rFonts w:ascii="Arial" w:cs="Arial" w:eastAsia="Arial" w:hAnsi="Arial"/>
          <w:sz w:val="16"/>
          <w:szCs w:val="16"/>
          <w:color w:val="auto"/>
        </w:rPr>
        <w:t>DXL and certain of its directors and executive officers may be deemed to be participants in the solicitation of proxies from the stockholders of DXL in connection with the merger. Information about DXL’s directors and executive officers, including a description of their direct or indirect interests, by security holdings or otherwise, is set forth in DXL’s proxy statement for its 2025 annual meeting of stockholders, which was filed with the SEC on June 30, 2025, including under the headings “Director Compensation,” “Compensation Discussion and Analysis,” “Executive Compensation,” “Security Ownership of Management.” To the extent holdings of DXL common stock by the directors and executive officers of DXL have changed from the amounts of DXL common stock held by such persons as reflected therein, such changes have been or will be reflected on Initial Statements of Beneficial Ownership of Securities on Form 3, Statements of Changes in Beneficial Ownership on Form 4 or Annual Statements of Changes in Beneficial Ownership of Securities on Form 5, in each case filed with the SEC, including the Form 4s filed by each of the non-executive directors on August 6, 2025, the Form 4s filed by each of the executive officers on September 3, 2025 and the Form 4s filed by each of the non-executive directors on November 5, 2025.</w:t>
      </w:r>
    </w:p>
    <w:p>
      <w:pPr>
        <w:spacing w:after="0" w:line="153" w:lineRule="exact"/>
        <w:rPr>
          <w:sz w:val="20"/>
          <w:szCs w:val="20"/>
          <w:color w:val="auto"/>
        </w:rPr>
      </w:pPr>
    </w:p>
    <w:p>
      <w:pPr>
        <w:ind w:right="440"/>
        <w:spacing w:after="0" w:line="260" w:lineRule="auto"/>
        <w:rPr>
          <w:sz w:val="20"/>
          <w:szCs w:val="20"/>
          <w:color w:val="auto"/>
        </w:rPr>
      </w:pPr>
      <w:r>
        <w:rPr>
          <w:rFonts w:ascii="Arial" w:cs="Arial" w:eastAsia="Arial" w:hAnsi="Arial"/>
          <w:sz w:val="16"/>
          <w:szCs w:val="16"/>
          <w:color w:val="auto"/>
        </w:rPr>
        <w:t>FullBeauty and its chief executive officer may be deemed to be participants in the solicitation of proxies from the stockholders of DXL in connection with the Merger. Information about FullBeauty and its chief executive officer is available as Exhibit 99.9 to the Form 8-K filed on December 11, 2025.</w:t>
      </w:r>
    </w:p>
    <w:p>
      <w:pPr>
        <w:spacing w:after="0" w:line="134" w:lineRule="exact"/>
        <w:rPr>
          <w:sz w:val="20"/>
          <w:szCs w:val="20"/>
          <w:color w:val="auto"/>
        </w:rPr>
      </w:pPr>
    </w:p>
    <w:p>
      <w:pPr>
        <w:ind w:right="160"/>
        <w:spacing w:after="0" w:line="294" w:lineRule="auto"/>
        <w:rPr>
          <w:sz w:val="20"/>
          <w:szCs w:val="20"/>
          <w:color w:val="auto"/>
        </w:rPr>
      </w:pPr>
      <w:r>
        <w:rPr>
          <w:rFonts w:ascii="Arial" w:cs="Arial" w:eastAsia="Arial" w:hAnsi="Arial"/>
          <w:sz w:val="15"/>
          <w:szCs w:val="15"/>
          <w:color w:val="auto"/>
        </w:rPr>
        <w:t>Additional information regarding the participants in the proxy solicitation and a description of their direct and indirect interests, by security holdings or otherwise, will be contained in the Proxy Statement regarding the merger when it becomes available. Free copies of this document may be obtained as described above.</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 Offer or Solicitation</w:t>
      </w:r>
    </w:p>
    <w:p>
      <w:pPr>
        <w:spacing w:after="0" w:line="173" w:lineRule="exact"/>
        <w:rPr>
          <w:sz w:val="20"/>
          <w:szCs w:val="20"/>
          <w:color w:val="auto"/>
        </w:rPr>
      </w:pPr>
    </w:p>
    <w:p>
      <w:pPr>
        <w:ind w:right="300"/>
        <w:spacing w:after="0" w:line="270" w:lineRule="auto"/>
        <w:rPr>
          <w:sz w:val="20"/>
          <w:szCs w:val="20"/>
          <w:color w:val="auto"/>
        </w:rPr>
      </w:pPr>
      <w:r>
        <w:rPr>
          <w:rFonts w:ascii="Arial" w:cs="Arial" w:eastAsia="Arial" w:hAnsi="Arial"/>
          <w:sz w:val="15"/>
          <w:szCs w:val="15"/>
          <w:color w:val="auto"/>
        </w:rPr>
        <w:t>This communication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798830</wp:posOffset>
            </wp:positionV>
            <wp:extent cx="7174865" cy="4064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-21590</wp:posOffset>
            </wp:positionV>
            <wp:extent cx="4476115" cy="41275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4476115" cy="41275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2" w:name="page133"/>
    <w:bookmarkEnd w:id="132"/>
    <w:p>
      <w:pPr>
        <w:ind w:left="9580"/>
        <w:spacing w:after="0"/>
        <w:rPr>
          <w:sz w:val="20"/>
          <w:szCs w:val="20"/>
          <w:color w:val="auto"/>
        </w:rPr>
      </w:pPr>
      <w:r>
        <w:rPr>
          <w:rFonts w:ascii="Times New Roman" w:cs="Times New Roman" w:eastAsia="Times New Roman" w:hAnsi="Times New Roman"/>
          <w:sz w:val="16"/>
          <w:szCs w:val="16"/>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-106045</wp:posOffset>
            </wp:positionV>
            <wp:extent cx="2245360" cy="1276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245360" cy="12763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DXL team,</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Thank you again for the warm welcome many of you extended during this morning’s town hall.</w:t>
      </w:r>
    </w:p>
    <w:p>
      <w:pPr>
        <w:spacing w:after="0" w:line="171"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As Harvey shared earlier today, this is a truly important milestone for both DXL and FullBeauty. I want to take a moment to reflect on the opportunity ahead and how much I look forward to working alongside you as we build our combined future.</w:t>
      </w:r>
    </w:p>
    <w:p>
      <w:pPr>
        <w:spacing w:after="0" w:line="134" w:lineRule="exact"/>
        <w:rPr>
          <w:sz w:val="20"/>
          <w:szCs w:val="20"/>
          <w:color w:val="auto"/>
        </w:rPr>
      </w:pPr>
    </w:p>
    <w:p>
      <w:pPr>
        <w:jc w:val="both"/>
        <w:ind w:right="340"/>
        <w:spacing w:after="0" w:line="246" w:lineRule="auto"/>
        <w:rPr>
          <w:sz w:val="20"/>
          <w:szCs w:val="20"/>
          <w:color w:val="auto"/>
        </w:rPr>
      </w:pPr>
      <w:r>
        <w:rPr>
          <w:rFonts w:ascii="Arial" w:cs="Arial" w:eastAsia="Arial" w:hAnsi="Arial"/>
          <w:sz w:val="16"/>
          <w:szCs w:val="16"/>
          <w:color w:val="auto"/>
        </w:rPr>
        <w:t>In my conversations with Harvey, Peter and the broader DXL leadership team, what has stood out most is the strong sense of purpose that runs through this company. Your commitment to fit, quality, service and elevating a customer who has long been underserved is unmistakable. That clarity of mission has also guided FullBeauty for more than 120 years, and it’s one of the many reasons our two companies align so naturally.</w:t>
      </w:r>
    </w:p>
    <w:p>
      <w:pPr>
        <w:spacing w:after="0" w:line="144" w:lineRule="exact"/>
        <w:rPr>
          <w:sz w:val="20"/>
          <w:szCs w:val="20"/>
          <w:color w:val="auto"/>
        </w:rPr>
      </w:pPr>
    </w:p>
    <w:p>
      <w:pPr>
        <w:ind w:right="260"/>
        <w:spacing w:after="0" w:line="239" w:lineRule="auto"/>
        <w:rPr>
          <w:sz w:val="20"/>
          <w:szCs w:val="20"/>
          <w:color w:val="auto"/>
        </w:rPr>
      </w:pPr>
      <w:r>
        <w:rPr>
          <w:rFonts w:ascii="Arial" w:cs="Arial" w:eastAsia="Arial" w:hAnsi="Arial"/>
          <w:sz w:val="16"/>
          <w:szCs w:val="16"/>
          <w:color w:val="auto"/>
        </w:rPr>
        <w:t>As I prepare to join you next year as CEO of the combined company, I’d like to share more about my background. I have spent 35 years in the retail and consumer sector, including serving as CEO of Orchard Brands, CEO of Charming Shoppes (the former parent of Lane Bryant, Catherines and Fashion Bug), CEO of American Italian Pasta Company, CFO of Levi Strauss &amp; Co. and CFO of The Warnaco Group. I currently serve on the Boards of Darden Restaurants and Serta Simmons. Across these experiences, what has mattered most is working with teams who care deeply about solving real customer needs. That is exactly what I see here at DXL, and it energizes me for what we can build together.</w:t>
      </w:r>
    </w:p>
    <w:p>
      <w:pPr>
        <w:spacing w:after="0" w:line="148" w:lineRule="exact"/>
        <w:rPr>
          <w:sz w:val="20"/>
          <w:szCs w:val="20"/>
          <w:color w:val="auto"/>
        </w:rPr>
      </w:pPr>
    </w:p>
    <w:p>
      <w:pPr>
        <w:ind w:right="120"/>
        <w:spacing w:after="0" w:line="239" w:lineRule="auto"/>
        <w:rPr>
          <w:sz w:val="20"/>
          <w:szCs w:val="20"/>
          <w:color w:val="auto"/>
        </w:rPr>
      </w:pPr>
      <w:r>
        <w:rPr>
          <w:rFonts w:ascii="Arial" w:cs="Arial" w:eastAsia="Arial" w:hAnsi="Arial"/>
          <w:sz w:val="16"/>
          <w:szCs w:val="16"/>
          <w:color w:val="auto"/>
        </w:rPr>
        <w:t>What inspires me most about this merger is not simply the scale we will gain, but the opportunity to help shape the future of inclusive fashion. FullBeauty brings leading brands, digital reach and a legacy of serving plus-size women. DXL contributes industry-defining Big + Tall expertise, anchored by a fit philosophy and store experience that truly sets the standard. Together, our capabilities position us to raise expectations for the entire category – delivering greater choice, more innovation and a more seamless experience for the customers we serve. Our shared commitment will guide us forward, and I look forward to working with our combined team to unlock the full potential of this next chapter.</w:t>
      </w:r>
    </w:p>
    <w:p>
      <w:pPr>
        <w:spacing w:after="0" w:line="148" w:lineRule="exact"/>
        <w:rPr>
          <w:sz w:val="20"/>
          <w:szCs w:val="20"/>
          <w:color w:val="auto"/>
        </w:rPr>
      </w:pPr>
    </w:p>
    <w:p>
      <w:pPr>
        <w:jc w:val="both"/>
        <w:ind w:right="300"/>
        <w:spacing w:after="0" w:line="241" w:lineRule="auto"/>
        <w:rPr>
          <w:sz w:val="20"/>
          <w:szCs w:val="20"/>
          <w:color w:val="auto"/>
        </w:rPr>
      </w:pPr>
      <w:r>
        <w:rPr>
          <w:rFonts w:ascii="Arial" w:cs="Arial" w:eastAsia="Arial" w:hAnsi="Arial"/>
          <w:sz w:val="16"/>
          <w:szCs w:val="16"/>
          <w:color w:val="auto"/>
        </w:rPr>
        <w:t>I also want to acknowledge what this means for you personally. Coming together as a larger, more diversified and more resilient organization strengthens our ability to compete – expanding our reach, enhancing our stability and creating new opportunities for growth over time. It also gives all of us the opportunity to learn from each other’s expertise. We’re creating a retailer where teams can broaden their capabilities, deepen their craft and leverage shared best practices. This combination positions us to be a leader in the category with confidence for years to come.</w:t>
      </w:r>
    </w:p>
    <w:p>
      <w:pPr>
        <w:spacing w:after="0" w:line="148"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As we move forward, I remain committed to listening first, to learning from the deep knowledge across the DXL organization and ensuring that the culture, experience and customer focus that have defined this company remain core to who we are. These strengths will continue to be foundational to our success as we build this next chapter together.</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Thank you for being part of this journey.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118110</wp:posOffset>
            </wp:positionV>
            <wp:extent cx="863600" cy="21780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63600" cy="21780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auto"/>
        </w:rPr>
        <w:t>Jim Fogarty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 FullBeauty Brands</w:t>
      </w:r>
    </w:p>
    <w:p>
      <w:pPr>
        <w:jc w:val="center"/>
        <w:spacing w:after="0"/>
        <w:tabs>
          <w:tab w:leader="none" w:pos="120" w:val="left"/>
          <w:tab w:leader="none" w:pos="120" w:val="left"/>
        </w:tabs>
        <w:rPr>
          <w:sz w:val="20"/>
          <w:szCs w:val="20"/>
          <w:color w:val="auto"/>
        </w:rPr>
      </w:pPr>
      <w:r>
        <w:rPr>
          <w:rFonts w:ascii="Arial" w:cs="Arial" w:eastAsia="Arial" w:hAnsi="Arial"/>
          <w:sz w:val="17"/>
          <w:szCs w:val="17"/>
          <w:color w:val="B14EB5"/>
        </w:rPr>
        <w:t>1 New York Plaza, New York, NY 10004</w:t>
        <w:tab/>
        <w:t>212.613.9500</w:t>
      </w:r>
      <w:r>
        <w:rPr>
          <w:sz w:val="20"/>
          <w:szCs w:val="20"/>
          <w:color w:val="auto"/>
        </w:rPr>
        <w:tab/>
      </w:r>
      <w:r>
        <w:rPr>
          <w:rFonts w:ascii="Arial" w:cs="Arial" w:eastAsia="Arial" w:hAnsi="Arial"/>
          <w:sz w:val="16"/>
          <w:szCs w:val="16"/>
          <w:color w:val="B14EB5"/>
        </w:rPr>
        <w:t>www.fbbrands.com</w:t>
      </w: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B14EB5"/>
        </w:rPr>
        <w:t>ONESTOPPLUS | WOMAN WITHIN | ROAMAN’S | CATHERINES | JESSICA LONDON | ELLOS | INTIMATES FOR ALL SHOES FOR ALL | SWIMSUITS FOR ALL | ACTIVE FOR ALL | JUNE + VIE | BRYLANEHOME | KINGSIZE | FULLBEAUTY OUTLET ELOQUII | CUUP | DIA &amp; CO. | DIA SHOP | AVENUE | JOE BROWNS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762635</wp:posOffset>
            </wp:positionV>
            <wp:extent cx="7174865" cy="4064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133" w:name="page134"/>
    <w:bookmarkEnd w:id="133"/>
    <w:p>
      <w:pPr>
        <w:spacing w:after="0"/>
        <w:rPr>
          <w:sz w:val="20"/>
          <w:szCs w:val="20"/>
          <w:color w:val="auto"/>
        </w:rPr>
      </w:pPr>
      <w:r>
        <w:rPr>
          <w:rFonts w:ascii="Arial" w:cs="Arial" w:eastAsia="Arial" w:hAnsi="Arial"/>
          <w:sz w:val="16"/>
          <w:szCs w:val="16"/>
          <w:b w:val="1"/>
          <w:bCs w:val="1"/>
          <w:color w:val="auto"/>
        </w:rPr>
        <w:t>Forward-Looking Statements</w:t>
      </w:r>
    </w:p>
    <w:p>
      <w:pPr>
        <w:spacing w:after="0" w:line="173" w:lineRule="exact"/>
        <w:rPr>
          <w:sz w:val="20"/>
          <w:szCs w:val="20"/>
          <w:color w:val="auto"/>
        </w:rPr>
      </w:pPr>
    </w:p>
    <w:p>
      <w:pPr>
        <w:spacing w:after="0" w:line="248" w:lineRule="auto"/>
        <w:rPr>
          <w:sz w:val="20"/>
          <w:szCs w:val="20"/>
          <w:color w:val="auto"/>
        </w:rPr>
      </w:pPr>
      <w:r>
        <w:rPr>
          <w:rFonts w:ascii="Arial" w:cs="Arial" w:eastAsia="Arial" w:hAnsi="Arial"/>
          <w:sz w:val="15"/>
          <w:szCs w:val="15"/>
          <w:color w:val="auto"/>
        </w:rPr>
        <w:t xml:space="preserve">In addition to historical information, this document contains forward-looking statements within the meaning of Section 27A of the Securities Act of 1933, as amended, and Section 21E of the Securities Exchange Act of 1934, as amended. These forward-looking statements, which are based on current expectations, estimates and projections about the industry and markets in which DXL and FullBeauty operate and beliefs of and assumptions made by DXL management and FullBeauty management, involve uncertainties that could significantly affect the financial results of DXL or FullBeauty or the combined company. Words such as “anticipates,” “believes,” “estimates,” “expects,” “intends,” “plans,” “seeks” and variations of such words and similar expressions are intended to identify such forward-looking statements, which generally are not historical in nature. With respect to any such forward-looking statements, DXL and FullBeauty each claim the protection provided for in the Private Securities Litigation Reform Act of 1995. Such forward-looking statements include, but are not limited to, statements about the benefits of the transaction involving DXL and FullBeauty, including future financial and operating results and the combined company’s plans, objectives, expectations and intentions. All statements that address operating performance, events or developments that we expect or anticipate will occur in the future — including statements relating to creating value for stockholders, integrating DXL and FullBeauty, and the expected timing for completing the merger — are forward-looking statements. These statements are not guarantees of future performance and involve certain risks, uncertainties and assumptions that are difficult to predict. Although we believe the expectations reflected in any forward-looking statements are based on reasonable assumptions, we can give no assurance that our expectations will be attained and therefore, actual outcomes and results may differ materially from what is expressed or forecasted in such forward-looking statements. For example, these forward-looking statements could be affected by factors including, without limitation, risks associated with the ability to consummate the merger and the timing of the closing of the merger; the conditions to the completion of the merger, including the receipt of DXL stockholder approval for the merger; the ability to successfully integrate and scale our operations and employees; the ability and timing to realize anticipated benefits and synergies of the merger; the potential impact of the announcement, pendency or consummation of the merger on relationships, including with employees, customers, credit rating agencies, suppliers and competitors; the ability to retain key personnel; the challenging macroeconomic environment, including volatility and changes in global trade policies, and the ability of the combined company to mitigate potential tariff exposure and maintain supply; the ability to achieve performance targets; changes in financial markets, interest rates and foreign currency exchange rates; negative rating agency actions; the outcome of any legal proceedings that may be instituted against DXL or FullBeauty; the risk that any announcements relating to the merger could have adverse effects on the market price of the common stock of DXL; diversion of management’s attention from ongoing business operations and opportunities; and those additional risks and factors detailed in the Proxy Statement referenced below when available and other reports filed with the SEC by DXL from time to time, including those discussed under the heading “Risk Factors” in DXL’s most recently filed Annual Report on Form 10-K. These documents are available through our website or through the SEC’s Electronic Data Gathering and Analysis Retrieval (EDGAR) system at </w:t>
      </w:r>
      <w:r>
        <w:rPr>
          <w:rFonts w:ascii="Arial" w:cs="Arial" w:eastAsia="Arial" w:hAnsi="Arial"/>
          <w:sz w:val="15"/>
          <w:szCs w:val="15"/>
          <w:i w:val="1"/>
          <w:iCs w:val="1"/>
          <w:color w:val="auto"/>
        </w:rPr>
        <w:t>http://www.sec.gov</w:t>
      </w:r>
      <w:r>
        <w:rPr>
          <w:rFonts w:ascii="Arial" w:cs="Arial" w:eastAsia="Arial" w:hAnsi="Arial"/>
          <w:sz w:val="15"/>
          <w:szCs w:val="15"/>
          <w:color w:val="auto"/>
        </w:rPr>
        <w:t>. Neither DXL nor FullBeauty undertakes any duty to update any forward-looking statements contained herein, whether as a result of new information or developments, future events or otherwise, except as required by law. Readers are cautioned not to place undue reliance on any of these forward-looking statements.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Additional Information About the Merger and Where to Find It</w:t>
      </w:r>
    </w:p>
    <w:p>
      <w:pPr>
        <w:spacing w:after="0" w:line="173" w:lineRule="exact"/>
        <w:rPr>
          <w:sz w:val="20"/>
          <w:szCs w:val="20"/>
          <w:color w:val="auto"/>
        </w:rPr>
      </w:pPr>
    </w:p>
    <w:p>
      <w:pPr>
        <w:ind w:right="40"/>
        <w:spacing w:after="0" w:line="239" w:lineRule="auto"/>
        <w:rPr>
          <w:sz w:val="20"/>
          <w:szCs w:val="20"/>
          <w:color w:val="auto"/>
        </w:rPr>
      </w:pPr>
      <w:r>
        <w:rPr>
          <w:rFonts w:ascii="Arial" w:cs="Arial" w:eastAsia="Arial" w:hAnsi="Arial"/>
          <w:sz w:val="16"/>
          <w:szCs w:val="16"/>
          <w:color w:val="auto"/>
        </w:rPr>
        <w:t>In connection with the merger, DXL intends to file a proxy statement (the “Proxy Statement”), which will be distributed to the stockholders of DXL in connection with their votes on the issuance of DXL Common Stock in the merger. Investors and security holders are encouraged to read the Proxy Statement when it becomes available (and any other documents filed with the Securities and Exchange Commission (the “SEC”) in connection with the merger or incorporated by reference into the Proxy Statement) because such documents will contain important information regarding the merger and related matters. Investors and security holders will be able to obtain these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759460</wp:posOffset>
            </wp:positionV>
            <wp:extent cx="7174865" cy="4064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258" w:right="339" w:bottom="1440" w:gutter="0" w:footer="0" w:header="0"/>
        </w:sectPr>
      </w:pPr>
    </w:p>
    <w:bookmarkStart w:id="134" w:name="page135"/>
    <w:bookmarkEnd w:id="134"/>
    <w:p>
      <w:pPr>
        <w:ind w:right="700"/>
        <w:spacing w:after="0" w:line="246" w:lineRule="auto"/>
        <w:rPr>
          <w:sz w:val="20"/>
          <w:szCs w:val="20"/>
          <w:color w:val="auto"/>
        </w:rPr>
      </w:pPr>
      <w:r>
        <w:rPr>
          <w:rFonts w:ascii="Arial" w:cs="Arial" w:eastAsia="Arial" w:hAnsi="Arial"/>
          <w:sz w:val="16"/>
          <w:szCs w:val="16"/>
          <w:color w:val="auto"/>
        </w:rPr>
        <w:t xml:space="preserve">documents, and any other documents DXL has filed with the SEC, free of charge at the SEC’s website,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or by accessing DXL’s website at </w:t>
      </w:r>
      <w:r>
        <w:rPr>
          <w:rFonts w:ascii="Arial" w:cs="Arial" w:eastAsia="Arial" w:hAnsi="Arial"/>
          <w:sz w:val="16"/>
          <w:szCs w:val="16"/>
          <w:i w:val="1"/>
          <w:iCs w:val="1"/>
          <w:color w:val="auto"/>
        </w:rPr>
        <w:t>investor.dxl.com</w:t>
      </w:r>
      <w:r>
        <w:rPr>
          <w:rFonts w:ascii="Arial" w:cs="Arial" w:eastAsia="Arial" w:hAnsi="Arial"/>
          <w:sz w:val="16"/>
          <w:szCs w:val="16"/>
          <w:color w:val="auto"/>
        </w:rPr>
        <w:t>. In addition, documents filed with the SEC by DXL will be available free of charge by writing to DXL at 555 Turnpike Street, Canton,</w:t>
      </w:r>
      <w:r>
        <w:rPr>
          <w:rFonts w:ascii="Arial" w:cs="Arial" w:eastAsia="Arial" w:hAnsi="Arial"/>
          <w:sz w:val="16"/>
          <w:szCs w:val="16"/>
          <w:i w:val="1"/>
          <w:iCs w:val="1"/>
          <w:color w:val="auto"/>
        </w:rPr>
        <w:t xml:space="preserve"> </w:t>
      </w:r>
      <w:r>
        <w:rPr>
          <w:rFonts w:ascii="Arial" w:cs="Arial" w:eastAsia="Arial" w:hAnsi="Arial"/>
          <w:sz w:val="16"/>
          <w:szCs w:val="16"/>
          <w:color w:val="auto"/>
        </w:rPr>
        <w:t>Massachusetts 02021, Attention: Corporate Secretary.</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Participants in the Solicitation</w:t>
      </w:r>
    </w:p>
    <w:p>
      <w:pPr>
        <w:spacing w:after="0" w:line="173" w:lineRule="exact"/>
        <w:rPr>
          <w:sz w:val="20"/>
          <w:szCs w:val="20"/>
          <w:color w:val="auto"/>
        </w:rPr>
      </w:pPr>
    </w:p>
    <w:p>
      <w:pPr>
        <w:spacing w:after="0" w:line="235" w:lineRule="auto"/>
        <w:rPr>
          <w:sz w:val="20"/>
          <w:szCs w:val="20"/>
          <w:color w:val="auto"/>
        </w:rPr>
      </w:pPr>
      <w:r>
        <w:rPr>
          <w:rFonts w:ascii="Arial" w:cs="Arial" w:eastAsia="Arial" w:hAnsi="Arial"/>
          <w:sz w:val="16"/>
          <w:szCs w:val="16"/>
          <w:color w:val="auto"/>
        </w:rPr>
        <w:t>DXL and certain of its directors and executive officers may be deemed to be participants in the solicitation of proxies from the stockholders of DXL in connection with the merger. Information about DXL’s directors and executive officers, including a description of their direct or indirect interests, by security holdings or otherwise, is set forth in DXL’s proxy statement for its 2025 annual meeting of stockholders, which was filed with the SEC on June 30, 2025, including under the headings “Director Compensation,” “Compensation Discussion and Analysis,” “Executive Compensation,” “Security Ownership of Management.” To the extent holdings of DXL common stock by the directors and executive officers of DXL have changed from the amounts of DXL common stock held by such persons as reflected therein, such changes have been or will be reflected on Initial Statements of Beneficial Ownership of Securities on Form 3, Statements of Changes in Beneficial Ownership on Form 4 or Annual Statements of Changes in Beneficial Ownership of Securities on Form 5, in each case filed with the SEC, including the Form 4s filed by each of the non-executive directors on August 6, 2025, the Form 4s filed by each of the executive officers on September 3, 2025 and the Form 4s filed by each of the non-executive directors on November 5, 2025.</w:t>
      </w:r>
    </w:p>
    <w:p>
      <w:pPr>
        <w:spacing w:after="0" w:line="153" w:lineRule="exact"/>
        <w:rPr>
          <w:sz w:val="20"/>
          <w:szCs w:val="20"/>
          <w:color w:val="auto"/>
        </w:rPr>
      </w:pPr>
    </w:p>
    <w:p>
      <w:pPr>
        <w:ind w:right="440"/>
        <w:spacing w:after="0" w:line="260" w:lineRule="auto"/>
        <w:rPr>
          <w:sz w:val="20"/>
          <w:szCs w:val="20"/>
          <w:color w:val="auto"/>
        </w:rPr>
      </w:pPr>
      <w:r>
        <w:rPr>
          <w:rFonts w:ascii="Arial" w:cs="Arial" w:eastAsia="Arial" w:hAnsi="Arial"/>
          <w:sz w:val="16"/>
          <w:szCs w:val="16"/>
          <w:color w:val="auto"/>
        </w:rPr>
        <w:t>FullBeauty and its chief executive officer may be deemed to be participants in the solicitation of proxies from the stockholders of DXL in connection with the Merger. Information about FullBeauty and its chief executive officer is available as Exhibit 99.9 to the Form 8-K filed on December 11, 2025.</w:t>
      </w:r>
    </w:p>
    <w:p>
      <w:pPr>
        <w:spacing w:after="0" w:line="134" w:lineRule="exact"/>
        <w:rPr>
          <w:sz w:val="20"/>
          <w:szCs w:val="20"/>
          <w:color w:val="auto"/>
        </w:rPr>
      </w:pPr>
    </w:p>
    <w:p>
      <w:pPr>
        <w:ind w:right="160"/>
        <w:spacing w:after="0" w:line="294" w:lineRule="auto"/>
        <w:rPr>
          <w:sz w:val="20"/>
          <w:szCs w:val="20"/>
          <w:color w:val="auto"/>
        </w:rPr>
      </w:pPr>
      <w:r>
        <w:rPr>
          <w:rFonts w:ascii="Arial" w:cs="Arial" w:eastAsia="Arial" w:hAnsi="Arial"/>
          <w:sz w:val="15"/>
          <w:szCs w:val="15"/>
          <w:color w:val="auto"/>
        </w:rPr>
        <w:t>Additional information regarding the participants in the proxy solicitation and a description of their direct and indirect interests, by security holdings or otherwise, will be contained in the Proxy Statement regarding the merger when it becomes available. Free copies of this document may be obtained as described above.</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 Offer or Solicitation</w:t>
      </w:r>
    </w:p>
    <w:p>
      <w:pPr>
        <w:spacing w:after="0" w:line="173" w:lineRule="exact"/>
        <w:rPr>
          <w:sz w:val="20"/>
          <w:szCs w:val="20"/>
          <w:color w:val="auto"/>
        </w:rPr>
      </w:pPr>
    </w:p>
    <w:p>
      <w:pPr>
        <w:ind w:right="300"/>
        <w:spacing w:after="0" w:line="270" w:lineRule="auto"/>
        <w:rPr>
          <w:sz w:val="20"/>
          <w:szCs w:val="20"/>
          <w:color w:val="auto"/>
        </w:rPr>
      </w:pPr>
      <w:r>
        <w:rPr>
          <w:rFonts w:ascii="Arial" w:cs="Arial" w:eastAsia="Arial" w:hAnsi="Arial"/>
          <w:sz w:val="15"/>
          <w:szCs w:val="15"/>
          <w:color w:val="auto"/>
        </w:rPr>
        <w:t>This communication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746125</wp:posOffset>
            </wp:positionV>
            <wp:extent cx="7174865" cy="4064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260" w:right="339" w:bottom="1440" w:gutter="0" w:footer="0" w:header="0"/>
        </w:sectPr>
      </w:pPr>
    </w:p>
    <w:bookmarkStart w:id="135" w:name="page136"/>
    <w:bookmarkEnd w:id="135"/>
    <w:p>
      <w:pPr>
        <w:ind w:left="9685"/>
        <w:spacing w:after="0"/>
        <w:rPr>
          <w:sz w:val="20"/>
          <w:szCs w:val="20"/>
          <w:color w:val="auto"/>
        </w:rPr>
      </w:pPr>
      <w:r>
        <w:rPr>
          <w:rFonts w:ascii="Times New Roman" w:cs="Times New Roman" w:eastAsia="Times New Roman" w:hAnsi="Times New Roman"/>
          <w:sz w:val="16"/>
          <w:szCs w:val="16"/>
          <w:color w:val="auto"/>
        </w:rPr>
        <w:t>EXHIBIT 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-105410</wp:posOffset>
            </wp:positionV>
            <wp:extent cx="1148715" cy="69088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148715" cy="69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
        <w:spacing w:after="0"/>
        <w:rPr>
          <w:sz w:val="20"/>
          <w:szCs w:val="20"/>
          <w:color w:val="auto"/>
        </w:rPr>
      </w:pPr>
      <w:r>
        <w:rPr>
          <w:rFonts w:ascii="Arial" w:cs="Arial" w:eastAsia="Arial" w:hAnsi="Arial"/>
          <w:sz w:val="16"/>
          <w:szCs w:val="16"/>
          <w:color w:val="auto"/>
        </w:rPr>
        <w:t>Dear DXL Rewards Club Member,</w:t>
      </w:r>
    </w:p>
    <w:p>
      <w:pPr>
        <w:spacing w:after="0" w:line="171" w:lineRule="exact"/>
        <w:rPr>
          <w:sz w:val="20"/>
          <w:szCs w:val="20"/>
          <w:color w:val="auto"/>
        </w:rPr>
      </w:pPr>
    </w:p>
    <w:p>
      <w:pPr>
        <w:ind w:left="5" w:right="460"/>
        <w:spacing w:after="0" w:line="260" w:lineRule="auto"/>
        <w:rPr>
          <w:sz w:val="20"/>
          <w:szCs w:val="20"/>
          <w:color w:val="auto"/>
        </w:rPr>
      </w:pPr>
      <w:r>
        <w:rPr>
          <w:rFonts w:ascii="Arial" w:cs="Arial" w:eastAsia="Arial" w:hAnsi="Arial"/>
          <w:sz w:val="16"/>
          <w:szCs w:val="16"/>
          <w:color w:val="auto"/>
        </w:rPr>
        <w:t>I am reaching out with some exciting news today about the future of Destination XL Group. Moments ago, we announced that DXL has entered a definitive agreement to combine with FullBeauty in a merger of equals that will create a scaled, category-defining retailer for inclusive apparel.</w:t>
      </w:r>
    </w:p>
    <w:p>
      <w:pPr>
        <w:spacing w:after="0" w:line="134" w:lineRule="exact"/>
        <w:rPr>
          <w:sz w:val="20"/>
          <w:szCs w:val="20"/>
          <w:color w:val="auto"/>
        </w:rPr>
      </w:pPr>
    </w:p>
    <w:p>
      <w:pPr>
        <w:ind w:left="5"/>
        <w:spacing w:after="0"/>
        <w:rPr>
          <w:sz w:val="20"/>
          <w:szCs w:val="20"/>
          <w:color w:val="auto"/>
        </w:rPr>
      </w:pPr>
      <w:r>
        <w:rPr>
          <w:rFonts w:ascii="Arial" w:cs="Arial" w:eastAsia="Arial" w:hAnsi="Arial"/>
          <w:sz w:val="15"/>
          <w:szCs w:val="15"/>
          <w:color w:val="auto"/>
        </w:rPr>
        <w:t>We are thrilled to be joining forces with FullBeauty, a leading company in extended sizes and size-inclusive fashions that has been serving the plus-size and Big</w:t>
      </w:r>
    </w:p>
    <w:p>
      <w:pPr>
        <w:spacing w:after="0" w:line="19" w:lineRule="exact"/>
        <w:rPr>
          <w:sz w:val="20"/>
          <w:szCs w:val="20"/>
          <w:color w:val="auto"/>
        </w:rPr>
      </w:pPr>
    </w:p>
    <w:p>
      <w:pPr>
        <w:ind w:left="5" w:right="80" w:hanging="5"/>
        <w:spacing w:after="0" w:line="274" w:lineRule="auto"/>
        <w:tabs>
          <w:tab w:leader="none" w:pos="141" w:val="left"/>
        </w:tabs>
        <w:numPr>
          <w:ilvl w:val="0"/>
          <w:numId w:val="132"/>
        </w:numPr>
        <w:rPr>
          <w:rFonts w:ascii="Arial" w:cs="Arial" w:eastAsia="Arial" w:hAnsi="Arial"/>
          <w:sz w:val="15"/>
          <w:szCs w:val="15"/>
          <w:color w:val="auto"/>
        </w:rPr>
      </w:pPr>
      <w:r>
        <w:rPr>
          <w:rFonts w:ascii="Arial" w:cs="Arial" w:eastAsia="Arial" w:hAnsi="Arial"/>
          <w:sz w:val="15"/>
          <w:szCs w:val="15"/>
          <w:color w:val="auto"/>
        </w:rPr>
        <w:t>Tall apparel market since 1901. FullBeauty is a trusted resource for consumers seeking fashion inspiration, style advice and clothing tailored to their individual needs, offering inclusive apparel options from their premier portfolio of brands including OneStopPlus®, Catherines®, WomanWithin® and KingSize®.</w:t>
      </w:r>
    </w:p>
    <w:p>
      <w:pPr>
        <w:spacing w:after="0" w:line="124" w:lineRule="exact"/>
        <w:rPr>
          <w:sz w:val="20"/>
          <w:szCs w:val="20"/>
          <w:color w:val="auto"/>
        </w:rPr>
      </w:pPr>
    </w:p>
    <w:p>
      <w:pPr>
        <w:ind w:left="5" w:right="740"/>
        <w:spacing w:after="0" w:line="260" w:lineRule="auto"/>
        <w:rPr>
          <w:sz w:val="20"/>
          <w:szCs w:val="20"/>
          <w:color w:val="auto"/>
        </w:rPr>
      </w:pPr>
      <w:r>
        <w:rPr>
          <w:rFonts w:ascii="Arial" w:cs="Arial" w:eastAsia="Arial" w:hAnsi="Arial"/>
          <w:sz w:val="16"/>
          <w:szCs w:val="16"/>
          <w:color w:val="auto"/>
        </w:rPr>
        <w:t>Their team shares our foundational commitment to providing an inclusive shopping experience to consumers that are underserved in the broader retail landscape. We are confident that together, we will be well-positioned to realize our vision for a more inclusive fashion industry.</w:t>
      </w:r>
    </w:p>
    <w:p>
      <w:pPr>
        <w:spacing w:after="0" w:line="132" w:lineRule="exact"/>
        <w:rPr>
          <w:sz w:val="20"/>
          <w:szCs w:val="20"/>
          <w:color w:val="auto"/>
        </w:rPr>
      </w:pPr>
    </w:p>
    <w:p>
      <w:pPr>
        <w:ind w:left="5" w:right="40"/>
        <w:spacing w:after="0" w:line="274" w:lineRule="auto"/>
        <w:rPr>
          <w:sz w:val="20"/>
          <w:szCs w:val="20"/>
          <w:color w:val="auto"/>
        </w:rPr>
      </w:pPr>
      <w:r>
        <w:rPr>
          <w:rFonts w:ascii="Arial" w:cs="Arial" w:eastAsia="Arial" w:hAnsi="Arial"/>
          <w:sz w:val="16"/>
          <w:szCs w:val="16"/>
          <w:color w:val="auto"/>
        </w:rPr>
        <w:t xml:space="preserve">Looking ahead, we’ll be better able to provide you a shopping experience like no other. With this transaction, we’ll be able to serve you with </w:t>
      </w:r>
      <w:r>
        <w:rPr>
          <w:rFonts w:ascii="Arial" w:cs="Arial" w:eastAsia="Arial" w:hAnsi="Arial"/>
          <w:sz w:val="16"/>
          <w:szCs w:val="16"/>
          <w:b w:val="1"/>
          <w:bCs w:val="1"/>
          <w:u w:val="single" w:color="auto"/>
          <w:color w:val="auto"/>
        </w:rPr>
        <w:t>more brands, more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styles and more options,</w:t>
      </w:r>
      <w:r>
        <w:rPr>
          <w:rFonts w:ascii="Arial" w:cs="Arial" w:eastAsia="Arial" w:hAnsi="Arial"/>
          <w:sz w:val="16"/>
          <w:szCs w:val="16"/>
          <w:b w:val="1"/>
          <w:bCs w:val="1"/>
          <w:color w:val="auto"/>
        </w:rPr>
        <w:t xml:space="preserve"> </w:t>
      </w:r>
      <w:r>
        <w:rPr>
          <w:rFonts w:ascii="Arial" w:cs="Arial" w:eastAsia="Arial" w:hAnsi="Arial"/>
          <w:sz w:val="16"/>
          <w:szCs w:val="16"/>
          <w:color w:val="auto"/>
        </w:rPr>
        <w:t>whether you shop in one of our stores or online.</w:t>
      </w:r>
    </w:p>
    <w:p>
      <w:pPr>
        <w:spacing w:after="0" w:line="112"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Next Steps: Business As Usual</w:t>
      </w:r>
    </w:p>
    <w:p>
      <w:pPr>
        <w:spacing w:after="0" w:line="173" w:lineRule="exact"/>
        <w:rPr>
          <w:sz w:val="20"/>
          <w:szCs w:val="20"/>
          <w:color w:val="auto"/>
        </w:rPr>
      </w:pPr>
    </w:p>
    <w:p>
      <w:pPr>
        <w:ind w:left="5"/>
        <w:spacing w:after="0" w:line="271" w:lineRule="auto"/>
        <w:rPr>
          <w:sz w:val="20"/>
          <w:szCs w:val="20"/>
          <w:color w:val="auto"/>
        </w:rPr>
      </w:pPr>
      <w:r>
        <w:rPr>
          <w:rFonts w:ascii="Arial" w:cs="Arial" w:eastAsia="Arial" w:hAnsi="Arial"/>
          <w:sz w:val="16"/>
          <w:szCs w:val="16"/>
          <w:color w:val="auto"/>
        </w:rPr>
        <w:t xml:space="preserve">While we are announcing this exciting milestone for our company, today is only Day 1. We expect the transaction to close in the first half of fiscal 2026, subject to customary closing conditions and approvals. Between now and then, we will remain separate companies, </w:t>
      </w:r>
      <w:r>
        <w:rPr>
          <w:rFonts w:ascii="Arial" w:cs="Arial" w:eastAsia="Arial" w:hAnsi="Arial"/>
          <w:sz w:val="16"/>
          <w:szCs w:val="16"/>
          <w:b w:val="1"/>
          <w:bCs w:val="1"/>
          <w:color w:val="auto"/>
        </w:rPr>
        <w:t>and it is business as usual for all of us</w:t>
      </w:r>
      <w:r>
        <w:rPr>
          <w:rFonts w:ascii="Arial" w:cs="Arial" w:eastAsia="Arial" w:hAnsi="Arial"/>
          <w:sz w:val="16"/>
          <w:szCs w:val="16"/>
          <w:color w:val="auto"/>
        </w:rPr>
        <w:t>.</w:t>
      </w:r>
    </w:p>
    <w:p>
      <w:pPr>
        <w:spacing w:after="0" w:line="117" w:lineRule="exact"/>
        <w:rPr>
          <w:sz w:val="20"/>
          <w:szCs w:val="20"/>
          <w:color w:val="auto"/>
        </w:rPr>
      </w:pPr>
    </w:p>
    <w:p>
      <w:pPr>
        <w:ind w:left="5" w:right="620"/>
        <w:spacing w:after="0" w:line="260" w:lineRule="auto"/>
        <w:rPr>
          <w:sz w:val="20"/>
          <w:szCs w:val="20"/>
          <w:color w:val="auto"/>
        </w:rPr>
      </w:pPr>
      <w:r>
        <w:rPr>
          <w:rFonts w:ascii="Arial" w:cs="Arial" w:eastAsia="Arial" w:hAnsi="Arial"/>
          <w:sz w:val="16"/>
          <w:szCs w:val="16"/>
          <w:color w:val="auto"/>
        </w:rPr>
        <w:t>You can continue to rely on DXL for your Big + Tall apparel needs in-store or online at DXL.com. Importantly, there are no changes to our DXL Rewards programs and you can continue to earn and use Rewards Certificates points as usual.</w:t>
      </w:r>
    </w:p>
    <w:p>
      <w:pPr>
        <w:spacing w:after="0" w:line="134" w:lineRule="exact"/>
        <w:rPr>
          <w:sz w:val="20"/>
          <w:szCs w:val="20"/>
          <w:color w:val="auto"/>
        </w:rPr>
      </w:pPr>
    </w:p>
    <w:p>
      <w:pPr>
        <w:ind w:left="5" w:right="180"/>
        <w:spacing w:after="0" w:line="260" w:lineRule="auto"/>
        <w:rPr>
          <w:sz w:val="20"/>
          <w:szCs w:val="20"/>
          <w:color w:val="auto"/>
        </w:rPr>
      </w:pPr>
      <w:r>
        <w:rPr>
          <w:rFonts w:ascii="Arial" w:cs="Arial" w:eastAsia="Arial" w:hAnsi="Arial"/>
          <w:sz w:val="16"/>
          <w:szCs w:val="16"/>
          <w:color w:val="auto"/>
        </w:rPr>
        <w:t>We will keep you informed as we move forward with our combination with FullBeauty. If you have any questions regarding the DXL Rewards program, you can always call the DXL Rewards Hotline at 1-855-746-7395 or click here for Customer Service.</w:t>
      </w:r>
    </w:p>
    <w:p>
      <w:pPr>
        <w:spacing w:after="0" w:line="134" w:lineRule="exact"/>
        <w:rPr>
          <w:sz w:val="20"/>
          <w:szCs w:val="20"/>
          <w:color w:val="auto"/>
        </w:rPr>
      </w:pPr>
    </w:p>
    <w:p>
      <w:pPr>
        <w:ind w:left="5" w:right="320"/>
        <w:spacing w:after="0" w:line="260" w:lineRule="auto"/>
        <w:rPr>
          <w:sz w:val="20"/>
          <w:szCs w:val="20"/>
          <w:color w:val="auto"/>
        </w:rPr>
      </w:pPr>
      <w:r>
        <w:rPr>
          <w:rFonts w:ascii="Arial" w:cs="Arial" w:eastAsia="Arial" w:hAnsi="Arial"/>
          <w:sz w:val="16"/>
          <w:szCs w:val="16"/>
          <w:color w:val="auto"/>
        </w:rPr>
        <w:t>We look forward to providing you the unique, high-quality customer service you expect from us this Holiday season and beyond. Our associates are ready to greet you and help you find the style, fits and sizes you need and won’t find anywhere else.</w:t>
      </w:r>
    </w:p>
    <w:p>
      <w:pPr>
        <w:spacing w:after="0" w:line="134" w:lineRule="exact"/>
        <w:rPr>
          <w:sz w:val="20"/>
          <w:szCs w:val="20"/>
          <w:color w:val="auto"/>
        </w:rPr>
      </w:pPr>
    </w:p>
    <w:p>
      <w:pPr>
        <w:ind w:left="5"/>
        <w:spacing w:after="0"/>
        <w:rPr>
          <w:sz w:val="20"/>
          <w:szCs w:val="20"/>
          <w:color w:val="auto"/>
        </w:rPr>
      </w:pPr>
      <w:r>
        <w:rPr>
          <w:rFonts w:ascii="Arial" w:cs="Arial" w:eastAsia="Arial" w:hAnsi="Arial"/>
          <w:sz w:val="16"/>
          <w:szCs w:val="16"/>
          <w:color w:val="auto"/>
        </w:rPr>
        <w:t>Thank you for your continued support.</w:t>
      </w:r>
    </w:p>
    <w:p>
      <w:pPr>
        <w:spacing w:after="0" w:line="171" w:lineRule="exact"/>
        <w:rPr>
          <w:sz w:val="20"/>
          <w:szCs w:val="20"/>
          <w:color w:val="auto"/>
        </w:rPr>
      </w:pPr>
    </w:p>
    <w:p>
      <w:pPr>
        <w:ind w:left="5"/>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751205" cy="28511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51205" cy="28511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5"/>
        <w:spacing w:after="0"/>
        <w:rPr>
          <w:sz w:val="20"/>
          <w:szCs w:val="20"/>
          <w:color w:val="auto"/>
        </w:rPr>
      </w:pPr>
      <w:r>
        <w:rPr>
          <w:rFonts w:ascii="Arial" w:cs="Arial" w:eastAsia="Arial" w:hAnsi="Arial"/>
          <w:sz w:val="16"/>
          <w:szCs w:val="16"/>
          <w:color w:val="auto"/>
        </w:rPr>
        <w:t>Harvey Kanter</w:t>
      </w:r>
    </w:p>
    <w:p>
      <w:pPr>
        <w:spacing w:after="0" w:line="7" w:lineRule="exact"/>
        <w:rPr>
          <w:sz w:val="20"/>
          <w:szCs w:val="20"/>
          <w:color w:val="auto"/>
        </w:rPr>
      </w:pPr>
    </w:p>
    <w:p>
      <w:pPr>
        <w:ind w:left="5"/>
        <w:spacing w:after="0"/>
        <w:rPr>
          <w:sz w:val="20"/>
          <w:szCs w:val="20"/>
          <w:color w:val="auto"/>
        </w:rPr>
      </w:pPr>
      <w:r>
        <w:rPr>
          <w:rFonts w:ascii="Arial" w:cs="Arial" w:eastAsia="Arial" w:hAnsi="Arial"/>
          <w:sz w:val="16"/>
          <w:szCs w:val="16"/>
          <w:color w:val="auto"/>
        </w:rPr>
        <w:t>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764540</wp:posOffset>
            </wp:positionV>
            <wp:extent cx="7174865" cy="4064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5"/>
          </w:cols>
          <w:pgMar w:left="315" w:top="691" w:right="379" w:bottom="1440" w:gutter="0" w:footer="0" w:header="0"/>
        </w:sectPr>
      </w:pPr>
    </w:p>
    <w:bookmarkStart w:id="136" w:name="page137"/>
    <w:bookmarkEnd w:id="136"/>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173" w:lineRule="exact"/>
        <w:rPr>
          <w:sz w:val="20"/>
          <w:szCs w:val="20"/>
          <w:color w:val="auto"/>
        </w:rPr>
      </w:pPr>
    </w:p>
    <w:p>
      <w:pPr>
        <w:spacing w:after="0" w:line="248" w:lineRule="auto"/>
        <w:rPr>
          <w:sz w:val="20"/>
          <w:szCs w:val="20"/>
          <w:color w:val="auto"/>
        </w:rPr>
      </w:pPr>
      <w:r>
        <w:rPr>
          <w:rFonts w:ascii="Arial" w:cs="Arial" w:eastAsia="Arial" w:hAnsi="Arial"/>
          <w:sz w:val="15"/>
          <w:szCs w:val="15"/>
          <w:color w:val="auto"/>
        </w:rPr>
        <w:t xml:space="preserve">In addition to historical information, this document contains forward-looking statements within the meaning of Section 27A of the Securities Act of 1933, as amended, and Section 21E of the Securities Exchange Act of 1934, as amended. These forward-looking statements, which are based on current expectations, estimates and projections about the industry and markets in which DXL and FullBeauty operate and beliefs of and assumptions made by DXL management and FullBeauty management, involve uncertainties that could significantly affect the financial results of DXL or FullBeauty or the combined company. Words such as “anticipates,” “believes,” “estimates,” “expects,” “intends,” “plans,” “seeks” and variations of such words and similar expressions are intended to identify such forward-looking statements, which generally are not historical in nature. With respect to any such forward-looking statements, DXL and FullBeauty each claim the protection provided for in the Private Securities Litigation Reform Act of 1995. Such forward-looking statements include, but are not limited to, statements about the benefits of the transaction involving DXL and FullBeauty, including future financial and operating results and the combined company’s plans, objectives, expectations and intentions. All statements that address operating performance, events or developments that we expect or anticipate will occur in the future — including statements relating to creating value for stockholders, integrating DXL and FullBeauty, and the expected timing for completing the merger — are forward-looking statements. These statements are not guarantees of future performance and involve certain risks, uncertainties and assumptions that are difficult to predict. Although we believe the expectations reflected in any forward-looking statements are based on reasonable assumptions, we can give no assurance that our expectations will be attained and therefore, actual outcomes and results may differ materially from what is expressed or forecasted in such forward-looking statements. For example, these forward-looking statements could be affected by factors including, without limitation, risks associated with the ability to consummate the merger and the timing of the closing of the merger; the conditions to the completion of the merger, including the receipt of DXL stockholder approval for the merger; the ability to successfully integrate and scale our operations and employees; the ability and timing to realize anticipated benefits and synergies of the merger; the potential impact of the announcement, pendency or consummation of the merger on relationships, including with employees, customers, credit rating agencies, suppliers and competitors; the ability to retain key personnel; the challenging macroeconomic environment, including volatility and changes in global trade policies, and the ability of the combined company to mitigate potential tariff exposure and maintain supply; the ability to achieve performance targets; changes in financial markets, interest rates and foreign currency exchange rates; negative rating agency actions; the outcome of any legal proceedings that may be instituted against DXL or FullBeauty; the risk that any announcements relating to the merger could have adverse effects on the market price of the common stock of DXL; diversion of management’s attention from ongoing business operations and opportunities; and those additional risks and factors detailed in the Proxy Statement referenced below when available and other reports filed with the SEC by DXL from time to time, including those discussed under the heading “Risk Factors” in DXL’s most recently filed Annual Report on Form 10-K. These documents are available through our website or through the SEC’s Electronic Data Gathering and Analysis Retrieval (EDGAR) system at </w:t>
      </w:r>
      <w:r>
        <w:rPr>
          <w:rFonts w:ascii="Arial" w:cs="Arial" w:eastAsia="Arial" w:hAnsi="Arial"/>
          <w:sz w:val="15"/>
          <w:szCs w:val="15"/>
          <w:i w:val="1"/>
          <w:iCs w:val="1"/>
          <w:color w:val="auto"/>
        </w:rPr>
        <w:t>http://www.sec.gov</w:t>
      </w:r>
      <w:r>
        <w:rPr>
          <w:rFonts w:ascii="Arial" w:cs="Arial" w:eastAsia="Arial" w:hAnsi="Arial"/>
          <w:sz w:val="15"/>
          <w:szCs w:val="15"/>
          <w:color w:val="auto"/>
        </w:rPr>
        <w:t>. Neither DXL nor FullBeauty undertakes any duty to update any forward-looking statements contained herein, whether as a result of new information or developments, future events or otherwise, except as required by law. Readers are cautioned not to place undue reliance on any of these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1056640</wp:posOffset>
            </wp:positionV>
            <wp:extent cx="7174865" cy="4064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228600</wp:posOffset>
            </wp:positionV>
            <wp:extent cx="4535805" cy="42037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4535805" cy="42037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3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Additional Information About the Merger and Where to Find It</w:t>
      </w:r>
    </w:p>
    <w:p>
      <w:pPr>
        <w:spacing w:after="0" w:line="173" w:lineRule="exact"/>
        <w:rPr>
          <w:sz w:val="20"/>
          <w:szCs w:val="20"/>
          <w:color w:val="auto"/>
        </w:rPr>
      </w:pPr>
    </w:p>
    <w:p>
      <w:pPr>
        <w:ind w:right="40"/>
        <w:spacing w:after="0" w:line="236" w:lineRule="auto"/>
        <w:rPr>
          <w:sz w:val="20"/>
          <w:szCs w:val="20"/>
          <w:color w:val="auto"/>
        </w:rPr>
      </w:pPr>
      <w:r>
        <w:rPr>
          <w:rFonts w:ascii="Arial" w:cs="Arial" w:eastAsia="Arial" w:hAnsi="Arial"/>
          <w:sz w:val="16"/>
          <w:szCs w:val="16"/>
          <w:color w:val="auto"/>
        </w:rPr>
        <w:t xml:space="preserve">In connection with the merger, DXL intends to file a proxy statement (the “Proxy Statement”), which will be distributed to the stockholders of DXL in connection with their votes on the issuance of DXL Common Stock in the merger. Investors and security holders are encouraged to read the Proxy Statement when it becomes available (and any other documents filed with the Securities and Exchange Commission (the “SEC”) in connection with the merger or incorporated by reference into the Proxy Statement) because such documents will contain important information regarding the merger and related matters. Investors and security holders will be able to obtain these documents, and any other documents DXL has filed with the SEC, free of charge at the SEC’s website,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or by accessing DXL’s website at </w:t>
      </w:r>
      <w:r>
        <w:rPr>
          <w:rFonts w:ascii="Arial" w:cs="Arial" w:eastAsia="Arial" w:hAnsi="Arial"/>
          <w:sz w:val="16"/>
          <w:szCs w:val="16"/>
          <w:i w:val="1"/>
          <w:iCs w:val="1"/>
          <w:color w:val="auto"/>
        </w:rPr>
        <w:t>investor.dxl.com</w:t>
      </w:r>
      <w:r>
        <w:rPr>
          <w:rFonts w:ascii="Arial" w:cs="Arial" w:eastAsia="Arial" w:hAnsi="Arial"/>
          <w:sz w:val="16"/>
          <w:szCs w:val="16"/>
          <w:color w:val="auto"/>
        </w:rPr>
        <w:t>. In addition, documents filed with the SEC by DXL will be available free of charge by writing to DXL at 555 Turnpike Street, Canton, Massachusetts 02021, Attention: Corporate Secretary.</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Participants in the Solicitation</w:t>
      </w:r>
    </w:p>
    <w:p>
      <w:pPr>
        <w:spacing w:after="0" w:line="173" w:lineRule="exact"/>
        <w:rPr>
          <w:sz w:val="20"/>
          <w:szCs w:val="20"/>
          <w:color w:val="auto"/>
        </w:rPr>
      </w:pPr>
    </w:p>
    <w:p>
      <w:pPr>
        <w:spacing w:after="0" w:line="235" w:lineRule="auto"/>
        <w:rPr>
          <w:sz w:val="20"/>
          <w:szCs w:val="20"/>
          <w:color w:val="auto"/>
        </w:rPr>
      </w:pPr>
      <w:r>
        <w:rPr>
          <w:rFonts w:ascii="Arial" w:cs="Arial" w:eastAsia="Arial" w:hAnsi="Arial"/>
          <w:sz w:val="16"/>
          <w:szCs w:val="16"/>
          <w:color w:val="auto"/>
        </w:rPr>
        <w:t>DXL and certain of its directors and executive officers may be deemed to be participants in the solicitation of proxies from the stockholders of DXL in connection with the merger. Information about DXL’s directors and executive officers, including a description of their direct or indirect interests, by security holdings or otherwise, is set forth in DXL’s proxy statement for its 2025 annual meeting of stockholders, which was filed with the SEC on June 30, 2025, including under the headings “Director Compensation,” “Compensation Discussion and Analysis,” “Executive Compensation,” “Security Ownership of Management.” To the extent holdings of DXL common stock by the directors and executive officers of DXL have changed from the amounts of DXL common stock held by such persons as reflected therein, such changes have been or will be reflected on Initial Statements of Beneficial Ownership of Securities on Form 3, Statements of Changes in Beneficial Ownership on Form 4 or Annual Statements of Changes in Beneficial Ownership of Securities on Form 5, in each case filed with the SEC, including the Form 4s filed by each of the non-executive directors on August 6, 2025, the Form 4s filed by each of the executive officers on September 3, 2025 and the Form 4s filed by each of the non-executive directors on November 5, 2025.</w:t>
      </w:r>
    </w:p>
    <w:p>
      <w:pPr>
        <w:spacing w:after="0" w:line="153" w:lineRule="exact"/>
        <w:rPr>
          <w:sz w:val="20"/>
          <w:szCs w:val="20"/>
          <w:color w:val="auto"/>
        </w:rPr>
      </w:pPr>
    </w:p>
    <w:p>
      <w:pPr>
        <w:ind w:right="440"/>
        <w:spacing w:after="0" w:line="260" w:lineRule="auto"/>
        <w:rPr>
          <w:sz w:val="20"/>
          <w:szCs w:val="20"/>
          <w:color w:val="auto"/>
        </w:rPr>
      </w:pPr>
      <w:r>
        <w:rPr>
          <w:rFonts w:ascii="Arial" w:cs="Arial" w:eastAsia="Arial" w:hAnsi="Arial"/>
          <w:sz w:val="16"/>
          <w:szCs w:val="16"/>
          <w:color w:val="auto"/>
        </w:rPr>
        <w:t>FullBeauty and its chief executive officer may be deemed to be participants in the solicitation of proxies from the stockholders of DXL in connection with the Merger. Information about FullBeauty and its chief executive officer is available as Exhibit 99.9 to the Form 8-K filed on December 11, 2025.</w:t>
      </w:r>
    </w:p>
    <w:p>
      <w:pPr>
        <w:spacing w:after="0" w:line="134" w:lineRule="exact"/>
        <w:rPr>
          <w:sz w:val="20"/>
          <w:szCs w:val="20"/>
          <w:color w:val="auto"/>
        </w:rPr>
      </w:pPr>
    </w:p>
    <w:p>
      <w:pPr>
        <w:ind w:right="160"/>
        <w:spacing w:after="0" w:line="294" w:lineRule="auto"/>
        <w:rPr>
          <w:sz w:val="20"/>
          <w:szCs w:val="20"/>
          <w:color w:val="auto"/>
        </w:rPr>
      </w:pPr>
      <w:r>
        <w:rPr>
          <w:rFonts w:ascii="Arial" w:cs="Arial" w:eastAsia="Arial" w:hAnsi="Arial"/>
          <w:sz w:val="15"/>
          <w:szCs w:val="15"/>
          <w:color w:val="auto"/>
        </w:rPr>
        <w:t>Additional information regarding the participants in the proxy solicitation and a description of their direct and indirect interests, by security holdings or otherwise, will be contained in the Proxy Statement regarding the merger when it becomes available. Free copies of this document may be obtained as described above.</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 Offer or Solicitation</w:t>
      </w:r>
    </w:p>
    <w:p>
      <w:pPr>
        <w:spacing w:after="0" w:line="173" w:lineRule="exact"/>
        <w:rPr>
          <w:sz w:val="20"/>
          <w:szCs w:val="20"/>
          <w:color w:val="auto"/>
        </w:rPr>
      </w:pPr>
    </w:p>
    <w:p>
      <w:pPr>
        <w:ind w:right="300"/>
        <w:spacing w:after="0" w:line="270" w:lineRule="auto"/>
        <w:rPr>
          <w:sz w:val="20"/>
          <w:szCs w:val="20"/>
          <w:color w:val="auto"/>
        </w:rPr>
      </w:pPr>
      <w:r>
        <w:rPr>
          <w:rFonts w:ascii="Arial" w:cs="Arial" w:eastAsia="Arial" w:hAnsi="Arial"/>
          <w:sz w:val="15"/>
          <w:szCs w:val="15"/>
          <w:color w:val="auto"/>
        </w:rPr>
        <w:t>This communication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926465</wp:posOffset>
            </wp:positionV>
            <wp:extent cx="7174865" cy="4064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97790</wp:posOffset>
            </wp:positionV>
            <wp:extent cx="4535805" cy="42037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4535805" cy="42037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8" w:name="page139"/>
    <w:bookmarkEnd w:id="138"/>
    <w:p>
      <w:pPr>
        <w:ind w:left="9680"/>
        <w:spacing w:after="0"/>
        <w:rPr>
          <w:sz w:val="20"/>
          <w:szCs w:val="20"/>
          <w:color w:val="auto"/>
        </w:rPr>
      </w:pPr>
      <w:r>
        <w:rPr>
          <w:rFonts w:ascii="Times New Roman" w:cs="Times New Roman" w:eastAsia="Times New Roman" w:hAnsi="Times New Roman"/>
          <w:sz w:val="16"/>
          <w:szCs w:val="16"/>
          <w:color w:val="auto"/>
        </w:rPr>
        <w:t>EXHIBIT 99.6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2497455</wp:posOffset>
            </wp:positionH>
            <wp:positionV relativeFrom="paragraph">
              <wp:posOffset>-106045</wp:posOffset>
            </wp:positionV>
            <wp:extent cx="1148715" cy="69088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148715" cy="69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Dear Valued Friend:</w:t>
      </w:r>
    </w:p>
    <w:p>
      <w:pPr>
        <w:spacing w:after="0" w:line="183"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I am reaching out with some exciting news today about the future of Destination XL Group. Moments ago, we announced that DXL has entered a definitive agreement to combine with FullBeauty in a merger of equals that will create a scaled, category-defining retailer for inclusive apparel.</w:t>
      </w:r>
    </w:p>
    <w:p>
      <w:pPr>
        <w:spacing w:after="0" w:line="123" w:lineRule="exact"/>
        <w:rPr>
          <w:sz w:val="20"/>
          <w:szCs w:val="20"/>
          <w:color w:val="auto"/>
        </w:rPr>
      </w:pPr>
    </w:p>
    <w:p>
      <w:pPr>
        <w:ind w:right="240"/>
        <w:spacing w:after="0" w:line="246" w:lineRule="auto"/>
        <w:rPr>
          <w:sz w:val="20"/>
          <w:szCs w:val="20"/>
          <w:color w:val="auto"/>
        </w:rPr>
      </w:pPr>
      <w:r>
        <w:rPr>
          <w:rFonts w:ascii="Arial" w:cs="Arial" w:eastAsia="Arial" w:hAnsi="Arial"/>
          <w:sz w:val="17"/>
          <w:szCs w:val="17"/>
          <w:color w:val="auto"/>
        </w:rPr>
        <w:t>We are thrilled to be joining forces with FullBeauty, a leading company in extended sizes and size-inclusive fashions that has been serving the plus-size and Big + Tall apparel market since 1901. FullBeauty is a trusted resource for consumers seeking fashion inspiration, style advice and clothing tailored to their individual needs, offering inclusive apparel options from their premier portfolio of brands including OneStopPlus®, Catherines®, WomanWithin® and KingSize®.</w:t>
      </w:r>
    </w:p>
    <w:p>
      <w:pPr>
        <w:spacing w:after="0" w:line="14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Their team shares our foundational commitment to providing an inclusive shopping experience to consumers that are underserved in the broader retail landscape. We are confident that together, we will be well-positioned to realize our vision for a more inclusive fashion industry.</w:t>
      </w:r>
    </w:p>
    <w:p>
      <w:pPr>
        <w:spacing w:after="0" w:line="123"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Our combined company will be a leader in inclusive sizing apparel with one of the industry’s broadest and most diverse portfolios – spanning value to premium, across lifestyles and occasions. Together with FullBeauty, we will be better able to serve our customers across the plus-size and Big + Tall apparel market, providing them more brands, more styles and more options whether they shop in stores or online through our powerful omni-channel platform.</w:t>
      </w:r>
    </w:p>
    <w:p>
      <w:pPr>
        <w:spacing w:after="0" w:line="145"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At its core, this transaction is about creating a stronger engine for growth. We are confident that we will be an even stronger partner to you as a result of this transaction.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Next Steps: Business as Usual</w:t>
      </w:r>
    </w:p>
    <w:p>
      <w:pPr>
        <w:spacing w:after="0" w:line="185" w:lineRule="exact"/>
        <w:rPr>
          <w:sz w:val="20"/>
          <w:szCs w:val="20"/>
          <w:color w:val="auto"/>
        </w:rPr>
      </w:pPr>
    </w:p>
    <w:p>
      <w:pPr>
        <w:jc w:val="both"/>
        <w:ind w:right="180"/>
        <w:spacing w:after="0" w:line="257" w:lineRule="auto"/>
        <w:rPr>
          <w:sz w:val="20"/>
          <w:szCs w:val="20"/>
          <w:color w:val="auto"/>
        </w:rPr>
      </w:pPr>
      <w:r>
        <w:rPr>
          <w:rFonts w:ascii="Arial" w:cs="Arial" w:eastAsia="Arial" w:hAnsi="Arial"/>
          <w:sz w:val="17"/>
          <w:szCs w:val="17"/>
          <w:color w:val="auto"/>
        </w:rPr>
        <w:t xml:space="preserve">While we are announcing this exciting milestone for our company, today is only Day 1. We expect the transaction to close in the first half of fiscal 2026, subject to customary closing conditions and approvals. Between now and then, we will remain separate companies, and </w:t>
      </w:r>
      <w:r>
        <w:rPr>
          <w:rFonts w:ascii="Arial" w:cs="Arial" w:eastAsia="Arial" w:hAnsi="Arial"/>
          <w:sz w:val="17"/>
          <w:szCs w:val="17"/>
          <w:b w:val="1"/>
          <w:bCs w:val="1"/>
          <w:color w:val="auto"/>
        </w:rPr>
        <w:t>it is business as</w:t>
      </w:r>
      <w:r>
        <w:rPr>
          <w:rFonts w:ascii="Arial" w:cs="Arial" w:eastAsia="Arial" w:hAnsi="Arial"/>
          <w:sz w:val="17"/>
          <w:szCs w:val="17"/>
          <w:color w:val="auto"/>
        </w:rPr>
        <w:t xml:space="preserve"> </w:t>
      </w:r>
      <w:r>
        <w:rPr>
          <w:rFonts w:ascii="Arial" w:cs="Arial" w:eastAsia="Arial" w:hAnsi="Arial"/>
          <w:sz w:val="17"/>
          <w:szCs w:val="17"/>
          <w:b w:val="1"/>
          <w:bCs w:val="1"/>
          <w:color w:val="auto"/>
        </w:rPr>
        <w:t>usual for all of us.</w:t>
      </w:r>
    </w:p>
    <w:p>
      <w:pPr>
        <w:spacing w:after="0" w:line="129" w:lineRule="exact"/>
        <w:rPr>
          <w:sz w:val="20"/>
          <w:szCs w:val="20"/>
          <w:color w:val="auto"/>
        </w:rPr>
      </w:pPr>
    </w:p>
    <w:p>
      <w:pPr>
        <w:ind w:right="760"/>
        <w:spacing w:after="0" w:line="508" w:lineRule="auto"/>
        <w:rPr>
          <w:sz w:val="20"/>
          <w:szCs w:val="20"/>
          <w:color w:val="auto"/>
        </w:rPr>
      </w:pPr>
      <w:r>
        <w:rPr>
          <w:rFonts w:ascii="Arial" w:cs="Arial" w:eastAsia="Arial" w:hAnsi="Arial"/>
          <w:sz w:val="17"/>
          <w:szCs w:val="17"/>
          <w:color w:val="auto"/>
        </w:rPr>
        <w:t>We are working with you as we always have. Our current contracts and agreements remain in place, and your contacts remain the same. We will keep you informed as we move forward. If you have any questions, please reach out to your normal company contact. Thank you for your continued support of DXL. We look forward to building on our partnership in the years to come.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64770</wp:posOffset>
            </wp:positionV>
            <wp:extent cx="706120" cy="27051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06120" cy="27051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Harvey Kanter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776605</wp:posOffset>
            </wp:positionV>
            <wp:extent cx="7174865" cy="4064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139" w:name="page140"/>
    <w:bookmarkEnd w:id="139"/>
    <w:p>
      <w:pPr>
        <w:spacing w:after="0"/>
        <w:rPr>
          <w:sz w:val="20"/>
          <w:szCs w:val="20"/>
          <w:color w:val="auto"/>
        </w:rPr>
      </w:pPr>
      <w:r>
        <w:rPr>
          <w:rFonts w:ascii="Arial" w:cs="Arial" w:eastAsia="Arial" w:hAnsi="Arial"/>
          <w:sz w:val="17"/>
          <w:szCs w:val="17"/>
          <w:color w:val="auto"/>
        </w:rPr>
        <w:t>President and CEO</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157" w:lineRule="exact"/>
        <w:rPr>
          <w:sz w:val="20"/>
          <w:szCs w:val="20"/>
          <w:color w:val="auto"/>
        </w:rPr>
      </w:pPr>
    </w:p>
    <w:p>
      <w:pPr>
        <w:ind w:firstLine="751"/>
        <w:spacing w:after="0" w:line="248" w:lineRule="auto"/>
        <w:rPr>
          <w:sz w:val="20"/>
          <w:szCs w:val="20"/>
          <w:color w:val="auto"/>
        </w:rPr>
      </w:pPr>
      <w:r>
        <w:rPr>
          <w:rFonts w:ascii="Arial" w:cs="Arial" w:eastAsia="Arial" w:hAnsi="Arial"/>
          <w:sz w:val="15"/>
          <w:szCs w:val="15"/>
          <w:color w:val="auto"/>
        </w:rPr>
        <w:t xml:space="preserve">In addition to historical information, this document contains forward-looking statements within the meaning of Section 27A of the Securities Act of 1933, as amended, and Section 21E of the Securities Exchange Act of 1934, as amended. These forward-looking statements, which are based on current expectations, estimates and projections about the industry and markets in which DXL and FullBeauty operate and beliefs of and assumptions made by DXL management and FullBeauty management, involve uncertainties that could significantly affect the financial results of DXL or FullBeauty or the combined company. Words such as “anticipates,” “believes,” “estimates,” “expects,” “intends,” “plans,” “seeks” and variations of such words and similar expressions are intended to identify such forward-looking statements, which generally are not historical in nature. With respect to any such forward-looking statements, DXL and FullBeauty each claim the protection provided for in the Private Securities Litigation Reform Act of 1995. Such forward-looking statements include, but are not limited to, statements about the benefits of the transaction involving DXL and FullBeauty, including future financial and operating results and the combined company’s plans, objectives, expectations and intentions. All statements that address operating performance, events or developments that we expect or anticipate will occur in the future — including statements relating to creating value for stockholders, integrating DXL and FullBeauty, and the expected timing for completing the merger — are forward-looking statements. These statements are not guarantees of future performance and involve certain risks, uncertainties and assumptions that are difficult to predict. Although we believe the expectations reflected in any forward-looking statements are based on reasonable assumptions, we can give no assurance that our expectations will be attained and therefore, actual outcomes and results may differ materially from what is expressed or forecasted in such forward-looking statements. For example, these forward-looking statements could be affected by factors including, without limitation, risks associated with the ability to consummate the merger and the timing of the closing of the merger; the conditions to the completion of the merger, including the receipt of DXL stockholder approval for the merger; the ability to successfully integrate and scale our operations and employees; the ability and timing to realize anticipated benefits and synergies of the merger; the potential impact of the announcement, pendency or consummation of the merger on relationships, including with employees, customers, credit rating agencies, suppliers and competitors; the ability to retain key personnel; the challenging macroeconomic environment, including volatility and changes in global trade policies, and the ability of the combined company to mitigate potential tariff exposure and maintain supply; the ability to achieve performance targets; changes in financial markets, interest rates and foreign currency exchange rates; negative rating agency actions; the outcome of any legal proceedings that may be instituted against DXL or FullBeauty; the risk that any announcements relating to the merger could have adverse effects on the market price of the common stock of DXL; diversion of management’s attention from ongoing business operations and opportunities; and those additional risks and factors detailed in the Proxy Statement referenced below when available and other reports filed with the SEC by DXL from time to time, including those discussed under the heading “Risk Factors” in DXL’s most recently filed Annual Report on Form 10-K. These documents are available through our website or through the SEC’s Electronic Data Gathering and Analysis Retrieval (EDGAR) system at </w:t>
      </w:r>
      <w:r>
        <w:rPr>
          <w:rFonts w:ascii="Arial" w:cs="Arial" w:eastAsia="Arial" w:hAnsi="Arial"/>
          <w:sz w:val="15"/>
          <w:szCs w:val="15"/>
          <w:i w:val="1"/>
          <w:iCs w:val="1"/>
          <w:color w:val="auto"/>
        </w:rPr>
        <w:t>http://www.sec.gov</w:t>
      </w:r>
      <w:r>
        <w:rPr>
          <w:rFonts w:ascii="Arial" w:cs="Arial" w:eastAsia="Arial" w:hAnsi="Arial"/>
          <w:sz w:val="15"/>
          <w:szCs w:val="15"/>
          <w:color w:val="auto"/>
        </w:rPr>
        <w:t>. Neither DXL nor FullBeauty undertakes any duty to update any forward-looking statements contained herein, whether as a result of new information or developments, future events or otherwise, except as required by law. Readers are cautioned not to place undue reliance on any of these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1056640</wp:posOffset>
            </wp:positionV>
            <wp:extent cx="7174865" cy="4064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228600</wp:posOffset>
            </wp:positionV>
            <wp:extent cx="4596130" cy="42037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4596130" cy="420370"/>
                    </a:xfrm>
                    <a:prstGeom prst="rect">
                      <a:avLst/>
                    </a:prstGeom>
                    <a:noFill/>
                  </pic:spPr>
                </pic:pic>
              </a:graphicData>
            </a:graphic>
          </wp:anchor>
        </w:drawing>
      </w:r>
    </w:p>
    <w:p>
      <w:pPr>
        <w:sectPr>
          <w:pgSz w:w="11900" w:h="16838" w:orient="portrait"/>
          <w:cols w:equalWidth="0" w:num="1">
            <w:col w:w="11240"/>
          </w:cols>
          <w:pgMar w:left="320" w:top="1256" w:right="339" w:bottom="1440" w:gutter="0" w:footer="0" w:header="0"/>
        </w:sectPr>
      </w:pPr>
    </w:p>
    <w:bookmarkStart w:id="140" w:name="page141"/>
    <w:bookmarkEnd w:id="140"/>
    <w:p>
      <w:pPr>
        <w:spacing w:after="0"/>
        <w:rPr>
          <w:sz w:val="20"/>
          <w:szCs w:val="20"/>
          <w:color w:val="auto"/>
        </w:rPr>
      </w:pPr>
      <w:r>
        <w:rPr>
          <w:rFonts w:ascii="Arial" w:cs="Arial" w:eastAsia="Arial" w:hAnsi="Arial"/>
          <w:sz w:val="16"/>
          <w:szCs w:val="16"/>
          <w:b w:val="1"/>
          <w:bCs w:val="1"/>
          <w:color w:val="auto"/>
        </w:rPr>
        <w:t>Additional Information About the Merger and Where to Find It</w:t>
      </w:r>
    </w:p>
    <w:p>
      <w:pPr>
        <w:spacing w:after="0" w:line="173" w:lineRule="exact"/>
        <w:rPr>
          <w:sz w:val="20"/>
          <w:szCs w:val="20"/>
          <w:color w:val="auto"/>
        </w:rPr>
      </w:pPr>
    </w:p>
    <w:p>
      <w:pPr>
        <w:ind w:right="20" w:firstLine="751"/>
        <w:spacing w:after="0" w:line="236" w:lineRule="auto"/>
        <w:rPr>
          <w:sz w:val="20"/>
          <w:szCs w:val="20"/>
          <w:color w:val="auto"/>
        </w:rPr>
      </w:pPr>
      <w:r>
        <w:rPr>
          <w:rFonts w:ascii="Arial" w:cs="Arial" w:eastAsia="Arial" w:hAnsi="Arial"/>
          <w:sz w:val="16"/>
          <w:szCs w:val="16"/>
          <w:color w:val="auto"/>
        </w:rPr>
        <w:t xml:space="preserve">In connection with the merger, DXL intends to file a proxy statement (the “Proxy Statement”), which will be distributed to the stockholders of DXL in connection with their votes on the issuance of DXL Common Stock in the merger. Investors and security holders are encouraged to read the Proxy Statement when it becomes available (and any other documents filed with the Securities and Exchange Commission (the “SEC”) in connection with the merger or incorporated by reference into the Proxy Statement) because such documents will contain important information regarding the merger and related matters. Investors and security holders will be able to obtain these documents, and any other documents DXL has filed with the SEC, free of charge at the SEC’s website, </w:t>
      </w:r>
      <w:r>
        <w:rPr>
          <w:rFonts w:ascii="Arial" w:cs="Arial" w:eastAsia="Arial" w:hAnsi="Arial"/>
          <w:sz w:val="16"/>
          <w:szCs w:val="16"/>
          <w:i w:val="1"/>
          <w:iCs w:val="1"/>
          <w:color w:val="auto"/>
        </w:rPr>
        <w:t>www.sec.gov</w:t>
      </w:r>
      <w:r>
        <w:rPr>
          <w:rFonts w:ascii="Arial" w:cs="Arial" w:eastAsia="Arial" w:hAnsi="Arial"/>
          <w:sz w:val="16"/>
          <w:szCs w:val="16"/>
          <w:color w:val="auto"/>
        </w:rPr>
        <w:t>, or by accessing DXL’s website at</w:t>
      </w:r>
      <w:r>
        <w:rPr>
          <w:rFonts w:ascii="Arial" w:cs="Arial" w:eastAsia="Arial" w:hAnsi="Arial"/>
          <w:sz w:val="16"/>
          <w:szCs w:val="16"/>
          <w:i w:val="1"/>
          <w:iCs w:val="1"/>
          <w:color w:val="auto"/>
        </w:rPr>
        <w:t xml:space="preserve"> investor.dxl.com</w:t>
      </w:r>
      <w:r>
        <w:rPr>
          <w:rFonts w:ascii="Arial" w:cs="Arial" w:eastAsia="Arial" w:hAnsi="Arial"/>
          <w:sz w:val="16"/>
          <w:szCs w:val="16"/>
          <w:color w:val="auto"/>
        </w:rPr>
        <w:t>. In addition, documents filed with the SEC by DXL will be available free of charge by writing to</w:t>
      </w:r>
      <w:r>
        <w:rPr>
          <w:rFonts w:ascii="Arial" w:cs="Arial" w:eastAsia="Arial" w:hAnsi="Arial"/>
          <w:sz w:val="16"/>
          <w:szCs w:val="16"/>
          <w:i w:val="1"/>
          <w:iCs w:val="1"/>
          <w:color w:val="auto"/>
        </w:rPr>
        <w:t xml:space="preserve"> </w:t>
      </w:r>
      <w:r>
        <w:rPr>
          <w:rFonts w:ascii="Arial" w:cs="Arial" w:eastAsia="Arial" w:hAnsi="Arial"/>
          <w:sz w:val="16"/>
          <w:szCs w:val="16"/>
          <w:color w:val="auto"/>
        </w:rPr>
        <w:t>DXL at 555 Turnpike Street, Canton, Massachusetts 02021, Attention: Corporate Secretary.</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Participants in the Solicitation</w:t>
      </w:r>
    </w:p>
    <w:p>
      <w:pPr>
        <w:spacing w:after="0" w:line="173" w:lineRule="exact"/>
        <w:rPr>
          <w:sz w:val="20"/>
          <w:szCs w:val="20"/>
          <w:color w:val="auto"/>
        </w:rPr>
      </w:pPr>
    </w:p>
    <w:p>
      <w:pPr>
        <w:ind w:firstLine="751"/>
        <w:spacing w:after="0" w:line="235" w:lineRule="auto"/>
        <w:rPr>
          <w:sz w:val="20"/>
          <w:szCs w:val="20"/>
          <w:color w:val="auto"/>
        </w:rPr>
      </w:pPr>
      <w:r>
        <w:rPr>
          <w:rFonts w:ascii="Arial" w:cs="Arial" w:eastAsia="Arial" w:hAnsi="Arial"/>
          <w:sz w:val="16"/>
          <w:szCs w:val="16"/>
          <w:color w:val="auto"/>
        </w:rPr>
        <w:t>DXL and certain of its directors and executive officers may be deemed to be participants in the solicitation of proxies from the stockholders of DXL in connection with the merger. Information about DXL’s directors and executive officers, including a description of their direct or indirect interests, by security holdings or otherwise, is set forth in DXL’s proxy statement for its 2025 annual meeting of stockholders, which was filed with the SEC on June 30, 2025, including under the headings “Director Compensation,” “Compensation Discussion and Analysis,” “Executive Compensation,” “Security Ownership of Management.” To the extent holdings of DXL common stock by the directors and executive officers of DXL have changed from the amounts of DXL common stock held by such persons as reflected therein, such changes have been or will be reflected on Initial Statements of Beneficial Ownership of Securities on Form 3, Statements of Changes in Beneficial Ownership on Form 4 or Annual Statements of Changes in Beneficial Ownership of Securities on Form 5, in each case filed with the SEC, including the Form 4s filed by each of the non-executive directors on August 6, 2025, the Form 4s filed by each of the executive officers on September 3, 2025 and the Form 4s filed by each of the non-executive directors on November 5, 2025.</w:t>
      </w:r>
    </w:p>
    <w:p>
      <w:pPr>
        <w:spacing w:after="0" w:line="153" w:lineRule="exact"/>
        <w:rPr>
          <w:sz w:val="20"/>
          <w:szCs w:val="20"/>
          <w:color w:val="auto"/>
        </w:rPr>
      </w:pPr>
    </w:p>
    <w:p>
      <w:pPr>
        <w:ind w:right="260" w:firstLine="751"/>
        <w:spacing w:after="0" w:line="294" w:lineRule="auto"/>
        <w:rPr>
          <w:sz w:val="20"/>
          <w:szCs w:val="20"/>
          <w:color w:val="auto"/>
        </w:rPr>
      </w:pPr>
      <w:r>
        <w:rPr>
          <w:rFonts w:ascii="Arial" w:cs="Arial" w:eastAsia="Arial" w:hAnsi="Arial"/>
          <w:sz w:val="15"/>
          <w:szCs w:val="15"/>
          <w:color w:val="auto"/>
        </w:rPr>
        <w:t>FullBeauty and its chief executive officer may be deemed to be participants in the solicitation of proxies from the stockholders of DXL in connection with the Merger. Information about FullBeauty and its chief executive officer is available as Exhibit 99.9 to the Form 8-K filed on December 11, 2025.</w:t>
      </w:r>
    </w:p>
    <w:p>
      <w:pPr>
        <w:spacing w:after="0" w:line="110" w:lineRule="exact"/>
        <w:rPr>
          <w:sz w:val="20"/>
          <w:szCs w:val="20"/>
          <w:color w:val="auto"/>
        </w:rPr>
      </w:pPr>
    </w:p>
    <w:p>
      <w:pPr>
        <w:ind w:firstLine="751"/>
        <w:spacing w:after="0" w:line="246" w:lineRule="auto"/>
        <w:rPr>
          <w:sz w:val="20"/>
          <w:szCs w:val="20"/>
          <w:color w:val="auto"/>
        </w:rPr>
      </w:pPr>
      <w:r>
        <w:rPr>
          <w:rFonts w:ascii="Arial" w:cs="Arial" w:eastAsia="Arial" w:hAnsi="Arial"/>
          <w:sz w:val="16"/>
          <w:szCs w:val="16"/>
          <w:color w:val="auto"/>
        </w:rPr>
        <w:t>Additional information regarding the participants in the proxy solicitation and a description of their direct and indirect interests, by security holdings or otherwise, will be contained in the Proxy Statement regarding the merger when it becomes available. Free copies of this document may be obtained as described above.</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 Offer or Solicitation</w:t>
      </w:r>
    </w:p>
    <w:p>
      <w:pPr>
        <w:spacing w:after="0" w:line="173" w:lineRule="exact"/>
        <w:rPr>
          <w:sz w:val="20"/>
          <w:szCs w:val="20"/>
          <w:color w:val="auto"/>
        </w:rPr>
      </w:pPr>
    </w:p>
    <w:p>
      <w:pPr>
        <w:ind w:right="80" w:firstLine="751"/>
        <w:spacing w:after="0" w:line="270" w:lineRule="auto"/>
        <w:rPr>
          <w:sz w:val="20"/>
          <w:szCs w:val="20"/>
          <w:color w:val="auto"/>
        </w:rPr>
      </w:pPr>
      <w:r>
        <w:rPr>
          <w:rFonts w:ascii="Arial" w:cs="Arial" w:eastAsia="Arial" w:hAnsi="Arial"/>
          <w:sz w:val="15"/>
          <w:szCs w:val="15"/>
          <w:color w:val="auto"/>
        </w:rPr>
        <w:t>This communication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805815</wp:posOffset>
            </wp:positionV>
            <wp:extent cx="7174865" cy="4064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-21590</wp:posOffset>
            </wp:positionV>
            <wp:extent cx="4596130" cy="42037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4596130" cy="420370"/>
                    </a:xfrm>
                    <a:prstGeom prst="rect">
                      <a:avLst/>
                    </a:prstGeom>
                    <a:noFill/>
                  </pic:spPr>
                </pic:pic>
              </a:graphicData>
            </a:graphic>
          </wp:anchor>
        </w:drawing>
      </w:r>
    </w:p>
    <w:p>
      <w:pPr>
        <w:sectPr>
          <w:pgSz w:w="11900" w:h="16838" w:orient="portrait"/>
          <w:cols w:equalWidth="0" w:num="1">
            <w:col w:w="11220"/>
          </w:cols>
          <w:pgMar w:left="320" w:top="1258" w:right="359" w:bottom="1440" w:gutter="0" w:footer="0" w:header="0"/>
        </w:sectPr>
      </w:pPr>
    </w:p>
    <w:bookmarkStart w:id="141" w:name="page142"/>
    <w:bookmarkEnd w:id="141"/>
    <w:p>
      <w:pPr>
        <w:ind w:left="9140"/>
        <w:spacing w:after="0"/>
        <w:rPr>
          <w:sz w:val="20"/>
          <w:szCs w:val="20"/>
          <w:color w:val="auto"/>
        </w:rPr>
      </w:pPr>
      <w:r>
        <w:rPr>
          <w:rFonts w:ascii="Times New Roman" w:cs="Times New Roman" w:eastAsia="Times New Roman" w:hAnsi="Times New Roman"/>
          <w:sz w:val="15"/>
          <w:szCs w:val="15"/>
          <w:b w:val="1"/>
          <w:bCs w:val="1"/>
          <w:color w:val="auto"/>
        </w:rPr>
        <w:t>EXHIBIT 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7098665</wp:posOffset>
            </wp:positionV>
            <wp:extent cx="7174865" cy="4064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-713740</wp:posOffset>
            </wp:positionH>
            <wp:positionV relativeFrom="paragraph">
              <wp:posOffset>262890</wp:posOffset>
            </wp:positionV>
            <wp:extent cx="4686300" cy="606806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4686300" cy="6068060"/>
                    </a:xfrm>
                    <a:prstGeom prst="rect">
                      <a:avLst/>
                    </a:prstGeom>
                    <a:noFill/>
                  </pic:spPr>
                </pic:pic>
              </a:graphicData>
            </a:graphic>
          </wp:anchor>
        </w:drawing>
      </w:r>
    </w:p>
    <w:p>
      <w:pPr>
        <w:sectPr>
          <w:pgSz w:w="11900" w:h="16838" w:orient="portrait"/>
          <w:cols w:equalWidth="0" w:num="1">
            <w:col w:w="10140"/>
          </w:cols>
          <w:pgMar w:left="1440" w:top="689" w:right="319" w:bottom="1440" w:gutter="0" w:footer="0" w:header="0"/>
        </w:sectPr>
      </w:pPr>
    </w:p>
    <w:bookmarkStart w:id="142" w:name="page143"/>
    <w:bookmarkEnd w:id="1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7638415</wp:posOffset>
            </wp:positionV>
            <wp:extent cx="7174865" cy="4064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809625</wp:posOffset>
            </wp:positionV>
            <wp:extent cx="4686300" cy="606044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clrChange>
                        <a:clrFrom>
                          <a:srgbClr val="FFFFFF"/>
                        </a:clrFrom>
                        <a:clrTo>
                          <a:srgbClr val="FFFFFF">
                            <a:alpha val="0"/>
                          </a:srgbClr>
                        </a:clrTo>
                      </a:clrChange>
                      <a:extLst>
                        <a:ext uri="{28A0092B-C50C-407E-A947-70E740481C1C}"/>
                      </a:extLst>
                    </a:blip>
                    <a:srcRect/>
                    <a:stretch>
                      <a:fillRect/>
                    </a:stretch>
                  </pic:blipFill>
                  <pic:spPr bwMode="auto">
                    <a:xfrm>
                      <a:off x="0" y="0"/>
                      <a:ext cx="4686300" cy="6060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7563485</wp:posOffset>
            </wp:positionV>
            <wp:extent cx="7174865" cy="406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809625</wp:posOffset>
            </wp:positionV>
            <wp:extent cx="4686300" cy="598551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clrChange>
                        <a:clrFrom>
                          <a:srgbClr val="FFFFFF"/>
                        </a:clrFrom>
                        <a:clrTo>
                          <a:srgbClr val="FFFFFF">
                            <a:alpha val="0"/>
                          </a:srgbClr>
                        </a:clrTo>
                      </a:clrChange>
                      <a:extLst>
                        <a:ext uri="{28A0092B-C50C-407E-A947-70E740481C1C}"/>
                      </a:extLst>
                    </a:blip>
                    <a:srcRect/>
                    <a:stretch>
                      <a:fillRect/>
                    </a:stretch>
                  </pic:blipFill>
                  <pic:spPr bwMode="auto">
                    <a:xfrm>
                      <a:off x="0" y="0"/>
                      <a:ext cx="4686300" cy="5985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ind w:left="9140"/>
        <w:spacing w:after="0"/>
        <w:rPr>
          <w:sz w:val="20"/>
          <w:szCs w:val="20"/>
          <w:color w:val="auto"/>
        </w:rPr>
      </w:pPr>
      <w:r>
        <w:rPr>
          <w:rFonts w:ascii="Times New Roman" w:cs="Times New Roman" w:eastAsia="Times New Roman" w:hAnsi="Times New Roman"/>
          <w:sz w:val="15"/>
          <w:szCs w:val="15"/>
          <w:b w:val="1"/>
          <w:bCs w:val="1"/>
          <w:color w:val="auto"/>
        </w:rPr>
        <w:t>EXHIBIT 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7249160</wp:posOffset>
            </wp:positionV>
            <wp:extent cx="7174865" cy="4064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-713740</wp:posOffset>
            </wp:positionH>
            <wp:positionV relativeFrom="paragraph">
              <wp:posOffset>262890</wp:posOffset>
            </wp:positionV>
            <wp:extent cx="4686300" cy="619569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4686300" cy="6195695"/>
                    </a:xfrm>
                    <a:prstGeom prst="rect">
                      <a:avLst/>
                    </a:prstGeom>
                    <a:noFill/>
                  </pic:spPr>
                </pic:pic>
              </a:graphicData>
            </a:graphic>
          </wp:anchor>
        </w:drawing>
      </w:r>
    </w:p>
    <w:p>
      <w:pPr>
        <w:sectPr>
          <w:pgSz w:w="11900" w:h="16838" w:orient="portrait"/>
          <w:cols w:equalWidth="0" w:num="1">
            <w:col w:w="10140"/>
          </w:cols>
          <w:pgMar w:left="1440" w:top="689" w:right="319" w:bottom="1440" w:gutter="0" w:footer="0" w:header="0"/>
        </w:sectPr>
      </w:pPr>
    </w:p>
    <w:bookmarkStart w:id="145" w:name="page146"/>
    <w:bookmarkEnd w:id="1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7345680</wp:posOffset>
            </wp:positionV>
            <wp:extent cx="7174865" cy="4064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809625</wp:posOffset>
            </wp:positionV>
            <wp:extent cx="4686300" cy="576770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clrChange>
                        <a:clrFrom>
                          <a:srgbClr val="FFFFFF"/>
                        </a:clrFrom>
                        <a:clrTo>
                          <a:srgbClr val="FFFFFF">
                            <a:alpha val="0"/>
                          </a:srgbClr>
                        </a:clrTo>
                      </a:clrChange>
                      <a:extLst>
                        <a:ext uri="{28A0092B-C50C-407E-A947-70E740481C1C}"/>
                      </a:extLst>
                    </a:blip>
                    <a:srcRect/>
                    <a:stretch>
                      <a:fillRect/>
                    </a:stretch>
                  </pic:blipFill>
                  <pic:spPr bwMode="auto">
                    <a:xfrm>
                      <a:off x="0" y="0"/>
                      <a:ext cx="4686300" cy="5767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9"/>
          <w:szCs w:val="19"/>
          <w:b w:val="1"/>
          <w:bCs w:val="1"/>
          <w:color w:val="auto"/>
        </w:rPr>
        <w:t>EXHIBIT 99.9</w:t>
      </w:r>
    </w:p>
    <w:p>
      <w:pPr>
        <w:spacing w:after="0" w:line="200" w:lineRule="exact"/>
        <w:rPr>
          <w:sz w:val="20"/>
          <w:szCs w:val="20"/>
          <w:color w:val="auto"/>
        </w:rPr>
      </w:pPr>
    </w:p>
    <w:p>
      <w:pPr>
        <w:spacing w:after="0" w:line="36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INFORMATION REGARDING CERTAIN PARTICIPANTS IN THE SOLICITATION</w:t>
      </w:r>
    </w:p>
    <w:p>
      <w:pPr>
        <w:spacing w:after="0" w:line="219" w:lineRule="exact"/>
        <w:rPr>
          <w:sz w:val="20"/>
          <w:szCs w:val="20"/>
          <w:color w:val="auto"/>
        </w:rPr>
      </w:pPr>
    </w:p>
    <w:p>
      <w:pPr>
        <w:jc w:val="both"/>
        <w:ind w:right="180"/>
        <w:spacing w:after="0" w:line="248" w:lineRule="auto"/>
        <w:rPr>
          <w:sz w:val="20"/>
          <w:szCs w:val="20"/>
          <w:color w:val="auto"/>
        </w:rPr>
      </w:pPr>
      <w:r>
        <w:rPr>
          <w:rFonts w:ascii="Times New Roman" w:cs="Times New Roman" w:eastAsia="Times New Roman" w:hAnsi="Times New Roman"/>
          <w:sz w:val="19"/>
          <w:szCs w:val="19"/>
          <w:color w:val="auto"/>
        </w:rPr>
        <w:t>FBB Holdings I, Inc. (“FBB”) and its chief executive officer, Jim Fogarty, may be deemed to be participants in the solicitation of proxies from the stockholders of Destination XL Group, Inc. (“DXL”) in connection with the proposed merger transaction described in the Current Report on Form 8-K to which this exhibit is attached (the “Merger”).</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Interests of FBB and Jim Fogarty in the Merger</w:t>
      </w:r>
    </w:p>
    <w:p>
      <w:pPr>
        <w:spacing w:after="0" w:line="213" w:lineRule="exact"/>
        <w:rPr>
          <w:sz w:val="20"/>
          <w:szCs w:val="20"/>
          <w:color w:val="auto"/>
        </w:rPr>
      </w:pPr>
    </w:p>
    <w:p>
      <w:pPr>
        <w:jc w:val="both"/>
        <w:ind w:right="160"/>
        <w:spacing w:after="0" w:line="262" w:lineRule="auto"/>
        <w:rPr>
          <w:sz w:val="20"/>
          <w:szCs w:val="20"/>
          <w:color w:val="auto"/>
        </w:rPr>
      </w:pPr>
      <w:r>
        <w:rPr>
          <w:rFonts w:ascii="Times New Roman" w:cs="Times New Roman" w:eastAsia="Times New Roman" w:hAnsi="Times New Roman"/>
          <w:sz w:val="19"/>
          <w:szCs w:val="19"/>
          <w:color w:val="auto"/>
        </w:rPr>
        <w:t>FBB and Mr. Fogarty have interests in the Merger that may be different from, or in addition to, the interests of DXL stockholders generally. These interests include the following: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FBB Holdings I, Inc.</w:t>
      </w:r>
    </w:p>
    <w:p>
      <w:pPr>
        <w:spacing w:after="0" w:line="211" w:lineRule="exact"/>
        <w:rPr>
          <w:sz w:val="20"/>
          <w:szCs w:val="20"/>
          <w:color w:val="auto"/>
        </w:rPr>
      </w:pPr>
    </w:p>
    <w:p>
      <w:pPr>
        <w:jc w:val="both"/>
        <w:ind w:right="120"/>
        <w:spacing w:after="0" w:line="248" w:lineRule="auto"/>
        <w:rPr>
          <w:sz w:val="20"/>
          <w:szCs w:val="20"/>
          <w:color w:val="auto"/>
        </w:rPr>
      </w:pPr>
      <w:r>
        <w:rPr>
          <w:rFonts w:ascii="Times New Roman" w:cs="Times New Roman" w:eastAsia="Times New Roman" w:hAnsi="Times New Roman"/>
          <w:sz w:val="19"/>
          <w:szCs w:val="19"/>
          <w:color w:val="auto"/>
        </w:rPr>
        <w:t>Upon consummation of the Merger, stockholders of FBB will receive shares of DXL common stock such that, immediately following the Merger, former FBB stockholders will own 55% of the outstanding common stock of the combined company, with existing DXL stockholders owning 45% of the combined company.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Jim Fogarty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Mr. Fogarty is the Chief Executive Officer of FBB and is expected to have the following interests in connection with the Merger:</w:t>
      </w:r>
    </w:p>
    <w:p>
      <w:pPr>
        <w:spacing w:after="0" w:line="207" w:lineRule="exact"/>
        <w:rPr>
          <w:sz w:val="20"/>
          <w:szCs w:val="20"/>
          <w:color w:val="auto"/>
        </w:rPr>
      </w:pPr>
    </w:p>
    <w:p>
      <w:pPr>
        <w:ind w:left="740" w:right="180" w:hanging="370"/>
        <w:spacing w:after="0" w:line="243" w:lineRule="auto"/>
        <w:tabs>
          <w:tab w:leader="none" w:pos="740"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Equity Ownership</w:t>
      </w:r>
      <w:r>
        <w:rPr>
          <w:rFonts w:ascii="Times New Roman" w:cs="Times New Roman" w:eastAsia="Times New Roman" w:hAnsi="Times New Roman"/>
          <w:sz w:val="19"/>
          <w:szCs w:val="19"/>
          <w:color w:val="auto"/>
        </w:rPr>
        <w:t>: Mr. Fogarty is expected to receive approximately 1.6% of the outstanding common stock of DXL following consummation of the Merger, based on his expected ownership of FBB common stock immediately prior to the Merger, substantially all of which will result from Mr. Fogarty’s participation in the pre-closing investment pursuant to the commitment and subscription agreements.</w:t>
      </w:r>
    </w:p>
    <w:p>
      <w:pPr>
        <w:spacing w:after="0" w:line="179" w:lineRule="exact"/>
        <w:rPr>
          <w:rFonts w:ascii="Times New Roman" w:cs="Times New Roman" w:eastAsia="Times New Roman" w:hAnsi="Times New Roman"/>
          <w:sz w:val="19"/>
          <w:szCs w:val="19"/>
          <w:color w:val="auto"/>
        </w:rPr>
      </w:pPr>
    </w:p>
    <w:p>
      <w:pPr>
        <w:ind w:left="740" w:right="200" w:hanging="370"/>
        <w:spacing w:after="0" w:line="262" w:lineRule="auto"/>
        <w:tabs>
          <w:tab w:leader="none" w:pos="740"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Board Membership</w:t>
      </w:r>
      <w:r>
        <w:rPr>
          <w:rFonts w:ascii="Times New Roman" w:cs="Times New Roman" w:eastAsia="Times New Roman" w:hAnsi="Times New Roman"/>
          <w:sz w:val="19"/>
          <w:szCs w:val="19"/>
          <w:color w:val="auto"/>
        </w:rPr>
        <w:t>: Effective immediately following the consummation of the Merger, Mr. Fogarty will become a member of the board of directors of DXL as one of the four directors designated by FBB.</w:t>
      </w:r>
    </w:p>
    <w:p>
      <w:pPr>
        <w:spacing w:after="0" w:line="161" w:lineRule="exact"/>
        <w:rPr>
          <w:rFonts w:ascii="Times New Roman" w:cs="Times New Roman" w:eastAsia="Times New Roman" w:hAnsi="Times New Roman"/>
          <w:sz w:val="19"/>
          <w:szCs w:val="19"/>
          <w:color w:val="auto"/>
        </w:rPr>
      </w:pPr>
    </w:p>
    <w:p>
      <w:pPr>
        <w:ind w:left="740" w:hanging="370"/>
        <w:spacing w:after="0"/>
        <w:tabs>
          <w:tab w:leader="none" w:pos="740"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Executive Position</w:t>
      </w:r>
      <w:r>
        <w:rPr>
          <w:rFonts w:ascii="Times New Roman" w:cs="Times New Roman" w:eastAsia="Times New Roman" w:hAnsi="Times New Roman"/>
          <w:sz w:val="19"/>
          <w:szCs w:val="19"/>
          <w:color w:val="auto"/>
        </w:rPr>
        <w:t>: Effective as of the consummation of the Merger, Mr. Fogarty will serve as the Chief Executive Officer of DXL.</w:t>
      </w:r>
    </w:p>
    <w:p>
      <w:pPr>
        <w:spacing w:after="0" w:line="207" w:lineRule="exact"/>
        <w:rPr>
          <w:rFonts w:ascii="Times New Roman" w:cs="Times New Roman" w:eastAsia="Times New Roman" w:hAnsi="Times New Roman"/>
          <w:sz w:val="19"/>
          <w:szCs w:val="19"/>
          <w:color w:val="auto"/>
        </w:rPr>
      </w:pPr>
    </w:p>
    <w:p>
      <w:pPr>
        <w:ind w:left="740" w:right="60" w:hanging="370"/>
        <w:spacing w:after="0" w:line="248" w:lineRule="auto"/>
        <w:tabs>
          <w:tab w:leader="none" w:pos="740"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Employment Agreement</w:t>
      </w:r>
      <w:r>
        <w:rPr>
          <w:rFonts w:ascii="Times New Roman" w:cs="Times New Roman" w:eastAsia="Times New Roman" w:hAnsi="Times New Roman"/>
          <w:sz w:val="19"/>
          <w:szCs w:val="19"/>
          <w:color w:val="auto"/>
        </w:rPr>
        <w:t>: In connection with his appointment as Chief Executive Officer of DXL, Mr. Fogarty is expected to enter into an employment agreement with DXL governing the terms and conditions of his employment as Chief Executive Officer. The terms of such employment agreement have not been finalized as of the date of this filing.</w:t>
      </w:r>
    </w:p>
    <w:p>
      <w:pPr>
        <w:spacing w:after="0" w:line="174" w:lineRule="exact"/>
        <w:rPr>
          <w:sz w:val="20"/>
          <w:szCs w:val="20"/>
          <w:color w:val="auto"/>
        </w:rPr>
      </w:pPr>
    </w:p>
    <w:p>
      <w:pPr>
        <w:ind w:right="400"/>
        <w:spacing w:after="0" w:line="262" w:lineRule="auto"/>
        <w:rPr>
          <w:sz w:val="20"/>
          <w:szCs w:val="20"/>
          <w:color w:val="auto"/>
        </w:rPr>
      </w:pPr>
      <w:r>
        <w:rPr>
          <w:rFonts w:ascii="Times New Roman" w:cs="Times New Roman" w:eastAsia="Times New Roman" w:hAnsi="Times New Roman"/>
          <w:sz w:val="19"/>
          <w:szCs w:val="19"/>
          <w:color w:val="auto"/>
        </w:rPr>
        <w:t>Additional information regarding the interests of participants in the solicitation of proxies in connection with the Merger will be included in the proxy statement that DXL intends to file with the Securities and Exchange Commission in connection with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750570</wp:posOffset>
            </wp:positionV>
            <wp:extent cx="7174865" cy="4064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sectPr>
      </w:pPr>
    </w:p>
    <w:bookmarkStart w:id="147" w:name="page148"/>
    <w:bookmarkEnd w:id="147"/>
    <w:p>
      <w:pPr>
        <w:ind w:left="9060"/>
        <w:spacing w:after="0"/>
        <w:rPr>
          <w:sz w:val="20"/>
          <w:szCs w:val="20"/>
          <w:color w:val="auto"/>
        </w:rPr>
      </w:pPr>
      <w:r>
        <w:rPr>
          <w:rFonts w:ascii="Times New Roman" w:cs="Times New Roman" w:eastAsia="Times New Roman" w:hAnsi="Times New Roman"/>
          <w:sz w:val="15"/>
          <w:szCs w:val="15"/>
          <w:b w:val="1"/>
          <w:bCs w:val="1"/>
          <w:color w:val="auto"/>
        </w:rPr>
        <w:t>EXHIBIT 99.10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7084060</wp:posOffset>
            </wp:positionV>
            <wp:extent cx="7174865" cy="4064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-713740</wp:posOffset>
            </wp:positionH>
            <wp:positionV relativeFrom="paragraph">
              <wp:posOffset>262890</wp:posOffset>
            </wp:positionV>
            <wp:extent cx="4686300" cy="603059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4686300" cy="6030595"/>
                    </a:xfrm>
                    <a:prstGeom prst="rect">
                      <a:avLst/>
                    </a:prstGeom>
                    <a:noFill/>
                  </pic:spPr>
                </pic:pic>
              </a:graphicData>
            </a:graphic>
          </wp:anchor>
        </w:drawing>
      </w:r>
    </w:p>
    <w:p>
      <w:pPr>
        <w:sectPr>
          <w:pgSz w:w="11900" w:h="16838" w:orient="portrait"/>
          <w:cols w:equalWidth="0" w:num="1">
            <w:col w:w="10140"/>
          </w:cols>
          <w:pgMar w:left="1440" w:top="689" w:right="319" w:bottom="1440" w:gutter="0" w:footer="0" w:header="0"/>
        </w:sectPr>
      </w:pPr>
    </w:p>
    <w:bookmarkStart w:id="148" w:name="page149"/>
    <w:bookmarkEnd w:id="1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7675880</wp:posOffset>
            </wp:positionV>
            <wp:extent cx="7174865" cy="4064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809625</wp:posOffset>
            </wp:positionV>
            <wp:extent cx="4686300" cy="609790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clrChange>
                        <a:clrFrom>
                          <a:srgbClr val="FFFFFF"/>
                        </a:clrFrom>
                        <a:clrTo>
                          <a:srgbClr val="FFFFFF">
                            <a:alpha val="0"/>
                          </a:srgbClr>
                        </a:clrTo>
                      </a:clrChange>
                      <a:extLst>
                        <a:ext uri="{28A0092B-C50C-407E-A947-70E740481C1C}"/>
                      </a:extLst>
                    </a:blip>
                    <a:srcRect/>
                    <a:stretch>
                      <a:fillRect/>
                    </a:stretch>
                  </pic:blipFill>
                  <pic:spPr bwMode="auto">
                    <a:xfrm>
                      <a:off x="0" y="0"/>
                      <a:ext cx="4686300" cy="6097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48EAA1"/>
    <w:multiLevelType w:val="hybridMultilevel"/>
    <w:lvl w:ilvl="0">
      <w:lvlJc w:val="left"/>
      <w:lvlText w:val="☐"/>
      <w:numFmt w:val="bullet"/>
      <w:start w:val="1"/>
    </w:lvl>
  </w:abstractNum>
  <w:abstractNum w:abstractNumId="1">
    <w:nsid w:val="1381823A"/>
    <w:multiLevelType w:val="hybridMultilevel"/>
    <w:lvl w:ilvl="0">
      <w:lvlJc w:val="left"/>
      <w:lvlText w:val="*"/>
      <w:numFmt w:val="bullet"/>
      <w:start w:val="1"/>
    </w:lvl>
  </w:abstractNum>
  <w:abstractNum w:abstractNumId="2">
    <w:nsid w:val="5DB70AE5"/>
    <w:multiLevelType w:val="hybridMultilevel"/>
    <w:lvl w:ilvl="0">
      <w:lvlJc w:val="left"/>
      <w:lvlText w:val="(%1)"/>
      <w:numFmt w:val="lowerLetter"/>
      <w:start w:val="1"/>
    </w:lvl>
  </w:abstractNum>
  <w:abstractNum w:abstractNumId="3">
    <w:nsid w:val="100F8FCA"/>
    <w:multiLevelType w:val="hybridMultilevel"/>
    <w:lvl w:ilvl="0">
      <w:lvlJc w:val="left"/>
      <w:lvlText w:val="%1"/>
      <w:numFmt w:val="lowerLetter"/>
      <w:start w:val="1"/>
    </w:lvl>
    <w:lvl w:ilvl="1">
      <w:lvlJc w:val="left"/>
      <w:lvlText w:val="(%2)"/>
      <w:numFmt w:val="lowerRoman"/>
      <w:start w:val="1"/>
    </w:lvl>
  </w:abstractNum>
  <w:abstractNum w:abstractNumId="4">
    <w:nsid w:val="6590700B"/>
    <w:multiLevelType w:val="hybridMultilevel"/>
    <w:lvl w:ilvl="0">
      <w:lvlJc w:val="left"/>
      <w:lvlText w:val="(%1)"/>
      <w:numFmt w:val="lowerLetter"/>
      <w:start w:val="2"/>
    </w:lvl>
    <w:lvl w:ilvl="1">
      <w:lvlJc w:val="left"/>
      <w:lvlText w:val="%2"/>
      <w:numFmt w:val="lowerRoman"/>
      <w:start w:val="1"/>
    </w:lvl>
  </w:abstractNum>
  <w:abstractNum w:abstractNumId="5">
    <w:nsid w:val="15014ACB"/>
    <w:multiLevelType w:val="hybridMultilevel"/>
    <w:lvl w:ilvl="0">
      <w:lvlJc w:val="left"/>
      <w:lvlText w:val="(%1)"/>
      <w:numFmt w:val="lowerLetter"/>
      <w:start w:val="3"/>
    </w:lvl>
  </w:abstractNum>
  <w:abstractNum w:abstractNumId="6">
    <w:nsid w:val="5F5E7FD0"/>
    <w:multiLevelType w:val="hybridMultilevel"/>
    <w:lvl w:ilvl="0">
      <w:lvlJc w:val="left"/>
      <w:lvlText w:val="(%1)"/>
      <w:numFmt w:val="lowerLetter"/>
      <w:start w:val="1"/>
    </w:lvl>
  </w:abstractNum>
  <w:abstractNum w:abstractNumId="7">
    <w:nsid w:val="98A3148"/>
    <w:multiLevelType w:val="hybridMultilevel"/>
    <w:lvl w:ilvl="0">
      <w:lvlJc w:val="left"/>
      <w:lvlText w:val="(%1)"/>
      <w:numFmt w:val="lowerLetter"/>
      <w:start w:val="3"/>
    </w:lvl>
    <w:lvl w:ilvl="1">
      <w:lvlJc w:val="left"/>
      <w:lvlText w:val="(%2)"/>
      <w:numFmt w:val="lowerLetter"/>
      <w:start w:val="9"/>
    </w:lvl>
  </w:abstractNum>
  <w:abstractNum w:abstractNumId="8">
    <w:nsid w:val="799D0247"/>
    <w:multiLevelType w:val="hybridMultilevel"/>
    <w:lvl w:ilvl="0">
      <w:lvlJc w:val="left"/>
      <w:lvlText w:val="%1"/>
      <w:numFmt w:val="upperLetter"/>
      <w:start w:val="1"/>
    </w:lvl>
    <w:lvl w:ilvl="1">
      <w:lvlJc w:val="left"/>
      <w:lvlText w:val="(%2)"/>
      <w:numFmt w:val="lowerLetter"/>
      <w:start w:val="6"/>
    </w:lvl>
  </w:abstractNum>
  <w:abstractNum w:abstractNumId="9">
    <w:nsid w:val="6B94764"/>
    <w:multiLevelType w:val="hybridMultilevel"/>
    <w:lvl w:ilvl="0">
      <w:lvlJc w:val="left"/>
      <w:lvlText w:val="(%1)"/>
      <w:numFmt w:val="lowerLetter"/>
      <w:start w:val="1"/>
    </w:lvl>
  </w:abstractNum>
  <w:abstractNum w:abstractNumId="10">
    <w:nsid w:val="42C296BD"/>
    <w:multiLevelType w:val="hybridMultilevel"/>
    <w:lvl w:ilvl="0">
      <w:lvlJc w:val="left"/>
      <w:lvlText w:val="%1"/>
      <w:numFmt w:val="lowerLetter"/>
      <w:start w:val="1"/>
    </w:lvl>
    <w:lvl w:ilvl="1">
      <w:lvlJc w:val="left"/>
      <w:lvlText w:val="(%2)"/>
      <w:numFmt w:val="lowerRoman"/>
      <w:start w:val="1"/>
    </w:lvl>
  </w:abstractNum>
  <w:abstractNum w:abstractNumId="11">
    <w:nsid w:val="168E121F"/>
    <w:multiLevelType w:val="hybridMultilevel"/>
    <w:lvl w:ilvl="0">
      <w:lvlJc w:val="left"/>
      <w:lvlText w:val="(%1)"/>
      <w:numFmt w:val="lowerLetter"/>
      <w:start w:val="2"/>
    </w:lvl>
    <w:lvl w:ilvl="1">
      <w:lvlJc w:val="left"/>
      <w:lvlText w:val="(%2)"/>
      <w:numFmt w:val="lowerRoman"/>
      <w:start w:val="1"/>
    </w:lvl>
  </w:abstractNum>
  <w:abstractNum w:abstractNumId="12">
    <w:nsid w:val="1EBA5D23"/>
    <w:multiLevelType w:val="hybridMultilevel"/>
    <w:lvl w:ilvl="0">
      <w:lvlJc w:val="left"/>
      <w:lvlText w:val="(%1)"/>
      <w:numFmt w:val="lowerLetter"/>
      <w:start w:val="1"/>
    </w:lvl>
    <w:lvl w:ilvl="1">
      <w:lvlJc w:val="left"/>
      <w:lvlText w:val="(%2)"/>
      <w:numFmt w:val="lowerLetter"/>
      <w:start w:val="9"/>
    </w:lvl>
  </w:abstractNum>
  <w:abstractNum w:abstractNumId="13">
    <w:nsid w:val="661E3F1E"/>
    <w:multiLevelType w:val="hybridMultilevel"/>
    <w:lvl w:ilvl="0">
      <w:lvlJc w:val="left"/>
      <w:lvlText w:val="(%1)"/>
      <w:numFmt w:val="lowerLetter"/>
      <w:start w:val="1"/>
    </w:lvl>
  </w:abstractNum>
  <w:abstractNum w:abstractNumId="14">
    <w:nsid w:val="5DC79EA8"/>
    <w:multiLevelType w:val="hybridMultilevel"/>
    <w:lvl w:ilvl="0">
      <w:lvlJc w:val="left"/>
      <w:lvlText w:val="(%1)"/>
      <w:numFmt w:val="lowerLetter"/>
      <w:start w:val="2"/>
    </w:lvl>
  </w:abstractNum>
  <w:abstractNum w:abstractNumId="15">
    <w:nsid w:val="540A471C"/>
    <w:multiLevelType w:val="hybridMultilevel"/>
    <w:lvl w:ilvl="0">
      <w:lvlJc w:val="left"/>
      <w:lvlText w:val="(%1)"/>
      <w:numFmt w:val="lowerLetter"/>
      <w:start w:val="1"/>
    </w:lvl>
  </w:abstractNum>
  <w:abstractNum w:abstractNumId="16">
    <w:nsid w:val="7BD3EE7B"/>
    <w:multiLevelType w:val="hybridMultilevel"/>
    <w:lvl w:ilvl="0">
      <w:lvlJc w:val="left"/>
      <w:lvlText w:val="(%1)"/>
      <w:numFmt w:val="lowerLetter"/>
      <w:start w:val="2"/>
    </w:lvl>
  </w:abstractNum>
  <w:abstractNum w:abstractNumId="17">
    <w:nsid w:val="51D9C564"/>
    <w:multiLevelType w:val="hybridMultilevel"/>
    <w:lvl w:ilvl="0">
      <w:lvlJc w:val="left"/>
      <w:lvlText w:val="(%1)"/>
      <w:numFmt w:val="lowerLetter"/>
      <w:start w:val="1"/>
    </w:lvl>
  </w:abstractNum>
  <w:abstractNum w:abstractNumId="18">
    <w:nsid w:val="613EFDC5"/>
    <w:multiLevelType w:val="hybridMultilevel"/>
    <w:lvl w:ilvl="0">
      <w:lvlJc w:val="left"/>
      <w:lvlText w:val="(%1)"/>
      <w:numFmt w:val="lowerLetter"/>
      <w:start w:val="1"/>
    </w:lvl>
  </w:abstractNum>
  <w:abstractNum w:abstractNumId="19">
    <w:nsid w:val="BF72B14"/>
    <w:multiLevelType w:val="hybridMultilevel"/>
    <w:lvl w:ilvl="0">
      <w:lvlJc w:val="left"/>
      <w:lvlText w:val="(%1)"/>
      <w:numFmt w:val="lowerRoman"/>
      <w:start w:val="1"/>
    </w:lvl>
  </w:abstractNum>
  <w:abstractNum w:abstractNumId="20">
    <w:nsid w:val="11447B73"/>
    <w:multiLevelType w:val="hybridMultilevel"/>
    <w:lvl w:ilvl="0">
      <w:lvlJc w:val="left"/>
      <w:lvlText w:val="(%1)"/>
      <w:numFmt w:val="lowerRoman"/>
      <w:start w:val="5"/>
    </w:lvl>
  </w:abstractNum>
  <w:abstractNum w:abstractNumId="21">
    <w:nsid w:val="42963E5A"/>
    <w:multiLevelType w:val="hybridMultilevel"/>
    <w:lvl w:ilvl="0">
      <w:lvlJc w:val="left"/>
      <w:lvlText w:val="%1"/>
      <w:numFmt w:val="lowerLetter"/>
      <w:start w:val="1"/>
    </w:lvl>
    <w:lvl w:ilvl="1">
      <w:lvlJc w:val="left"/>
      <w:lvlText w:val="(%2)"/>
      <w:numFmt w:val="lowerLetter"/>
      <w:start w:val="1"/>
    </w:lvl>
  </w:abstractNum>
  <w:abstractNum w:abstractNumId="22">
    <w:nsid w:val="A0382C5"/>
    <w:multiLevelType w:val="hybridMultilevel"/>
    <w:lvl w:ilvl="0">
      <w:lvlJc w:val="left"/>
      <w:lvlText w:val="(%1)"/>
      <w:numFmt w:val="lowerLetter"/>
      <w:start w:val="24"/>
    </w:lvl>
    <w:lvl w:ilvl="1">
      <w:lvlJc w:val="left"/>
      <w:lvlText w:val="(%2)"/>
      <w:numFmt w:val="lowerLetter"/>
      <w:start w:val="2"/>
    </w:lvl>
  </w:abstractNum>
  <w:abstractNum w:abstractNumId="23">
    <w:nsid w:val="8F2B15E"/>
    <w:multiLevelType w:val="hybridMultilevel"/>
    <w:lvl w:ilvl="0">
      <w:lvlJc w:val="left"/>
      <w:lvlText w:val="%1"/>
      <w:numFmt w:val="lowerLetter"/>
      <w:start w:val="1"/>
    </w:lvl>
    <w:lvl w:ilvl="1">
      <w:lvlJc w:val="left"/>
      <w:lvlText w:val="(%2)"/>
      <w:numFmt w:val="lowerLetter"/>
      <w:start w:val="3"/>
    </w:lvl>
  </w:abstractNum>
  <w:abstractNum w:abstractNumId="24">
    <w:nsid w:val="1A32234B"/>
    <w:multiLevelType w:val="hybridMultilevel"/>
    <w:lvl w:ilvl="0">
      <w:lvlJc w:val="left"/>
      <w:lvlText w:val="(%1)"/>
      <w:numFmt w:val="lowerLetter"/>
      <w:start w:val="35"/>
    </w:lvl>
    <w:lvl w:ilvl="1">
      <w:lvlJc w:val="left"/>
      <w:lvlText w:val="(%2)"/>
      <w:numFmt w:val="lowerLetter"/>
      <w:start w:val="4"/>
    </w:lvl>
  </w:abstractNum>
  <w:abstractNum w:abstractNumId="25">
    <w:nsid w:val="3B0FD379"/>
    <w:multiLevelType w:val="hybridMultilevel"/>
    <w:lvl w:ilvl="0">
      <w:lvlJc w:val="left"/>
      <w:lvlText w:val="(%1)"/>
      <w:numFmt w:val="lowerLetter"/>
      <w:start w:val="9"/>
    </w:lvl>
  </w:abstractNum>
  <w:abstractNum w:abstractNumId="26">
    <w:nsid w:val="68EB2F63"/>
    <w:multiLevelType w:val="hybridMultilevel"/>
    <w:lvl w:ilvl="0">
      <w:lvlJc w:val="left"/>
      <w:lvlText w:val="(%1)"/>
      <w:numFmt w:val="lowerLetter"/>
      <w:start w:val="1"/>
    </w:lvl>
  </w:abstractNum>
  <w:abstractNum w:abstractNumId="27">
    <w:nsid w:val="4962813B"/>
    <w:multiLevelType w:val="hybridMultilevel"/>
    <w:lvl w:ilvl="0">
      <w:lvlJc w:val="left"/>
      <w:lvlText w:val="(%1)"/>
      <w:numFmt w:val="lowerLetter"/>
      <w:start w:val="3"/>
    </w:lvl>
  </w:abstractNum>
  <w:abstractNum w:abstractNumId="28">
    <w:nsid w:val="60B6DF70"/>
    <w:multiLevelType w:val="hybridMultilevel"/>
    <w:lvl w:ilvl="0">
      <w:lvlJc w:val="left"/>
      <w:lvlText w:val="(%1)"/>
      <w:numFmt w:val="lowerLetter"/>
      <w:start w:val="1"/>
    </w:lvl>
  </w:abstractNum>
  <w:abstractNum w:abstractNumId="29">
    <w:nsid w:val="6A5EE64"/>
    <w:multiLevelType w:val="hybridMultilevel"/>
    <w:lvl w:ilvl="0">
      <w:lvlJc w:val="left"/>
      <w:lvlText w:val="(%1)"/>
      <w:numFmt w:val="lowerLetter"/>
      <w:start w:val="1"/>
    </w:lvl>
    <w:lvl w:ilvl="1">
      <w:lvlJc w:val="left"/>
      <w:lvlText w:val="(%2)"/>
      <w:numFmt w:val="lowerRoman"/>
      <w:start w:val="1"/>
    </w:lvl>
  </w:abstractNum>
  <w:abstractNum w:abstractNumId="30">
    <w:nsid w:val="14330624"/>
    <w:multiLevelType w:val="hybridMultilevel"/>
    <w:lvl w:ilvl="0">
      <w:lvlJc w:val="left"/>
      <w:lvlText w:val="%1"/>
      <w:numFmt w:val="lowerLetter"/>
      <w:start w:val="1"/>
    </w:lvl>
    <w:lvl w:ilvl="1">
      <w:lvlJc w:val="left"/>
      <w:lvlText w:val="(%2)"/>
      <w:numFmt w:val="lowerRoman"/>
      <w:start w:val="9"/>
    </w:lvl>
  </w:abstractNum>
  <w:abstractNum w:abstractNumId="31">
    <w:nsid w:val="7FFFCA11"/>
    <w:multiLevelType w:val="hybridMultilevel"/>
    <w:lvl w:ilvl="0">
      <w:lvlJc w:val="left"/>
      <w:lvlText w:val="(%1)"/>
      <w:numFmt w:val="lowerLetter"/>
      <w:start w:val="2"/>
    </w:lvl>
    <w:lvl w:ilvl="1">
      <w:lvlJc w:val="left"/>
      <w:lvlText w:val="%2"/>
      <w:numFmt w:val="lowerRoman"/>
      <w:start w:val="1"/>
    </w:lvl>
  </w:abstractNum>
  <w:abstractNum w:abstractNumId="32">
    <w:nsid w:val="1A27709E"/>
    <w:multiLevelType w:val="hybridMultilevel"/>
    <w:lvl w:ilvl="0">
      <w:lvlJc w:val="left"/>
      <w:lvlText w:val="(%1)"/>
      <w:numFmt w:val="lowerLetter"/>
      <w:start w:val="1"/>
    </w:lvl>
    <w:lvl w:ilvl="1">
      <w:lvlJc w:val="left"/>
      <w:lvlText w:val="(%2)"/>
      <w:numFmt w:val="lowerRoman"/>
      <w:start w:val="1"/>
    </w:lvl>
  </w:abstractNum>
  <w:abstractNum w:abstractNumId="33">
    <w:nsid w:val="71EA1109"/>
    <w:multiLevelType w:val="hybridMultilevel"/>
    <w:lvl w:ilvl="0">
      <w:lvlJc w:val="left"/>
      <w:lvlText w:val="(%1)"/>
      <w:numFmt w:val="lowerRoman"/>
      <w:start w:val="5"/>
    </w:lvl>
  </w:abstractNum>
  <w:abstractNum w:abstractNumId="34">
    <w:nsid w:val="100F59DC"/>
    <w:multiLevelType w:val="hybridMultilevel"/>
    <w:lvl w:ilvl="0">
      <w:lvlJc w:val="left"/>
      <w:lvlText w:val="(%1)"/>
      <w:numFmt w:val="lowerLetter"/>
      <w:start w:val="1"/>
    </w:lvl>
  </w:abstractNum>
  <w:abstractNum w:abstractNumId="35">
    <w:nsid w:val="7FB7E0AA"/>
    <w:multiLevelType w:val="hybridMultilevel"/>
    <w:lvl w:ilvl="0">
      <w:lvlJc w:val="left"/>
      <w:lvlText w:val="(%1)"/>
      <w:numFmt w:val="lowerLetter"/>
      <w:start w:val="3"/>
    </w:lvl>
  </w:abstractNum>
  <w:abstractNum w:abstractNumId="36">
    <w:nsid w:val="6EB5BD4"/>
    <w:multiLevelType w:val="hybridMultilevel"/>
    <w:lvl w:ilvl="0">
      <w:lvlJc w:val="left"/>
      <w:lvlText w:val="(%1)"/>
      <w:numFmt w:val="lowerLetter"/>
      <w:start w:val="1"/>
    </w:lvl>
  </w:abstractNum>
  <w:abstractNum w:abstractNumId="37">
    <w:nsid w:val="6F6DD9AC"/>
    <w:multiLevelType w:val="hybridMultilevel"/>
    <w:lvl w:ilvl="0">
      <w:lvlJc w:val="left"/>
      <w:lvlText w:val="(%1)"/>
      <w:numFmt w:val="lowerLetter"/>
      <w:start w:val="2"/>
    </w:lvl>
  </w:abstractNum>
  <w:abstractNum w:abstractNumId="38">
    <w:nsid w:val="94211F2"/>
    <w:multiLevelType w:val="hybridMultilevel"/>
    <w:lvl w:ilvl="0">
      <w:lvlJc w:val="left"/>
      <w:lvlText w:val="(%1)"/>
      <w:numFmt w:val="lowerLetter"/>
      <w:start w:val="6"/>
    </w:lvl>
  </w:abstractNum>
  <w:abstractNum w:abstractNumId="39">
    <w:nsid w:val="885E1B"/>
    <w:multiLevelType w:val="hybridMultilevel"/>
    <w:lvl w:ilvl="0">
      <w:lvlJc w:val="left"/>
      <w:lvlText w:val="(%1)"/>
      <w:numFmt w:val="lowerLetter"/>
      <w:start w:val="1"/>
    </w:lvl>
  </w:abstractNum>
  <w:abstractNum w:abstractNumId="40">
    <w:nsid w:val="76272110"/>
    <w:multiLevelType w:val="hybridMultilevel"/>
    <w:lvl w:ilvl="0">
      <w:lvlJc w:val="left"/>
      <w:lvlText w:val="(%1)"/>
      <w:numFmt w:val="lowerLetter"/>
      <w:start w:val="2"/>
    </w:lvl>
  </w:abstractNum>
  <w:abstractNum w:abstractNumId="41">
    <w:nsid w:val="4C04A8AF"/>
    <w:multiLevelType w:val="hybridMultilevel"/>
    <w:lvl w:ilvl="0">
      <w:lvlJc w:val="left"/>
      <w:lvlText w:val="(%1)"/>
      <w:numFmt w:val="lowerLetter"/>
      <w:start w:val="1"/>
    </w:lvl>
    <w:lvl w:ilvl="1">
      <w:lvlJc w:val="left"/>
      <w:lvlText w:val="(%2)"/>
      <w:numFmt w:val="lowerLetter"/>
      <w:start w:val="9"/>
    </w:lvl>
  </w:abstractNum>
  <w:abstractNum w:abstractNumId="42">
    <w:nsid w:val="1716703B"/>
    <w:multiLevelType w:val="hybridMultilevel"/>
    <w:lvl w:ilvl="0">
      <w:lvlJc w:val="left"/>
      <w:lvlText w:val="%1"/>
      <w:numFmt w:val="upperLetter"/>
      <w:start w:val="1"/>
    </w:lvl>
    <w:lvl w:ilvl="1">
      <w:lvlJc w:val="left"/>
      <w:lvlText w:val="(%2)"/>
      <w:numFmt w:val="lowerLetter"/>
      <w:start w:val="1"/>
    </w:lvl>
  </w:abstractNum>
  <w:abstractNum w:abstractNumId="43">
    <w:nsid w:val="14E17E33"/>
    <w:multiLevelType w:val="hybridMultilevel"/>
    <w:lvl w:ilvl="0">
      <w:lvlJc w:val="left"/>
      <w:lvlText w:val="(%1)"/>
      <w:numFmt w:val="upperLetter"/>
      <w:start w:val="1"/>
    </w:lvl>
    <w:lvl w:ilvl="1">
      <w:lvlJc w:val="left"/>
      <w:lvlText w:val="%2"/>
      <w:numFmt w:val="lowerLetter"/>
      <w:start w:val="1"/>
    </w:lvl>
  </w:abstractNum>
  <w:abstractNum w:abstractNumId="44">
    <w:nsid w:val="3222E7CD"/>
    <w:multiLevelType w:val="hybridMultilevel"/>
    <w:lvl w:ilvl="0">
      <w:lvlJc w:val="left"/>
      <w:lvlText w:val="(%1)"/>
      <w:numFmt w:val="lowerLetter"/>
      <w:start w:val="4"/>
    </w:lvl>
  </w:abstractNum>
  <w:abstractNum w:abstractNumId="45">
    <w:nsid w:val="74DE0EE3"/>
    <w:multiLevelType w:val="hybridMultilevel"/>
    <w:lvl w:ilvl="0">
      <w:lvlJc w:val="left"/>
      <w:lvlText w:val="(%1)"/>
      <w:numFmt w:val="lowerLetter"/>
      <w:start w:val="1"/>
    </w:lvl>
  </w:abstractNum>
  <w:abstractNum w:abstractNumId="46">
    <w:nsid w:val="68EBC550"/>
    <w:multiLevelType w:val="hybridMultilevel"/>
    <w:lvl w:ilvl="0">
      <w:lvlJc w:val="left"/>
      <w:lvlText w:val="(%1)"/>
      <w:numFmt w:val="lowerLetter"/>
      <w:start w:val="1"/>
    </w:lvl>
  </w:abstractNum>
  <w:abstractNum w:abstractNumId="47">
    <w:nsid w:val="2DF6D648"/>
    <w:multiLevelType w:val="hybridMultilevel"/>
    <w:lvl w:ilvl="0">
      <w:lvlJc w:val="left"/>
      <w:lvlText w:val="(%1)"/>
      <w:numFmt w:val="lowerLetter"/>
      <w:start w:val="1"/>
    </w:lvl>
  </w:abstractNum>
  <w:abstractNum w:abstractNumId="48">
    <w:nsid w:val="46B7D447"/>
    <w:multiLevelType w:val="hybridMultilevel"/>
    <w:lvl w:ilvl="0">
      <w:lvlJc w:val="left"/>
      <w:lvlText w:val="(%1)"/>
      <w:numFmt w:val="lowerRoman"/>
      <w:start w:val="1"/>
    </w:lvl>
  </w:abstractNum>
  <w:abstractNum w:abstractNumId="49">
    <w:nsid w:val="4A2AC315"/>
    <w:multiLevelType w:val="hybridMultilevel"/>
    <w:lvl w:ilvl="0">
      <w:lvlJc w:val="left"/>
      <w:lvlText w:val="(%1)"/>
      <w:numFmt w:val="lowerRoman"/>
      <w:start w:val="5"/>
    </w:lvl>
  </w:abstractNum>
  <w:abstractNum w:abstractNumId="50">
    <w:nsid w:val="39EE015C"/>
    <w:multiLevelType w:val="hybridMultilevel"/>
    <w:lvl w:ilvl="0">
      <w:lvlJc w:val="left"/>
      <w:lvlText w:val="%1"/>
      <w:numFmt w:val="lowerRoman"/>
      <w:start w:val="1"/>
    </w:lvl>
    <w:lvl w:ilvl="1">
      <w:lvlJc w:val="left"/>
      <w:lvlText w:val="(%2)"/>
      <w:numFmt w:val="lowerLetter"/>
      <w:start w:val="1"/>
    </w:lvl>
  </w:abstractNum>
  <w:abstractNum w:abstractNumId="51">
    <w:nsid w:val="57FC4FBB"/>
    <w:multiLevelType w:val="hybridMultilevel"/>
    <w:lvl w:ilvl="0">
      <w:lvlJc w:val="left"/>
      <w:lvlText w:val="(%1)"/>
      <w:numFmt w:val="lowerRoman"/>
      <w:start w:val="6"/>
    </w:lvl>
    <w:lvl w:ilvl="1">
      <w:lvlJc w:val="left"/>
      <w:lvlText w:val="(%2)"/>
      <w:numFmt w:val="lowerLetter"/>
      <w:start w:val="3"/>
    </w:lvl>
  </w:abstractNum>
  <w:abstractNum w:abstractNumId="52">
    <w:nsid w:val="CC1016F"/>
    <w:multiLevelType w:val="hybridMultilevel"/>
    <w:lvl w:ilvl="0">
      <w:lvlJc w:val="left"/>
      <w:lvlText w:val="(%1)"/>
      <w:numFmt w:val="lowerRoman"/>
      <w:start w:val="2"/>
    </w:lvl>
    <w:lvl w:ilvl="1">
      <w:lvlJc w:val="left"/>
      <w:lvlText w:val="%2"/>
      <w:numFmt w:val="lowerLetter"/>
      <w:start w:val="1"/>
    </w:lvl>
  </w:abstractNum>
  <w:abstractNum w:abstractNumId="53">
    <w:nsid w:val="43F18422"/>
    <w:multiLevelType w:val="hybridMultilevel"/>
    <w:lvl w:ilvl="0">
      <w:lvlJc w:val="left"/>
      <w:lvlText w:val="(%1)"/>
      <w:numFmt w:val="lowerLetter"/>
      <w:start w:val="4"/>
    </w:lvl>
  </w:abstractNum>
  <w:abstractNum w:abstractNumId="54">
    <w:nsid w:val="60EF0119"/>
    <w:multiLevelType w:val="hybridMultilevel"/>
    <w:lvl w:ilvl="0">
      <w:lvlJc w:val="left"/>
      <w:lvlText w:val="(%1)"/>
      <w:numFmt w:val="lowerLetter"/>
      <w:start w:val="10"/>
    </w:lvl>
  </w:abstractNum>
  <w:abstractNum w:abstractNumId="55">
    <w:nsid w:val="26F324BA"/>
    <w:multiLevelType w:val="hybridMultilevel"/>
    <w:lvl w:ilvl="0">
      <w:lvlJc w:val="left"/>
      <w:lvlText w:val="(%1)"/>
      <w:numFmt w:val="lowerLetter"/>
      <w:start w:val="1"/>
    </w:lvl>
  </w:abstractNum>
  <w:abstractNum w:abstractNumId="56">
    <w:nsid w:val="7F01579B"/>
    <w:multiLevelType w:val="hybridMultilevel"/>
    <w:lvl w:ilvl="0">
      <w:lvlJc w:val="left"/>
      <w:lvlText w:val="(%1)"/>
      <w:numFmt w:val="lowerLetter"/>
      <w:start w:val="4"/>
    </w:lvl>
  </w:abstractNum>
  <w:abstractNum w:abstractNumId="57">
    <w:nsid w:val="49DA307D"/>
    <w:multiLevelType w:val="hybridMultilevel"/>
    <w:lvl w:ilvl="0">
      <w:lvlJc w:val="left"/>
      <w:lvlText w:val="(%1)"/>
      <w:numFmt w:val="lowerLetter"/>
      <w:start w:val="1"/>
    </w:lvl>
  </w:abstractNum>
  <w:abstractNum w:abstractNumId="58">
    <w:nsid w:val="7055A5F5"/>
    <w:multiLevelType w:val="hybridMultilevel"/>
    <w:lvl w:ilvl="0">
      <w:lvlJc w:val="left"/>
      <w:lvlText w:val="(%1)"/>
      <w:numFmt w:val="lowerLetter"/>
      <w:start w:val="1"/>
    </w:lvl>
    <w:lvl w:ilvl="1">
      <w:lvlJc w:val="left"/>
      <w:lvlText w:val="(%2)"/>
      <w:numFmt w:val="lowerRoman"/>
      <w:start w:val="1"/>
    </w:lvl>
  </w:abstractNum>
  <w:abstractNum w:abstractNumId="59">
    <w:nsid w:val="5FB8370B"/>
    <w:multiLevelType w:val="hybridMultilevel"/>
    <w:lvl w:ilvl="0">
      <w:lvlJc w:val="left"/>
      <w:lvlText w:val="(%1)"/>
      <w:numFmt w:val="lowerRoman"/>
      <w:start w:val="5"/>
    </w:lvl>
  </w:abstractNum>
  <w:abstractNum w:abstractNumId="60">
    <w:nsid w:val="50801EE1"/>
    <w:multiLevelType w:val="hybridMultilevel"/>
    <w:lvl w:ilvl="0">
      <w:lvlJc w:val="left"/>
      <w:lvlText w:val="%1"/>
      <w:numFmt w:val="lowerLetter"/>
      <w:start w:val="1"/>
    </w:lvl>
    <w:lvl w:ilvl="1">
      <w:lvlJc w:val="left"/>
      <w:lvlText w:val="(%2)"/>
      <w:numFmt w:val="lowerRoman"/>
      <w:start w:val="15"/>
    </w:lvl>
  </w:abstractNum>
  <w:abstractNum w:abstractNumId="61">
    <w:nsid w:val="488AC1A"/>
    <w:multiLevelType w:val="hybridMultilevel"/>
    <w:lvl w:ilvl="0">
      <w:lvlJc w:val="left"/>
      <w:lvlText w:val="(%1)"/>
      <w:numFmt w:val="lowerLetter"/>
      <w:start w:val="2"/>
    </w:lvl>
    <w:lvl w:ilvl="1">
      <w:lvlJc w:val="left"/>
      <w:lvlText w:val="%2"/>
      <w:numFmt w:val="lowerRoman"/>
      <w:start w:val="1"/>
    </w:lvl>
  </w:abstractNum>
  <w:abstractNum w:abstractNumId="62">
    <w:nsid w:val="5FB8011C"/>
    <w:multiLevelType w:val="hybridMultilevel"/>
    <w:lvl w:ilvl="0">
      <w:lvlJc w:val="left"/>
      <w:lvlText w:val="(%1)"/>
      <w:numFmt w:val="lowerLetter"/>
      <w:start w:val="1"/>
    </w:lvl>
  </w:abstractNum>
  <w:abstractNum w:abstractNumId="63">
    <w:nsid w:val="6AA78F7F"/>
    <w:multiLevelType w:val="hybridMultilevel"/>
    <w:lvl w:ilvl="0">
      <w:lvlJc w:val="left"/>
      <w:lvlText w:val="(%1)"/>
      <w:numFmt w:val="lowerLetter"/>
      <w:start w:val="4"/>
    </w:lvl>
  </w:abstractNum>
  <w:abstractNum w:abstractNumId="64">
    <w:nsid w:val="7672BD23"/>
    <w:multiLevelType w:val="hybridMultilevel"/>
    <w:lvl w:ilvl="0">
      <w:lvlJc w:val="left"/>
      <w:lvlText w:val="(%1)"/>
      <w:numFmt w:val="lowerLetter"/>
      <w:start w:val="1"/>
    </w:lvl>
  </w:abstractNum>
  <w:abstractNum w:abstractNumId="65">
    <w:nsid w:val="6FC75AF8"/>
    <w:multiLevelType w:val="hybridMultilevel"/>
    <w:lvl w:ilvl="0">
      <w:lvlJc w:val="left"/>
      <w:lvlText w:val="(%1)"/>
      <w:numFmt w:val="lowerLetter"/>
      <w:start w:val="4"/>
    </w:lvl>
  </w:abstractNum>
  <w:abstractNum w:abstractNumId="66">
    <w:nsid w:val="6A5F7029"/>
    <w:multiLevelType w:val="hybridMultilevel"/>
    <w:lvl w:ilvl="0">
      <w:lvlJc w:val="left"/>
      <w:lvlText w:val="(%1)"/>
      <w:numFmt w:val="lowerLetter"/>
      <w:start w:val="1"/>
    </w:lvl>
  </w:abstractNum>
  <w:abstractNum w:abstractNumId="67">
    <w:nsid w:val="7D5E18F8"/>
    <w:multiLevelType w:val="hybridMultilevel"/>
    <w:lvl w:ilvl="0">
      <w:lvlJc w:val="left"/>
      <w:lvlText w:val="(%1)"/>
      <w:numFmt w:val="lowerLetter"/>
      <w:start w:val="3"/>
    </w:lvl>
  </w:abstractNum>
  <w:abstractNum w:abstractNumId="68">
    <w:nsid w:val="5F3534A4"/>
    <w:multiLevelType w:val="hybridMultilevel"/>
    <w:lvl w:ilvl="0">
      <w:lvlJc w:val="left"/>
      <w:lvlText w:val="(%1)"/>
      <w:numFmt w:val="lowerLetter"/>
      <w:start w:val="7"/>
    </w:lvl>
  </w:abstractNum>
  <w:abstractNum w:abstractNumId="69">
    <w:nsid w:val="73A1821B"/>
    <w:multiLevelType w:val="hybridMultilevel"/>
    <w:lvl w:ilvl="0">
      <w:lvlJc w:val="left"/>
      <w:lvlText w:val="(%1)"/>
      <w:numFmt w:val="lowerLetter"/>
      <w:start w:val="1"/>
    </w:lvl>
  </w:abstractNum>
  <w:abstractNum w:abstractNumId="70">
    <w:nsid w:val="7DE67713"/>
    <w:multiLevelType w:val="hybridMultilevel"/>
    <w:lvl w:ilvl="0">
      <w:lvlJc w:val="left"/>
      <w:lvlText w:val="(%1)"/>
      <w:numFmt w:val="lowerLetter"/>
      <w:start w:val="6"/>
    </w:lvl>
  </w:abstractNum>
  <w:abstractNum w:abstractNumId="71">
    <w:nsid w:val="555C55B5"/>
    <w:multiLevelType w:val="hybridMultilevel"/>
    <w:lvl w:ilvl="0">
      <w:lvlJc w:val="left"/>
      <w:lvlText w:val="(%1)"/>
      <w:numFmt w:val="lowerLetter"/>
      <w:start w:val="1"/>
    </w:lvl>
  </w:abstractNum>
  <w:abstractNum w:abstractNumId="72">
    <w:nsid w:val="3FA62ACA"/>
    <w:multiLevelType w:val="hybridMultilevel"/>
    <w:lvl w:ilvl="0">
      <w:lvlJc w:val="left"/>
      <w:lvlText w:val="(%1)"/>
      <w:numFmt w:val="lowerLetter"/>
      <w:start w:val="5"/>
    </w:lvl>
  </w:abstractNum>
  <w:abstractNum w:abstractNumId="73">
    <w:nsid w:val="14FCE74E"/>
    <w:multiLevelType w:val="hybridMultilevel"/>
    <w:lvl w:ilvl="0">
      <w:lvlJc w:val="left"/>
      <w:lvlText w:val="(%1)"/>
      <w:numFmt w:val="lowerLetter"/>
      <w:start w:val="15"/>
    </w:lvl>
  </w:abstractNum>
  <w:abstractNum w:abstractNumId="74">
    <w:nsid w:val="6A3DD3E8"/>
    <w:multiLevelType w:val="hybridMultilevel"/>
    <w:lvl w:ilvl="0">
      <w:lvlJc w:val="left"/>
      <w:lvlText w:val="%1"/>
      <w:numFmt w:val="lowerLetter"/>
      <w:start w:val="1"/>
    </w:lvl>
    <w:lvl w:ilvl="1">
      <w:lvlJc w:val="left"/>
      <w:lvlText w:val="(%2)"/>
      <w:numFmt w:val="lowerLetter"/>
      <w:start w:val="1"/>
    </w:lvl>
  </w:abstractNum>
  <w:abstractNum w:abstractNumId="75">
    <w:nsid w:val="71C91298"/>
    <w:multiLevelType w:val="hybridMultilevel"/>
    <w:lvl w:ilvl="0">
      <w:lvlJc w:val="left"/>
      <w:lvlText w:val="(%1)"/>
      <w:numFmt w:val="lowerLetter"/>
      <w:start w:val="61"/>
    </w:lvl>
    <w:lvl w:ilvl="1">
      <w:lvlJc w:val="left"/>
      <w:lvlText w:val="(%2)"/>
      <w:numFmt w:val="lowerLetter"/>
      <w:start w:val="2"/>
    </w:lvl>
  </w:abstractNum>
  <w:abstractNum w:abstractNumId="76">
    <w:nsid w:val="9DAF632"/>
    <w:multiLevelType w:val="hybridMultilevel"/>
    <w:lvl w:ilvl="0">
      <w:lvlJc w:val="left"/>
      <w:lvlText w:val="(%1)"/>
      <w:numFmt w:val="lowerLetter"/>
      <w:start w:val="3"/>
    </w:lvl>
  </w:abstractNum>
  <w:abstractNum w:abstractNumId="77">
    <w:nsid w:val="53299938"/>
    <w:multiLevelType w:val="hybridMultilevel"/>
    <w:lvl w:ilvl="0">
      <w:lvlJc w:val="left"/>
      <w:lvlText w:val="(%1)"/>
      <w:numFmt w:val="lowerLetter"/>
      <w:start w:val="1"/>
    </w:lvl>
  </w:abstractNum>
  <w:abstractNum w:abstractNumId="78">
    <w:nsid w:val="1FBFE8E0"/>
    <w:multiLevelType w:val="hybridMultilevel"/>
    <w:lvl w:ilvl="0">
      <w:lvlJc w:val="left"/>
      <w:lvlText w:val="(%1)"/>
      <w:numFmt w:val="lowerLetter"/>
      <w:start w:val="2"/>
    </w:lvl>
  </w:abstractNum>
  <w:abstractNum w:abstractNumId="79">
    <w:nsid w:val="5092CA79"/>
    <w:multiLevelType w:val="hybridMultilevel"/>
    <w:lvl w:ilvl="0">
      <w:lvlJc w:val="left"/>
      <w:lvlText w:val="(%1)"/>
      <w:numFmt w:val="lowerLetter"/>
      <w:start w:val="4"/>
    </w:lvl>
  </w:abstractNum>
  <w:abstractNum w:abstractNumId="80">
    <w:nsid w:val="1D545C4D"/>
    <w:multiLevelType w:val="hybridMultilevel"/>
    <w:lvl w:ilvl="0">
      <w:lvlJc w:val="left"/>
      <w:lvlText w:val="(%1)"/>
      <w:numFmt w:val="upperLetter"/>
      <w:start w:val="1"/>
    </w:lvl>
  </w:abstractNum>
  <w:abstractNum w:abstractNumId="81">
    <w:nsid w:val="59ADEA3D"/>
    <w:multiLevelType w:val="hybridMultilevel"/>
    <w:lvl w:ilvl="0">
      <w:lvlJc w:val="left"/>
      <w:lvlText w:val="(%1)"/>
      <w:numFmt w:val="lowerLetter"/>
      <w:start w:val="1"/>
    </w:lvl>
  </w:abstractNum>
  <w:abstractNum w:abstractNumId="82">
    <w:nsid w:val="288F1A34"/>
    <w:multiLevelType w:val="hybridMultilevel"/>
    <w:lvl w:ilvl="0">
      <w:lvlJc w:val="left"/>
      <w:lvlText w:val="(%1)"/>
      <w:numFmt w:val="lowerLetter"/>
      <w:start w:val="2"/>
    </w:lvl>
  </w:abstractNum>
  <w:abstractNum w:abstractNumId="83">
    <w:nsid w:val="2A155DBC"/>
    <w:multiLevelType w:val="hybridMultilevel"/>
    <w:lvl w:ilvl="0">
      <w:lvlJc w:val="left"/>
      <w:lvlText w:val="%1"/>
      <w:numFmt w:val="lowerLetter"/>
      <w:start w:val="1"/>
    </w:lvl>
    <w:lvl w:ilvl="1">
      <w:lvlJc w:val="left"/>
      <w:lvlText w:val="(%2)"/>
      <w:numFmt w:val="lowerLetter"/>
      <w:start w:val="5"/>
    </w:lvl>
  </w:abstractNum>
  <w:abstractNum w:abstractNumId="84">
    <w:nsid w:val="1D9F6E5F"/>
    <w:multiLevelType w:val="hybridMultilevel"/>
    <w:lvl w:ilvl="0">
      <w:lvlJc w:val="left"/>
      <w:lvlText w:val="(%1)"/>
      <w:numFmt w:val="lowerLetter"/>
      <w:start w:val="9"/>
    </w:lvl>
    <w:lvl w:ilvl="1">
      <w:lvlJc w:val="left"/>
      <w:lvlText w:val="%2"/>
      <w:numFmt w:val="lowerLetter"/>
      <w:start w:val="1"/>
    </w:lvl>
  </w:abstractNum>
  <w:abstractNum w:abstractNumId="85">
    <w:nsid w:val="97E1B4E"/>
    <w:multiLevelType w:val="hybridMultilevel"/>
    <w:lvl w:ilvl="0">
      <w:lvlJc w:val="left"/>
      <w:lvlText w:val="%1"/>
      <w:numFmt w:val="decimal"/>
      <w:start w:val="1"/>
    </w:lvl>
    <w:lvl w:ilvl="1">
      <w:lvlJc w:val="left"/>
      <w:lvlText w:val="(%2)"/>
      <w:numFmt w:val="lowerLetter"/>
      <w:start w:val="1"/>
    </w:lvl>
  </w:abstractNum>
  <w:abstractNum w:abstractNumId="86">
    <w:nsid w:val="51088277"/>
    <w:multiLevelType w:val="hybridMultilevel"/>
    <w:lvl w:ilvl="0">
      <w:lvlJc w:val="left"/>
      <w:lvlText w:val="(%1)"/>
      <w:numFmt w:val="decimal"/>
      <w:start w:val="90"/>
    </w:lvl>
    <w:lvl w:ilvl="1">
      <w:lvlJc w:val="left"/>
      <w:lvlText w:val="(%2)"/>
      <w:numFmt w:val="lowerLetter"/>
      <w:start w:val="3"/>
    </w:lvl>
  </w:abstractNum>
  <w:abstractNum w:abstractNumId="87">
    <w:nsid w:val="1CA0C5FA"/>
    <w:multiLevelType w:val="hybridMultilevel"/>
    <w:lvl w:ilvl="0">
      <w:lvlJc w:val="left"/>
      <w:lvlText w:val="(%1)"/>
      <w:numFmt w:val="lowerLetter"/>
      <w:start w:val="35"/>
    </w:lvl>
    <w:lvl w:ilvl="1">
      <w:lvlJc w:val="left"/>
      <w:lvlText w:val="(%2)"/>
      <w:numFmt w:val="lowerLetter"/>
      <w:start w:val="4"/>
    </w:lvl>
  </w:abstractNum>
  <w:abstractNum w:abstractNumId="88">
    <w:nsid w:val="53584BCB"/>
    <w:multiLevelType w:val="hybridMultilevel"/>
    <w:lvl w:ilvl="0">
      <w:lvlJc w:val="left"/>
      <w:lvlText w:val="(%1)"/>
      <w:numFmt w:val="lowerLetter"/>
      <w:start w:val="35"/>
    </w:lvl>
    <w:lvl w:ilvl="1">
      <w:lvlJc w:val="left"/>
      <w:lvlText w:val="%2"/>
      <w:numFmt w:val="lowerLetter"/>
      <w:start w:val="1"/>
    </w:lvl>
  </w:abstractNum>
  <w:abstractNum w:abstractNumId="89">
    <w:nsid w:val="415E286C"/>
    <w:multiLevelType w:val="hybridMultilevel"/>
    <w:lvl w:ilvl="0">
      <w:lvlJc w:val="left"/>
      <w:lvlText w:val="(%1)"/>
      <w:numFmt w:val="lowerLetter"/>
      <w:start w:val="25"/>
    </w:lvl>
    <w:lvl w:ilvl="1">
      <w:lvlJc w:val="left"/>
      <w:lvlText w:val="%2"/>
      <w:numFmt w:val="lowerLetter"/>
      <w:start w:val="1"/>
    </w:lvl>
  </w:abstractNum>
  <w:abstractNum w:abstractNumId="90">
    <w:nsid w:val="7C58FD05"/>
    <w:multiLevelType w:val="hybridMultilevel"/>
    <w:lvl w:ilvl="0">
      <w:lvlJc w:val="left"/>
      <w:lvlText w:val="(%1)"/>
      <w:numFmt w:val="lowerLetter"/>
      <w:start w:val="5"/>
    </w:lvl>
  </w:abstractNum>
  <w:abstractNum w:abstractNumId="91">
    <w:nsid w:val="23D86AAC"/>
    <w:multiLevelType w:val="hybridMultilevel"/>
    <w:lvl w:ilvl="0">
      <w:lvlJc w:val="left"/>
      <w:lvlText w:val="(%1)"/>
      <w:numFmt w:val="decimal"/>
      <w:start w:val="60"/>
    </w:lvl>
    <w:lvl w:ilvl="1">
      <w:lvlJc w:val="left"/>
      <w:lvlText w:val="(%2)"/>
      <w:numFmt w:val="lowerLetter"/>
      <w:start w:val="6"/>
    </w:lvl>
  </w:abstractNum>
  <w:abstractNum w:abstractNumId="92">
    <w:nsid w:val="45E6D486"/>
    <w:multiLevelType w:val="hybridMultilevel"/>
    <w:lvl w:ilvl="0">
      <w:lvlJc w:val="left"/>
      <w:lvlText w:val="%1"/>
      <w:numFmt w:val="lowerLetter"/>
      <w:start w:val="1"/>
    </w:lvl>
    <w:lvl w:ilvl="1">
      <w:lvlJc w:val="left"/>
      <w:lvlText w:val="(%2)"/>
      <w:numFmt w:val="lowerLetter"/>
      <w:start w:val="8"/>
    </w:lvl>
    <w:lvl w:ilvl="2">
      <w:lvlJc w:val="left"/>
      <w:lvlText w:val="(%3)"/>
      <w:numFmt w:val="lowerRoman"/>
      <w:start w:val="1"/>
    </w:lvl>
  </w:abstractNum>
  <w:abstractNum w:abstractNumId="93">
    <w:nsid w:val="5C10FE21"/>
    <w:multiLevelType w:val="hybridMultilevel"/>
    <w:lvl w:ilvl="0">
      <w:lvlJc w:val="left"/>
      <w:lvlText w:val="(%1)"/>
      <w:numFmt w:val="lowerLetter"/>
      <w:start w:val="25"/>
    </w:lvl>
    <w:lvl w:ilvl="1">
      <w:lvlJc w:val="left"/>
      <w:lvlText w:val="(%2)"/>
      <w:numFmt w:val="lowerLetter"/>
      <w:start w:val="10"/>
    </w:lvl>
    <w:lvl w:ilvl="2">
      <w:lvlJc w:val="left"/>
      <w:lvlText w:val="%3"/>
      <w:numFmt w:val="lowerRoman"/>
      <w:start w:val="1"/>
    </w:lvl>
  </w:abstractNum>
  <w:abstractNum w:abstractNumId="94">
    <w:nsid w:val="E7FFA2B"/>
    <w:multiLevelType w:val="hybridMultilevel"/>
    <w:lvl w:ilvl="0">
      <w:lvlJc w:val="left"/>
      <w:lvlText w:val="(%1)"/>
      <w:numFmt w:val="lowerLetter"/>
      <w:start w:val="11"/>
    </w:lvl>
  </w:abstractNum>
  <w:abstractNum w:abstractNumId="95">
    <w:nsid w:val="3C5991AA"/>
    <w:multiLevelType w:val="hybridMultilevel"/>
    <w:lvl w:ilvl="0">
      <w:lvlJc w:val="left"/>
      <w:lvlText w:val="(%1)"/>
      <w:numFmt w:val="lowerLetter"/>
      <w:start w:val="3"/>
    </w:lvl>
  </w:abstractNum>
  <w:abstractNum w:abstractNumId="96">
    <w:nsid w:val="4BD8591A"/>
    <w:multiLevelType w:val="hybridMultilevel"/>
    <w:lvl w:ilvl="0">
      <w:lvlJc w:val="left"/>
      <w:lvlText w:val="(%1)"/>
      <w:numFmt w:val="lowerLetter"/>
      <w:start w:val="1"/>
    </w:lvl>
  </w:abstractNum>
  <w:abstractNum w:abstractNumId="97">
    <w:nsid w:val="78DF6A55"/>
    <w:multiLevelType w:val="hybridMultilevel"/>
    <w:lvl w:ilvl="0">
      <w:lvlJc w:val="left"/>
      <w:lvlText w:val="(%1)"/>
      <w:numFmt w:val="lowerLetter"/>
      <w:start w:val="4"/>
    </w:lvl>
  </w:abstractNum>
  <w:abstractNum w:abstractNumId="98">
    <w:nsid w:val="39B7AAA2"/>
    <w:multiLevelType w:val="hybridMultilevel"/>
    <w:lvl w:ilvl="0">
      <w:lvlJc w:val="left"/>
      <w:lvlText w:val="(%1)"/>
      <w:numFmt w:val="lowerLetter"/>
      <w:start w:val="1"/>
    </w:lvl>
  </w:abstractNum>
  <w:abstractNum w:abstractNumId="99">
    <w:nsid w:val="2B0D8DBE"/>
    <w:multiLevelType w:val="hybridMultilevel"/>
    <w:lvl w:ilvl="0">
      <w:lvlJc w:val="left"/>
      <w:lvlText w:val="(%1)"/>
      <w:numFmt w:val="lowerLetter"/>
      <w:start w:val="1"/>
    </w:lvl>
    <w:lvl w:ilvl="1">
      <w:lvlJc w:val="left"/>
      <w:lvlText w:val="(%2)"/>
      <w:numFmt w:val="lowerRoman"/>
      <w:start w:val="1"/>
    </w:lvl>
  </w:abstractNum>
  <w:abstractNum w:abstractNumId="100">
    <w:nsid w:val="6C80EC70"/>
    <w:multiLevelType w:val="hybridMultilevel"/>
    <w:lvl w:ilvl="0">
      <w:lvlJc w:val="left"/>
      <w:lvlText w:val="%1"/>
      <w:numFmt w:val="lowerLetter"/>
      <w:start w:val="1"/>
    </w:lvl>
    <w:lvl w:ilvl="1">
      <w:lvlJc w:val="left"/>
      <w:lvlText w:val="(%2)"/>
      <w:numFmt w:val="lowerRoman"/>
      <w:start w:val="2"/>
    </w:lvl>
  </w:abstractNum>
  <w:abstractNum w:abstractNumId="101">
    <w:nsid w:val="379E21B5"/>
    <w:multiLevelType w:val="hybridMultilevel"/>
    <w:lvl w:ilvl="0">
      <w:lvlJc w:val="left"/>
      <w:lvlText w:val="(%1)"/>
      <w:numFmt w:val="lowerLetter"/>
      <w:start w:val="4"/>
    </w:lvl>
    <w:lvl w:ilvl="1">
      <w:lvlJc w:val="left"/>
      <w:lvlText w:val="%2"/>
      <w:numFmt w:val="lowerRoman"/>
      <w:start w:val="1"/>
    </w:lvl>
  </w:abstractNum>
  <w:abstractNum w:abstractNumId="102">
    <w:nsid w:val="69E373"/>
    <w:multiLevelType w:val="hybridMultilevel"/>
    <w:lvl w:ilvl="0">
      <w:lvlJc w:val="left"/>
      <w:lvlText w:val="(%1)"/>
      <w:numFmt w:val="lowerLetter"/>
      <w:start w:val="1"/>
    </w:lvl>
  </w:abstractNum>
  <w:abstractNum w:abstractNumId="103">
    <w:nsid w:val="2C27173B"/>
    <w:multiLevelType w:val="hybridMultilevel"/>
    <w:lvl w:ilvl="0">
      <w:lvlJc w:val="left"/>
      <w:lvlText w:val="%1"/>
      <w:numFmt w:val="decimal"/>
      <w:start w:val="1"/>
    </w:lvl>
    <w:lvl w:ilvl="1">
      <w:lvlJc w:val="left"/>
      <w:lvlText w:val="(%2)"/>
      <w:numFmt w:val="lowerLetter"/>
      <w:start w:val="1"/>
    </w:lvl>
  </w:abstractNum>
  <w:abstractNum w:abstractNumId="104">
    <w:nsid w:val="4C9B0904"/>
    <w:multiLevelType w:val="hybridMultilevel"/>
    <w:lvl w:ilvl="0">
      <w:lvlJc w:val="left"/>
      <w:lvlText w:val="(%1)"/>
      <w:numFmt w:val="decimal"/>
      <w:start w:val="4"/>
    </w:lvl>
    <w:lvl w:ilvl="1">
      <w:lvlJc w:val="left"/>
      <w:lvlText w:val="(%2)"/>
      <w:numFmt w:val="lowerLetter"/>
      <w:start w:val="2"/>
    </w:lvl>
  </w:abstractNum>
  <w:abstractNum w:abstractNumId="105">
    <w:nsid w:val="6AA7B75C"/>
    <w:multiLevelType w:val="hybridMultilevel"/>
    <w:lvl w:ilvl="0">
      <w:lvlJc w:val="left"/>
      <w:lvlText w:val="(%1)"/>
      <w:numFmt w:val="lowerLetter"/>
      <w:start w:val="1"/>
    </w:lvl>
  </w:abstractNum>
  <w:abstractNum w:abstractNumId="106">
    <w:nsid w:val="1DF029D3"/>
    <w:multiLevelType w:val="hybridMultilevel"/>
    <w:lvl w:ilvl="0">
      <w:lvlJc w:val="left"/>
      <w:lvlText w:val="(%1)"/>
      <w:numFmt w:val="lowerLetter"/>
      <w:start w:val="2"/>
    </w:lvl>
  </w:abstractNum>
  <w:abstractNum w:abstractNumId="107">
    <w:nsid w:val="5675FF36"/>
    <w:multiLevelType w:val="hybridMultilevel"/>
    <w:lvl w:ilvl="0">
      <w:lvlJc w:val="left"/>
      <w:lvlText w:val="(%1)"/>
      <w:numFmt w:val="lowerLetter"/>
      <w:start w:val="6"/>
    </w:lvl>
  </w:abstractNum>
  <w:abstractNum w:abstractNumId="108">
    <w:nsid w:val="3DD15094"/>
    <w:multiLevelType w:val="hybridMultilevel"/>
    <w:lvl w:ilvl="0">
      <w:lvlJc w:val="left"/>
      <w:lvlText w:val="(%1)"/>
      <w:numFmt w:val="lowerLetter"/>
      <w:start w:val="1"/>
    </w:lvl>
  </w:abstractNum>
  <w:abstractNum w:abstractNumId="109">
    <w:nsid w:val="3DB012B3"/>
    <w:multiLevelType w:val="hybridMultilevel"/>
    <w:lvl w:ilvl="0">
      <w:lvlJc w:val="left"/>
      <w:lvlText w:val="(%1)"/>
      <w:numFmt w:val="lowerLetter"/>
      <w:start w:val="1"/>
    </w:lvl>
  </w:abstractNum>
  <w:abstractNum w:abstractNumId="110">
    <w:nsid w:val="2708C9AF"/>
    <w:multiLevelType w:val="hybridMultilevel"/>
    <w:lvl w:ilvl="0">
      <w:lvlJc w:val="left"/>
      <w:lvlText w:val="%1"/>
      <w:numFmt w:val="lowerLetter"/>
      <w:start w:val="1"/>
    </w:lvl>
    <w:lvl w:ilvl="1">
      <w:lvlJc w:val="left"/>
      <w:lvlText w:val="(%2)"/>
      <w:numFmt w:val="lowerLetter"/>
      <w:start w:val="1"/>
    </w:lvl>
  </w:abstractNum>
  <w:abstractNum w:abstractNumId="111">
    <w:nsid w:val="5B25ACE2"/>
    <w:multiLevelType w:val="hybridMultilevel"/>
    <w:lvl w:ilvl="0">
      <w:lvlJc w:val="left"/>
      <w:lvlText w:val="(%1)"/>
      <w:numFmt w:val="lowerLetter"/>
      <w:start w:val="35"/>
    </w:lvl>
    <w:lvl w:ilvl="1">
      <w:lvlJc w:val="left"/>
      <w:lvlText w:val="(%2)"/>
      <w:numFmt w:val="lowerLetter"/>
      <w:start w:val="2"/>
    </w:lvl>
  </w:abstractNum>
  <w:abstractNum w:abstractNumId="112">
    <w:nsid w:val="175DFCF0"/>
    <w:multiLevelType w:val="hybridMultilevel"/>
    <w:lvl w:ilvl="0">
      <w:lvlJc w:val="left"/>
      <w:lvlText w:val="(%1)"/>
      <w:numFmt w:val="lowerLetter"/>
      <w:start w:val="4"/>
    </w:lvl>
    <w:lvl w:ilvl="1">
      <w:lvlJc w:val="left"/>
      <w:lvlText w:val="(%2)"/>
      <w:numFmt w:val="lowerRoman"/>
      <w:start w:val="1"/>
    </w:lvl>
  </w:abstractNum>
  <w:abstractNum w:abstractNumId="113">
    <w:nsid w:val="4F97E3E4"/>
    <w:multiLevelType w:val="hybridMultilevel"/>
    <w:lvl w:ilvl="0">
      <w:lvlJc w:val="left"/>
      <w:lvlText w:val="(%1)"/>
      <w:numFmt w:val="lowerLetter"/>
      <w:start w:val="1"/>
    </w:lvl>
  </w:abstractNum>
  <w:abstractNum w:abstractNumId="114">
    <w:nsid w:val="53B0A9E"/>
    <w:multiLevelType w:val="hybridMultilevel"/>
    <w:lvl w:ilvl="0">
      <w:lvlJc w:val="left"/>
      <w:lvlText w:val="(%1)"/>
      <w:numFmt w:val="lowerLetter"/>
      <w:start w:val="5"/>
    </w:lvl>
  </w:abstractNum>
  <w:abstractNum w:abstractNumId="115">
    <w:nsid w:val="34FD6B4F"/>
    <w:multiLevelType w:val="hybridMultilevel"/>
    <w:lvl w:ilvl="0">
      <w:lvlJc w:val="left"/>
      <w:lvlText w:val="(%1)"/>
      <w:numFmt w:val="lowerLetter"/>
      <w:start w:val="1"/>
    </w:lvl>
  </w:abstractNum>
  <w:abstractNum w:abstractNumId="116">
    <w:nsid w:val="5915FF32"/>
    <w:multiLevelType w:val="hybridMultilevel"/>
    <w:lvl w:ilvl="0">
      <w:lvlJc w:val="left"/>
      <w:lvlText w:val="(%1)"/>
      <w:numFmt w:val="lowerLetter"/>
      <w:start w:val="1"/>
    </w:lvl>
  </w:abstractNum>
  <w:abstractNum w:abstractNumId="117">
    <w:nsid w:val="56438D15"/>
    <w:multiLevelType w:val="hybridMultilevel"/>
    <w:lvl w:ilvl="0">
      <w:lvlJc w:val="left"/>
      <w:lvlText w:val="(%1)"/>
      <w:numFmt w:val="lowerLetter"/>
      <w:start w:val="2"/>
    </w:lvl>
  </w:abstractNum>
  <w:abstractNum w:abstractNumId="118">
    <w:nsid w:val="519E3149"/>
    <w:multiLevelType w:val="hybridMultilevel"/>
    <w:lvl w:ilvl="0">
      <w:lvlJc w:val="left"/>
      <w:lvlText w:val="(%1)"/>
      <w:numFmt w:val="lowerLetter"/>
      <w:start w:val="1"/>
    </w:lvl>
  </w:abstractNum>
  <w:abstractNum w:abstractNumId="119">
    <w:nsid w:val="2C6E4AFD"/>
    <w:multiLevelType w:val="hybridMultilevel"/>
    <w:lvl w:ilvl="0">
      <w:lvlJc w:val="left"/>
      <w:lvlText w:val="(%1)"/>
      <w:numFmt w:val="lowerLetter"/>
      <w:start w:val="6"/>
    </w:lvl>
  </w:abstractNum>
  <w:abstractNum w:abstractNumId="120">
    <w:nsid w:val="17A1B582"/>
    <w:multiLevelType w:val="hybridMultilevel"/>
    <w:lvl w:ilvl="0">
      <w:lvlJc w:val="left"/>
      <w:lvlText w:val="(%1)"/>
      <w:numFmt w:val="lowerRoman"/>
      <w:start w:val="2"/>
    </w:lvl>
  </w:abstractNum>
  <w:abstractNum w:abstractNumId="121">
    <w:nsid w:val="4DF72E4E"/>
    <w:multiLevelType w:val="hybridMultilevel"/>
    <w:lvl w:ilvl="0">
      <w:lvlJc w:val="left"/>
      <w:lvlText w:val="(%1)"/>
      <w:numFmt w:val="lowerRoman"/>
      <w:start w:val="2"/>
    </w:lvl>
  </w:abstractNum>
  <w:abstractNum w:abstractNumId="122">
    <w:nsid w:val="5046B5A9"/>
    <w:multiLevelType w:val="hybridMultilevel"/>
    <w:lvl w:ilvl="0">
      <w:lvlJc w:val="left"/>
      <w:lvlText w:val="(%1)"/>
      <w:numFmt w:val="lowerRoman"/>
      <w:start w:val="11"/>
    </w:lvl>
  </w:abstractNum>
  <w:abstractNum w:abstractNumId="123">
    <w:nsid w:val="5D888A08"/>
    <w:multiLevelType w:val="hybridMultilevel"/>
    <w:lvl w:ilvl="0">
      <w:lvlJc w:val="left"/>
      <w:lvlText w:val="(%1)"/>
      <w:numFmt w:val="lowerLetter"/>
      <w:start w:val="1"/>
    </w:lvl>
  </w:abstractNum>
  <w:abstractNum w:abstractNumId="124">
    <w:nsid w:val="2A082C70"/>
    <w:multiLevelType w:val="hybridMultilevel"/>
    <w:lvl w:ilvl="0">
      <w:lvlJc w:val="left"/>
      <w:lvlText w:val="(%1)"/>
      <w:numFmt w:val="lowerLetter"/>
      <w:start w:val="6"/>
    </w:lvl>
  </w:abstractNum>
  <w:abstractNum w:abstractNumId="125">
    <w:nsid w:val="5EC6AFD4"/>
    <w:multiLevelType w:val="hybridMultilevel"/>
    <w:lvl w:ilvl="0">
      <w:lvlJc w:val="left"/>
      <w:lvlText w:val="•"/>
      <w:numFmt w:val="bullet"/>
      <w:start w:val="1"/>
    </w:lvl>
  </w:abstractNum>
  <w:abstractNum w:abstractNumId="126">
    <w:nsid w:val="19E21BB2"/>
    <w:multiLevelType w:val="hybridMultilevel"/>
    <w:lvl w:ilvl="0">
      <w:lvlJc w:val="left"/>
      <w:lvlText w:val="•"/>
      <w:numFmt w:val="bullet"/>
      <w:start w:val="1"/>
    </w:lvl>
    <w:lvl w:ilvl="1">
      <w:lvlJc w:val="left"/>
      <w:lvlText w:val="o"/>
      <w:numFmt w:val="bullet"/>
      <w:start w:val="1"/>
    </w:lvl>
  </w:abstractNum>
  <w:abstractNum w:abstractNumId="127">
    <w:nsid w:val="75E0858A"/>
    <w:multiLevelType w:val="hybridMultilevel"/>
    <w:lvl w:ilvl="0">
      <w:lvlJc w:val="left"/>
      <w:lvlText w:val="\emdash "/>
      <w:numFmt w:val="bullet"/>
      <w:start w:val="1"/>
    </w:lvl>
  </w:abstractNum>
  <w:abstractNum w:abstractNumId="128">
    <w:nsid w:val="57A61A29"/>
    <w:multiLevelType w:val="hybridMultilevel"/>
    <w:lvl w:ilvl="0">
      <w:lvlJc w:val="left"/>
      <w:lvlText w:val="•"/>
      <w:numFmt w:val="bullet"/>
      <w:start w:val="1"/>
    </w:lvl>
  </w:abstractNum>
  <w:abstractNum w:abstractNumId="129">
    <w:nsid w:val="5399C654"/>
    <w:multiLevelType w:val="hybridMultilevel"/>
    <w:lvl w:ilvl="0">
      <w:lvlJc w:val="left"/>
      <w:lvlText w:val="%1."/>
      <w:numFmt w:val="decimal"/>
      <w:start w:val="1"/>
    </w:lvl>
    <w:lvl w:ilvl="1">
      <w:lvlJc w:val="left"/>
      <w:lvlText w:val="•"/>
      <w:numFmt w:val="bullet"/>
      <w:start w:val="1"/>
    </w:lvl>
  </w:abstractNum>
  <w:abstractNum w:abstractNumId="130">
    <w:nsid w:val="20EE1348"/>
    <w:multiLevelType w:val="hybridMultilevel"/>
    <w:lvl w:ilvl="0">
      <w:lvlJc w:val="left"/>
      <w:lvlText w:val="%1."/>
      <w:numFmt w:val="decimal"/>
      <w:start w:val="5"/>
    </w:lvl>
    <w:lvl w:ilvl="1">
      <w:lvlJc w:val="left"/>
      <w:lvlText w:val="•"/>
      <w:numFmt w:val="bullet"/>
      <w:start w:val="1"/>
    </w:lvl>
    <w:lvl w:ilvl="2">
      <w:lvlJc w:val="left"/>
      <w:lvlText w:val="•"/>
      <w:numFmt w:val="bullet"/>
      <w:start w:val="1"/>
    </w:lvl>
  </w:abstractNum>
  <w:abstractNum w:abstractNumId="131">
    <w:nsid w:val="4427069A"/>
    <w:multiLevelType w:val="hybridMultilevel"/>
    <w:lvl w:ilvl="0">
      <w:lvlJc w:val="left"/>
      <w:lvlText w:val="+"/>
      <w:numFmt w:val="bullet"/>
      <w:start w:val="1"/>
    </w:lvl>
  </w:abstractNum>
  <w:abstractNum w:abstractNumId="132">
    <w:nsid w:val="B37E80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jpeg"/><Relationship Id="rId380" Type="http://schemas.openxmlformats.org/officeDocument/2006/relationships/image" Target="media/image373.jpeg"/><Relationship Id="rId381" Type="http://schemas.openxmlformats.org/officeDocument/2006/relationships/image" Target="media/image374.png"/><Relationship Id="rId382" Type="http://schemas.openxmlformats.org/officeDocument/2006/relationships/image" Target="media/image375.jpeg"/><Relationship Id="rId383" Type="http://schemas.openxmlformats.org/officeDocument/2006/relationships/image" Target="media/image376.png"/><Relationship Id="rId384" Type="http://schemas.openxmlformats.org/officeDocument/2006/relationships/image" Target="media/image377.jpeg"/><Relationship Id="rId385" Type="http://schemas.openxmlformats.org/officeDocument/2006/relationships/image" Target="media/image378.png"/><Relationship Id="rId386" Type="http://schemas.openxmlformats.org/officeDocument/2006/relationships/image" Target="media/image379.jpeg"/><Relationship Id="rId387" Type="http://schemas.openxmlformats.org/officeDocument/2006/relationships/image" Target="media/image380.png"/><Relationship Id="rId388" Type="http://schemas.openxmlformats.org/officeDocument/2006/relationships/image" Target="media/image381.jpeg"/><Relationship Id="rId389" Type="http://schemas.openxmlformats.org/officeDocument/2006/relationships/image" Target="media/image382.png"/><Relationship Id="rId390" Type="http://schemas.openxmlformats.org/officeDocument/2006/relationships/image" Target="media/image383.jpeg"/><Relationship Id="rId391" Type="http://schemas.openxmlformats.org/officeDocument/2006/relationships/image" Target="media/image384.png"/><Relationship Id="rId392" Type="http://schemas.openxmlformats.org/officeDocument/2006/relationships/image" Target="media/image385.jpeg"/><Relationship Id="rId393" Type="http://schemas.openxmlformats.org/officeDocument/2006/relationships/image" Target="media/image386.jpeg"/><Relationship Id="rId394" Type="http://schemas.openxmlformats.org/officeDocument/2006/relationships/image" Target="media/image387.jpe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jpeg"/><Relationship Id="rId399" Type="http://schemas.openxmlformats.org/officeDocument/2006/relationships/image" Target="media/image392.jpe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jpeg"/><Relationship Id="rId403" Type="http://schemas.openxmlformats.org/officeDocument/2006/relationships/image" Target="media/image396.png"/><Relationship Id="rId404" Type="http://schemas.openxmlformats.org/officeDocument/2006/relationships/image" Target="media/image397.jpeg"/><Relationship Id="rId405" Type="http://schemas.openxmlformats.org/officeDocument/2006/relationships/image" Target="media/image398.jpeg"/><Relationship Id="rId406" Type="http://schemas.openxmlformats.org/officeDocument/2006/relationships/image" Target="media/image399.jpe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jpeg"/><Relationship Id="rId410" Type="http://schemas.openxmlformats.org/officeDocument/2006/relationships/image" Target="media/image403.png"/><Relationship Id="rId411" Type="http://schemas.openxmlformats.org/officeDocument/2006/relationships/image" Target="media/image404.jpeg"/><Relationship Id="rId412" Type="http://schemas.openxmlformats.org/officeDocument/2006/relationships/image" Target="media/image405.png"/><Relationship Id="rId413" Type="http://schemas.openxmlformats.org/officeDocument/2006/relationships/image" Target="media/image406.jpeg"/><Relationship Id="rId414" Type="http://schemas.openxmlformats.org/officeDocument/2006/relationships/image" Target="media/image407.png"/><Relationship Id="rId415" Type="http://schemas.openxmlformats.org/officeDocument/2006/relationships/image" Target="media/image408.jpeg"/><Relationship Id="rId416" Type="http://schemas.openxmlformats.org/officeDocument/2006/relationships/image" Target="media/image409.png"/><Relationship Id="rId417" Type="http://schemas.openxmlformats.org/officeDocument/2006/relationships/image" Target="media/image410.jpeg"/><Relationship Id="rId418" Type="http://schemas.openxmlformats.org/officeDocument/2006/relationships/image" Target="media/image411.png"/><Relationship Id="rId419" Type="http://schemas.openxmlformats.org/officeDocument/2006/relationships/image" Target="media/image412.jpeg"/><Relationship Id="rId420" Type="http://schemas.openxmlformats.org/officeDocument/2006/relationships/image" Target="media/image413.png"/><Relationship Id="rId421" Type="http://schemas.openxmlformats.org/officeDocument/2006/relationships/image" Target="media/image414.jpe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jpeg"/><Relationship Id="rId425" Type="http://schemas.openxmlformats.org/officeDocument/2006/relationships/image" Target="media/image418.png"/><Relationship Id="rId426" Type="http://schemas.openxmlformats.org/officeDocument/2006/relationships/image" Target="media/image41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2025-12-11T16:40:26Z</dcterms:created>
  <dcterms:modified xsi:type="dcterms:W3CDTF">2025-12-11T16:40:26Z</dcterms:modified>
</cp:coreProperties>
</file>