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line="230"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560"/>
        <w:spacing w:after="0"/>
        <w:rPr>
          <w:sz w:val="20"/>
          <w:szCs w:val="20"/>
          <w:color w:val="auto"/>
        </w:rPr>
      </w:pPr>
      <w:r>
        <w:rPr>
          <w:rFonts w:ascii="Arial" w:cs="Arial" w:eastAsia="Arial" w:hAnsi="Arial"/>
          <w:sz w:val="22"/>
          <w:szCs w:val="22"/>
          <w:color w:val="auto"/>
        </w:rPr>
        <w:t>_________________________</w:t>
      </w:r>
    </w:p>
    <w:p>
      <w:pPr>
        <w:spacing w:after="0" w:line="168"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34" w:lineRule="exact"/>
        <w:rPr>
          <w:sz w:val="24"/>
          <w:szCs w:val="24"/>
          <w:color w:val="auto"/>
        </w:rPr>
      </w:pPr>
    </w:p>
    <w:p>
      <w:pPr>
        <w:ind w:left="4560"/>
        <w:spacing w:after="0"/>
        <w:rPr>
          <w:sz w:val="20"/>
          <w:szCs w:val="20"/>
          <w:color w:val="auto"/>
        </w:rPr>
      </w:pPr>
      <w:r>
        <w:rPr>
          <w:rFonts w:ascii="Arial" w:cs="Arial" w:eastAsia="Arial" w:hAnsi="Arial"/>
          <w:sz w:val="22"/>
          <w:szCs w:val="22"/>
          <w:color w:val="auto"/>
        </w:rPr>
        <w:t>_________________________</w:t>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15(d) OF THE SECURITIES EXCHANGE ACT OF 1934</w:t>
      </w:r>
    </w:p>
    <w:p>
      <w:pPr>
        <w:spacing w:after="0" w:line="13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158"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520" w:hanging="512"/>
        <w:spacing w:after="0"/>
        <w:tabs>
          <w:tab w:leader="none" w:pos="52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TRANSITION REPORT PURSUANT TO SECTION 15(d) OF THE SECURITIES EXCHANGE ACT OF 1934</w:t>
      </w:r>
    </w:p>
    <w:p>
      <w:pPr>
        <w:spacing w:after="0" w:line="159"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For the transition period from _________ to ____________</w:t>
      </w:r>
    </w:p>
    <w:p>
      <w:pPr>
        <w:spacing w:after="0" w:line="158"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Commission File Number 01-34219</w:t>
      </w:r>
    </w:p>
    <w:p>
      <w:pPr>
        <w:spacing w:after="0" w:line="114" w:lineRule="exact"/>
        <w:rPr>
          <w:sz w:val="24"/>
          <w:szCs w:val="24"/>
          <w:color w:val="auto"/>
        </w:rPr>
      </w:pPr>
    </w:p>
    <w:p>
      <w:pPr>
        <w:ind w:left="4560"/>
        <w:spacing w:after="0"/>
        <w:rPr>
          <w:sz w:val="20"/>
          <w:szCs w:val="20"/>
          <w:color w:val="auto"/>
        </w:rPr>
      </w:pPr>
      <w:r>
        <w:rPr>
          <w:rFonts w:ascii="Arial" w:cs="Arial" w:eastAsia="Arial" w:hAnsi="Arial"/>
          <w:sz w:val="22"/>
          <w:szCs w:val="22"/>
          <w:color w:val="auto"/>
        </w:rPr>
        <w:t>_________________________</w:t>
      </w:r>
    </w:p>
    <w:p>
      <w:pPr>
        <w:spacing w:after="0" w:line="205"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DESTINATION XL GROUP, INC. 401(K) SAVINGS PLAN</w:t>
      </w:r>
    </w:p>
    <w:p>
      <w:pPr>
        <w:spacing w:after="0" w:line="34" w:lineRule="exact"/>
        <w:rPr>
          <w:sz w:val="24"/>
          <w:szCs w:val="24"/>
          <w:color w:val="auto"/>
        </w:rPr>
      </w:pPr>
    </w:p>
    <w:p>
      <w:pPr>
        <w:jc w:val="center"/>
        <w:ind w:right="-559"/>
        <w:spacing w:after="0"/>
        <w:rPr>
          <w:sz w:val="20"/>
          <w:szCs w:val="20"/>
          <w:color w:val="auto"/>
        </w:rPr>
      </w:pPr>
      <w:r>
        <w:rPr>
          <w:rFonts w:ascii="Arial" w:cs="Arial" w:eastAsia="Arial" w:hAnsi="Arial"/>
          <w:sz w:val="18"/>
          <w:szCs w:val="18"/>
          <w:i w:val="1"/>
          <w:iCs w:val="1"/>
          <w:color w:val="auto"/>
        </w:rPr>
        <w:t>(Full title of the plan)</w:t>
      </w:r>
    </w:p>
    <w:p>
      <w:pPr>
        <w:spacing w:after="0" w:line="19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DESTINATION XL GROUP, INC.</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555 Turnpike Street</w:t>
      </w:r>
    </w:p>
    <w:p>
      <w:pPr>
        <w:jc w:val="center"/>
        <w:ind w:right="-559"/>
        <w:spacing w:after="0" w:line="230" w:lineRule="auto"/>
        <w:rPr>
          <w:sz w:val="20"/>
          <w:szCs w:val="20"/>
          <w:color w:val="auto"/>
        </w:rPr>
      </w:pPr>
      <w:r>
        <w:rPr>
          <w:rFonts w:ascii="Arial" w:cs="Arial" w:eastAsia="Arial" w:hAnsi="Arial"/>
          <w:sz w:val="22"/>
          <w:szCs w:val="22"/>
          <w:b w:val="1"/>
          <w:bCs w:val="1"/>
          <w:color w:val="auto"/>
        </w:rPr>
        <w:t>Canton, Massachusetts 02021</w:t>
      </w:r>
    </w:p>
    <w:p>
      <w:pPr>
        <w:jc w:val="center"/>
        <w:ind w:right="-559"/>
        <w:spacing w:after="0" w:line="231" w:lineRule="auto"/>
        <w:rPr>
          <w:sz w:val="20"/>
          <w:szCs w:val="20"/>
          <w:color w:val="auto"/>
        </w:rPr>
      </w:pPr>
      <w:r>
        <w:rPr>
          <w:rFonts w:ascii="Arial" w:cs="Arial" w:eastAsia="Arial" w:hAnsi="Arial"/>
          <w:sz w:val="22"/>
          <w:szCs w:val="22"/>
          <w:i w:val="1"/>
          <w:iCs w:val="1"/>
          <w:color w:val="auto"/>
        </w:rPr>
        <w:t>(Name of issuer of the securities held pursuant to the plan and the address</w:t>
      </w:r>
    </w:p>
    <w:p>
      <w:pPr>
        <w:jc w:val="center"/>
        <w:ind w:right="-559"/>
        <w:spacing w:after="0"/>
        <w:rPr>
          <w:sz w:val="20"/>
          <w:szCs w:val="20"/>
          <w:color w:val="auto"/>
        </w:rPr>
      </w:pPr>
      <w:r>
        <w:rPr>
          <w:rFonts w:ascii="Arial" w:cs="Arial" w:eastAsia="Arial" w:hAnsi="Arial"/>
          <w:sz w:val="22"/>
          <w:szCs w:val="22"/>
          <w:i w:val="1"/>
          <w:iCs w:val="1"/>
          <w:color w:val="auto"/>
        </w:rPr>
        <w:t>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986790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80"/>
          </w:cols>
          <w:pgMar w:left="240" w:top="301" w:right="779" w:bottom="1440" w:gutter="0" w:footer="0" w:header="0"/>
        </w:sectPr>
      </w:pPr>
    </w:p>
    <w:bookmarkStart w:id="1" w:name="page2"/>
    <w:bookmarkEnd w:id="1"/>
    <w:p>
      <w:pPr>
        <w:ind w:left="3960"/>
        <w:spacing w:after="0"/>
        <w:rPr>
          <w:sz w:val="20"/>
          <w:szCs w:val="20"/>
          <w:color w:val="auto"/>
        </w:rPr>
      </w:pPr>
      <w:r>
        <w:rPr>
          <w:rFonts w:ascii="Arial" w:cs="Arial" w:eastAsia="Arial" w:hAnsi="Arial"/>
          <w:sz w:val="18"/>
          <w:szCs w:val="18"/>
          <w:color w:val="auto"/>
        </w:rPr>
        <w:t>Destination XL Group, Inc. 401(k) Savings Plan</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Financial Statements and Supplemental Schedule</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Year Ended December 31, 2015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940" w:type="dxa"/>
            <w:vAlign w:val="bottom"/>
            <w:gridSpan w:val="4"/>
          </w:tcPr>
          <w:p>
            <w:pPr>
              <w:ind w:left="640"/>
              <w:spacing w:after="0"/>
              <w:rPr>
                <w:sz w:val="20"/>
                <w:szCs w:val="20"/>
                <w:color w:val="auto"/>
              </w:rPr>
            </w:pPr>
            <w:r>
              <w:rPr>
                <w:rFonts w:ascii="Arial" w:cs="Arial" w:eastAsia="Arial" w:hAnsi="Arial"/>
                <w:sz w:val="18"/>
                <w:szCs w:val="18"/>
                <w:b w:val="1"/>
                <w:bCs w:val="1"/>
                <w:color w:val="auto"/>
              </w:rPr>
              <w:t>Table of Contents</w:t>
            </w:r>
          </w:p>
        </w:tc>
        <w:tc>
          <w:tcPr>
            <w:tcW w:w="2280" w:type="dxa"/>
            <w:vAlign w:val="bottom"/>
          </w:tcPr>
          <w:p>
            <w:pPr>
              <w:spacing w:after="0"/>
              <w:rPr>
                <w:sz w:val="20"/>
                <w:szCs w:val="20"/>
                <w:color w:val="auto"/>
              </w:rPr>
            </w:pPr>
          </w:p>
        </w:tc>
      </w:tr>
      <w:tr>
        <w:trPr>
          <w:trHeight w:val="419"/>
        </w:trPr>
        <w:tc>
          <w:tcPr>
            <w:tcW w:w="916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345"/>
        </w:trPr>
        <w:tc>
          <w:tcPr>
            <w:tcW w:w="916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 as of December 31, 2015 and 2014</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4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345"/>
        </w:trPr>
        <w:tc>
          <w:tcPr>
            <w:tcW w:w="9160" w:type="dxa"/>
            <w:vAlign w:val="bottom"/>
            <w:gridSpan w:val="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 of Changes in Net Assets Available for Benefits for the Year Ended December 31, 2015</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45"/>
        </w:trPr>
        <w:tc>
          <w:tcPr>
            <w:tcW w:w="7080" w:type="dxa"/>
            <w:vAlign w:val="bottom"/>
            <w:tcBorders>
              <w:top w:val="single" w:sz="8" w:color="0000EE"/>
            </w:tcBorders>
            <w:gridSpan w:val="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208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45"/>
        </w:trPr>
        <w:tc>
          <w:tcPr>
            <w:tcW w:w="2160" w:type="dxa"/>
            <w:vAlign w:val="bottom"/>
            <w:tcBorders>
              <w:top w:val="single" w:sz="8" w:color="0000EE"/>
            </w:tcBorders>
            <w:gridSpan w:val="2"/>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Supplemental Schedule</w:t>
              </w:r>
            </w:hyperlink>
          </w:p>
        </w:tc>
        <w:tc>
          <w:tcPr>
            <w:tcW w:w="7000" w:type="dxa"/>
            <w:vAlign w:val="bottom"/>
            <w:gridSpan w:val="5"/>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1700" w:type="dxa"/>
            <w:vAlign w:val="bottom"/>
            <w:shd w:val="clear" w:color="auto" w:fill="0000EE"/>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345"/>
        </w:trPr>
        <w:tc>
          <w:tcPr>
            <w:tcW w:w="9160" w:type="dxa"/>
            <w:vAlign w:val="bottom"/>
            <w:gridSpan w:val="7"/>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Schedule H, Line 4i – Schedule of Assets (Held at End of Year) as of December 31, 2015</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1189"/>
        </w:trPr>
        <w:tc>
          <w:tcPr>
            <w:tcW w:w="1700" w:type="dxa"/>
            <w:vAlign w:val="bottom"/>
            <w:tcBorders>
              <w:top w:val="single" w:sz="8" w:color="0000EE"/>
              <w:bottom w:val="single" w:sz="8" w:color="9A9A9A"/>
            </w:tcBorders>
          </w:tcPr>
          <w:p>
            <w:pPr>
              <w:spacing w:after="0"/>
              <w:rPr>
                <w:sz w:val="24"/>
                <w:szCs w:val="24"/>
                <w:color w:val="auto"/>
              </w:rPr>
            </w:pPr>
          </w:p>
        </w:tc>
        <w:tc>
          <w:tcPr>
            <w:tcW w:w="460" w:type="dxa"/>
            <w:vAlign w:val="bottom"/>
            <w:tcBorders>
              <w:top w:val="single" w:sz="8" w:color="0000EE"/>
              <w:bottom w:val="single" w:sz="8" w:color="9A9A9A"/>
            </w:tcBorders>
          </w:tcPr>
          <w:p>
            <w:pPr>
              <w:spacing w:after="0"/>
              <w:rPr>
                <w:sz w:val="24"/>
                <w:szCs w:val="24"/>
                <w:color w:val="auto"/>
              </w:rPr>
            </w:pPr>
          </w:p>
        </w:tc>
        <w:tc>
          <w:tcPr>
            <w:tcW w:w="2060" w:type="dxa"/>
            <w:vAlign w:val="bottom"/>
            <w:tcBorders>
              <w:top w:val="single" w:sz="8" w:color="0000EE"/>
              <w:bottom w:val="single" w:sz="8" w:color="9A9A9A"/>
            </w:tcBorders>
          </w:tcPr>
          <w:p>
            <w:pPr>
              <w:spacing w:after="0"/>
              <w:rPr>
                <w:sz w:val="24"/>
                <w:szCs w:val="24"/>
                <w:color w:val="auto"/>
              </w:rPr>
            </w:pPr>
          </w:p>
        </w:tc>
        <w:tc>
          <w:tcPr>
            <w:tcW w:w="1780" w:type="dxa"/>
            <w:vAlign w:val="bottom"/>
            <w:tcBorders>
              <w:top w:val="single" w:sz="8" w:color="0000EE"/>
              <w:bottom w:val="single" w:sz="8" w:color="9A9A9A"/>
            </w:tcBorders>
          </w:tcPr>
          <w:p>
            <w:pPr>
              <w:spacing w:after="0"/>
              <w:rPr>
                <w:sz w:val="24"/>
                <w:szCs w:val="24"/>
                <w:color w:val="auto"/>
              </w:rPr>
            </w:pPr>
          </w:p>
        </w:tc>
        <w:tc>
          <w:tcPr>
            <w:tcW w:w="440" w:type="dxa"/>
            <w:vAlign w:val="bottom"/>
            <w:tcBorders>
              <w:top w:val="single" w:sz="8" w:color="0000EE"/>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9"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Plan Administrator</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Destination XL Group, Inc. 401(k) Savings Plan</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We have audited the accompanying statements of net assets available for benefits of the Destination XL Group, Inc. 401(k) Savings Plan (the "Plan") as of December 31, 2015 and 2014, and the related statement of changes in net assets available for benefits for the year ended December 31, 2015. These financial statements are the responsibility of the Plan’s management. Our responsibility is to express an opinion on these financial statements based on our audits.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In our opinion, the financial statements referred to above present fairly, in all material respects, the net assets available for benefits of the Plan as of December 31, 2015 and 2014, and the changes in net assets available for benefits for the year ended December 31, 2015, in conformity with accounting principles generally accepted in the United States of America.</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supplemental information in the accompanying Schedule of Assets (Held at End of Year) as of December 31, 2015, has been subjected to audit procedures performed in conjunction with the audit of the Plan’s financial statements. The supplemental information is presented for the purpose of additional analysis and is not a required part of the financial statements but includes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 we have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basic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Mayer Hoffman McCann CPAs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New York Practice of Mayer Hoffman McCann P.C.)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22, 2016</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ind w:left="3300"/>
        <w:spacing w:after="0"/>
        <w:rPr>
          <w:sz w:val="20"/>
          <w:szCs w:val="20"/>
          <w:color w:val="auto"/>
        </w:rPr>
      </w:pPr>
      <w:r>
        <w:rPr>
          <w:rFonts w:ascii="Arial" w:cs="Arial" w:eastAsia="Arial" w:hAnsi="Arial"/>
          <w:sz w:val="18"/>
          <w:szCs w:val="18"/>
          <w:color w:val="auto"/>
        </w:rPr>
        <w:t>Destination XL Group, Inc. 401(k) Savings Plan</w:t>
      </w:r>
    </w:p>
    <w:p>
      <w:pPr>
        <w:spacing w:after="0" w:line="117"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Statements of Net Assets Available for Benefits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 and 2014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vMerge w:val="restart"/>
          </w:tcPr>
          <w:p>
            <w:pPr>
              <w:jc w:val="right"/>
              <w:ind w:right="633"/>
              <w:spacing w:after="0"/>
              <w:rPr>
                <w:sz w:val="20"/>
                <w:szCs w:val="20"/>
                <w:color w:val="auto"/>
              </w:rPr>
            </w:pPr>
            <w:r>
              <w:rPr>
                <w:rFonts w:ascii="Arial" w:cs="Arial" w:eastAsia="Arial" w:hAnsi="Arial"/>
                <w:sz w:val="14"/>
                <w:szCs w:val="14"/>
                <w:b w:val="1"/>
                <w:bCs w:val="1"/>
                <w:color w:val="auto"/>
              </w:rPr>
              <w:t>2015</w:t>
            </w:r>
          </w:p>
        </w:tc>
        <w:tc>
          <w:tcPr>
            <w:tcW w:w="1300" w:type="dxa"/>
            <w:vAlign w:val="bottom"/>
            <w:gridSpan w:val="2"/>
          </w:tcPr>
          <w:p>
            <w:pPr>
              <w:jc w:val="right"/>
              <w:ind w:right="365"/>
              <w:spacing w:after="0"/>
              <w:rPr>
                <w:sz w:val="20"/>
                <w:szCs w:val="20"/>
                <w:color w:val="auto"/>
              </w:rPr>
            </w:pPr>
            <w:r>
              <w:rPr>
                <w:rFonts w:ascii="Arial" w:cs="Arial" w:eastAsia="Arial" w:hAnsi="Arial"/>
                <w:sz w:val="14"/>
                <w:szCs w:val="14"/>
                <w:b w:val="1"/>
                <w:bCs w:val="1"/>
                <w:color w:val="auto"/>
                <w:w w:val="92"/>
              </w:rPr>
              <w:t>December 31,</w:t>
            </w:r>
          </w:p>
        </w:tc>
        <w:tc>
          <w:tcPr>
            <w:tcW w:w="1340" w:type="dxa"/>
            <w:vAlign w:val="bottom"/>
            <w:vMerge w:val="restart"/>
          </w:tcPr>
          <w:p>
            <w:pPr>
              <w:jc w:val="right"/>
              <w:ind w:right="653"/>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530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Investments, at fair value (Notes 3 and 4)</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53,345,528</w:t>
            </w:r>
          </w:p>
        </w:tc>
        <w:tc>
          <w:tcPr>
            <w:tcW w:w="130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39,306,036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Receivables:</w:t>
            </w: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380"/>
              <w:spacing w:after="0"/>
              <w:rPr>
                <w:sz w:val="20"/>
                <w:szCs w:val="20"/>
                <w:color w:val="auto"/>
              </w:rPr>
            </w:pPr>
            <w:r>
              <w:rPr>
                <w:rFonts w:ascii="Arial" w:cs="Arial" w:eastAsia="Arial" w:hAnsi="Arial"/>
                <w:sz w:val="18"/>
                <w:szCs w:val="18"/>
                <w:color w:val="auto"/>
              </w:rPr>
              <w:t>Participant contributions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w:t>
            </w: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Employer contributions</w:t>
            </w: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1,927,596</w:t>
            </w:r>
          </w:p>
        </w:tc>
        <w:tc>
          <w:tcPr>
            <w:tcW w:w="9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1,201,112</w:t>
            </w:r>
          </w:p>
        </w:tc>
        <w:tc>
          <w:tcPr>
            <w:tcW w:w="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Notes receivable from participants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1,145,683</w:t>
            </w:r>
          </w:p>
        </w:tc>
        <w:tc>
          <w:tcPr>
            <w:tcW w:w="9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955,723</w:t>
            </w:r>
          </w:p>
        </w:tc>
        <w:tc>
          <w:tcPr>
            <w:tcW w:w="4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3,073,468</w:t>
            </w:r>
          </w:p>
        </w:tc>
        <w:tc>
          <w:tcPr>
            <w:tcW w:w="9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2,156,835</w:t>
            </w:r>
          </w:p>
        </w:tc>
        <w:tc>
          <w:tcPr>
            <w:tcW w:w="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0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90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44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assets available for benefits</w:t>
            </w: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56,418,996</w:t>
            </w:r>
          </w:p>
        </w:tc>
        <w:tc>
          <w:tcPr>
            <w:tcW w:w="9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41,462,871</w:t>
            </w:r>
          </w:p>
        </w:tc>
        <w:tc>
          <w:tcPr>
            <w:tcW w:w="4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100"/>
          </w:cols>
          <w:pgMar w:left="900" w:top="139" w:right="899" w:bottom="1440" w:gutter="0" w:footer="0" w:header="0"/>
        </w:sectPr>
      </w:pPr>
    </w:p>
    <w:bookmarkStart w:id="4" w:name="page5"/>
    <w:bookmarkEnd w:id="4"/>
    <w:p>
      <w:pPr>
        <w:ind w:left="3960"/>
        <w:spacing w:after="0"/>
        <w:rPr>
          <w:sz w:val="20"/>
          <w:szCs w:val="20"/>
          <w:color w:val="auto"/>
        </w:rPr>
      </w:pPr>
      <w:r>
        <w:rPr>
          <w:rFonts w:ascii="Arial" w:cs="Arial" w:eastAsia="Arial" w:hAnsi="Arial"/>
          <w:sz w:val="18"/>
          <w:szCs w:val="18"/>
          <w:color w:val="auto"/>
        </w:rPr>
        <w:t>Destination XL Group, Inc. 401(k) Savings Plan</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Statement of Changes in Net Assets Available for Benefits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 Ended December 31,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Additions:</w:t>
            </w: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Investment income:</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Dividend income</w:t>
            </w:r>
          </w:p>
        </w:tc>
        <w:tc>
          <w:tcPr>
            <w:tcW w:w="600" w:type="dxa"/>
            <w:vAlign w:val="bottom"/>
            <w:gridSpan w:val="2"/>
            <w:shd w:val="clear" w:color="auto" w:fill="CFF0FC"/>
          </w:tcPr>
          <w:p>
            <w:pPr>
              <w:jc w:val="right"/>
              <w:ind w:right="47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2,543,045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Interest income on notes receivable from participants</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Contributions:</w:t>
            </w: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tcPr>
          <w:p>
            <w:pPr>
              <w:ind w:left="360"/>
              <w:spacing w:after="0"/>
              <w:rPr>
                <w:sz w:val="20"/>
                <w:szCs w:val="20"/>
                <w:color w:val="auto"/>
              </w:rPr>
            </w:pPr>
            <w:r>
              <w:rPr>
                <w:rFonts w:ascii="Arial" w:cs="Arial" w:eastAsia="Arial" w:hAnsi="Arial"/>
                <w:sz w:val="18"/>
                <w:szCs w:val="18"/>
                <w:color w:val="auto"/>
              </w:rPr>
              <w:t>Participants</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4,705,040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Employer</w:t>
            </w: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1,928,488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Rollovers</w:t>
            </w:r>
          </w:p>
        </w:tc>
        <w:tc>
          <w:tcPr>
            <w:tcW w:w="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500,607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7,134,135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Transfers into the Plan (Note 1)</w:t>
            </w:r>
          </w:p>
        </w:tc>
        <w:tc>
          <w:tcPr>
            <w:tcW w:w="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13,762,498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Total additions</w:t>
            </w:r>
          </w:p>
        </w:tc>
        <w:tc>
          <w:tcPr>
            <w:tcW w:w="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23,496,693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Deductions: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Net depreciation in fair value of investments</w:t>
            </w: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2,927,130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Benefits paid to participants</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5,513,949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Administrative Fees</w:t>
            </w:r>
          </w:p>
        </w:tc>
        <w:tc>
          <w:tcPr>
            <w:tcW w:w="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360" w:type="dxa"/>
            <w:vAlign w:val="bottom"/>
            <w:gridSpan w:val="2"/>
          </w:tcPr>
          <w:p>
            <w:pPr>
              <w:spacing w:after="0"/>
              <w:rPr>
                <w:sz w:val="20"/>
                <w:szCs w:val="20"/>
                <w:color w:val="auto"/>
              </w:rPr>
            </w:pPr>
            <w:r>
              <w:rPr>
                <w:rFonts w:ascii="Arial" w:cs="Arial" w:eastAsia="Arial" w:hAnsi="Arial"/>
                <w:sz w:val="18"/>
                <w:szCs w:val="18"/>
                <w:color w:val="auto"/>
              </w:rPr>
              <w:t>Total deductions</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8,540,568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3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Net increase</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14,956,125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shd w:val="clear" w:color="auto" w:fill="CFF0FC"/>
          </w:tcPr>
          <w:p>
            <w:pPr>
              <w:spacing w:after="0"/>
              <w:rPr>
                <w:sz w:val="20"/>
                <w:szCs w:val="20"/>
                <w:color w:val="auto"/>
              </w:rPr>
            </w:pPr>
            <w:r>
              <w:rPr>
                <w:rFonts w:ascii="Arial" w:cs="Arial" w:eastAsia="Arial" w:hAnsi="Arial"/>
                <w:sz w:val="18"/>
                <w:szCs w:val="18"/>
                <w:color w:val="auto"/>
              </w:rPr>
              <w:t>Net assets available for benefits at beginning of year</w:t>
            </w:r>
          </w:p>
        </w:tc>
        <w:tc>
          <w:tcPr>
            <w:tcW w:w="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41,462,871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360" w:type="dxa"/>
            <w:vAlign w:val="bottom"/>
            <w:gridSpan w:val="2"/>
          </w:tcPr>
          <w:p>
            <w:pPr>
              <w:spacing w:after="0"/>
              <w:rPr>
                <w:sz w:val="20"/>
                <w:szCs w:val="20"/>
                <w:color w:val="auto"/>
              </w:rPr>
            </w:pPr>
            <w:r>
              <w:rPr>
                <w:rFonts w:ascii="Arial" w:cs="Arial" w:eastAsia="Arial" w:hAnsi="Arial"/>
                <w:sz w:val="18"/>
                <w:szCs w:val="18"/>
                <w:color w:val="auto"/>
              </w:rPr>
              <w:t>Net assets available for benefits at end of year</w:t>
            </w: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7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56,418,996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color w:val="auto"/>
        </w:rPr>
        <w:t>Destination XL Group, Inc. 401(k) Savings Plan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description of Destination XL Group, Inc. 401(k) Savings Plan (the “Plan”) provides only general information. Participants should refer to the Plan document for a more complete description of the Plan’s provisions.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Plan is a defined contribution plan covering eligible employees of Destination XL Group, Inc. (the “Company”). The Plan is subject to the provisions of the Employee Retirement Income Security Act of 1974 (“ERISA”).</w:t>
      </w:r>
    </w:p>
    <w:p>
      <w:pPr>
        <w:spacing w:after="0" w:line="170"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color w:val="auto"/>
        </w:rPr>
        <w:t>The Plan is administered by the Company’s Investment Committee (“Committee”), which is a committee comprised of members of management of the Company. The Committee has overall responsibility for the operation and administration of the Plan. The Committee and its investment advisors have developed an investment policy to determine the appropriateness of the Plan’s investment offerings and they monitor investment performance.</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November 7, 2014, the Committee voted to merge the Destination XL Group, Inc. 401(k) Hourly Savings Plan into the Destination XL Group, Inc. 401(k) Salaried Savings Plan which was renamed Destination XL Group, Inc. 401(k) Savings Plan effective January 1, 2015.</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January 8, 2015 all assets of the Destination XL Group, Inc. 401(k) Hourly Savings Plan, with a fair value of $13,762,498, were transferred to the Destination XL Group, Inc. 401(k) Savings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Eligibility</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employees of the Company who have completed six months of employment and are at least 21 years of age are eligible to participate in the Plan. After completing age and service requirements, the employee can enter the Plan on the first day of any subsequent month.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w:t>
      </w:r>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Each year, participants may contribute up to 80% of annual compensation as defined in the Plan. The participants can elect their contributions to be on a before tax and/or after tax basis. Participants may also contribute amounts representing distributions from other qualified defined benefit or defined contribution plans. Additionally, participants who have attained age 50 before the end of the plan year are eligible to make catch-up contributions. Contributions are subject to certain Internal Revenue Code (“Code”) limitations.</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Under the Safe Harbor Matching provisions permitted under the Pension Protection Act of 2006, the Company matches 100% of the participant’s elective deferral for the first 1% of eligible compensation plus 50% of the participant’s elective deferral for the next 5% of eligible compensation. Additional amounts may be contributed at the discretion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Automatic Enrollment</w:t>
      </w:r>
    </w:p>
    <w:p>
      <w:pPr>
        <w:spacing w:after="0" w:line="225"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Each employee who has satisfied the eligibility requirements shall be automatically enrolled and shall have an amount equal to 5% of their compensation automatically deferred unless the employee affirmatively elects a different elective deferral contribution percentage (including a zero percent</w:t>
      </w:r>
    </w:p>
    <w:p>
      <w:pPr>
        <w:ind w:right="140"/>
        <w:spacing w:after="0" w:line="261" w:lineRule="auto"/>
        <w:rPr>
          <w:sz w:val="20"/>
          <w:szCs w:val="20"/>
          <w:color w:val="auto"/>
        </w:rPr>
      </w:pPr>
      <w:r>
        <w:rPr>
          <w:rFonts w:ascii="Arial" w:cs="Arial" w:eastAsia="Arial" w:hAnsi="Arial"/>
          <w:sz w:val="18"/>
          <w:szCs w:val="18"/>
          <w:color w:val="auto"/>
        </w:rPr>
        <w:t>election). Unless an eligible employee affirmatively elects not to contribute or changes his or her deferral rate, the pre-tax deferral will increase annually by 1% not to exceed 10%.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color w:val="auto"/>
        </w:rPr>
        <w:t>Destination XL Group, Inc. 401(k) Savings Plan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Participants’ Accounts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Each participant’s account is credited with the participant’s contributions, the Company’s matching and discretionary contribution, Plan earnings, and charged with an allocation of Plan expenses. The Plan expenses are divided equally to all participants. The benefits to which a participant is entitled are the benefits that can be provided from the participant’s vested account.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p>
    <w:p>
      <w:pPr>
        <w:spacing w:after="0" w:line="22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Participants are immediately vested in their contributions plus actual earnings thereon. Vesting in the Company contribution portion of their accounts plus actual earnings thereon, is based on each participant’s years of continuous service. A participant is 100% vested after two years of credited service.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Forfeitures</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Amounts forfeited under the Plan are used to reduce future employer contributions and administrative expenses. At December 31, 2015 and 2014, forfeited non-vested accounts totaled $73,337 and $75,625 respectively. In March 2016, $56,000 was used to reduce employer contributions.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Options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Upon enrollment in the Plan, participants may direct their elective contribution and Company contributions into various investment options offered by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may change their investment options at any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Participants may borrow the lesser of $50,000 and 50% of the individual’s vested balance with a minimum of $1,000 per loan. Loans are secured by the balance in the participant’s account and bear interest at rates which are commensurate with local prevailing rates as determined by the Plan Administrator at the inception of the loan (currently at prime rate plus 1.5%). Loan terms range from one to five years unless the loan is used to purchase a primary residence, in which case the loan may be repaid over a ten-year period. Other restrictions, as specified in the Plan agreement, may apply to a participant’s loan transaction. Principal and interest are paid ratably through payroll deductions.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Distributions can be made if requested due to disability, retirement, or termination of employment. Upon termination of service for any reason, a participant may receive a lump-sum amount equal to the value of the participant’s vested interest in his or her account, if the vested interest is $5,000 or less. If the participant’s vested interest is over $5,000, the participant may elect to receive payment in a lump-sum amount or installments paid over a certain number of years selected by the participant.</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Beneficiaries may request a distribution of the vested account balance in the event of death. The account balance will continue to increase or decrease, as appropriate, based on the investment returns until it is distributed.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39" w:right="279" w:bottom="1440" w:gutter="0" w:footer="0" w:header="0"/>
        </w:sectPr>
      </w:pPr>
    </w:p>
    <w:bookmarkStart w:id="7" w:name="page8"/>
    <w:bookmarkEnd w:id="7"/>
    <w:p>
      <w:pPr>
        <w:jc w:val="center"/>
        <w:ind w:right="-99"/>
        <w:spacing w:after="0"/>
        <w:rPr>
          <w:sz w:val="20"/>
          <w:szCs w:val="20"/>
          <w:color w:val="auto"/>
        </w:rPr>
      </w:pPr>
      <w:r>
        <w:rPr>
          <w:rFonts w:ascii="Arial" w:cs="Arial" w:eastAsia="Arial" w:hAnsi="Arial"/>
          <w:sz w:val="18"/>
          <w:szCs w:val="18"/>
          <w:color w:val="auto"/>
        </w:rPr>
        <w:t>Destination XL Group, Inc. 401(k) Savings Plan</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 continued</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distribution can be deferred to a later date, however, it cannot be postponed if the vested account balance is $5,000 or less. If the vested account balance is $5,000 or less, the Plan Administrator will direct the Trustee that any amount exceeding $1,000 be distributed to an Individual Retirement Account or Annuity (“IRA”). If the vested account balance is $1,000 or less, the Plan Administrator will direct the Trustee to distribute it as a lump sum distribution without the participant’s consent. Prior to such distribution, participants still have the right to request that the amount be distributed directly to them in the form of a lump sum payment or to request that it be rolled-over to a different IRA provider or another retirement plan eligible to receive rollover contributions. If the participant fails to request a different treatment of an automatic distribution under the Plan’s cash-out provision, the distribution will be paid over to an IRA provider chosen by the Plan Administrator and invested in a product designed to preserve the principal of that distribution while still providing a reasonable rate of return and preserving liquidity. The fees assessed against this newly established IRA by its provider will be paid by the participant.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Termination</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Although it has not expressed any intent to do so, the Company has the right under the Plan to discontinue its contributions at any time and to terminate the Plan subject to the provisions of ERISA. In the event of a plan termination, participants will become 100% vested in their accounts.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 </w:t>
      </w:r>
      <w:r>
        <w:rPr>
          <w:rFonts w:ascii="Arial" w:cs="Arial" w:eastAsia="Arial" w:hAnsi="Arial"/>
          <w:sz w:val="18"/>
          <w:szCs w:val="18"/>
          <w:u w:val="single" w:color="auto"/>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Accounting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on the accrual basis of accounting.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Valuation and Income Recognition</w:t>
      </w:r>
    </w:p>
    <w:p>
      <w:pPr>
        <w:spacing w:after="0" w:line="225"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Investments are stated at fair value. Fair value is the price that would be received to sell an asset or paid to transfer a liability in an orderly transaction between market participants at the measurement date. The Committee determines the Plan’s valuation policies utilizing information provided by the investment advisers and trustee. See Note 4 for further discussion of fair value measurements.</w:t>
      </w:r>
    </w:p>
    <w:p>
      <w:pPr>
        <w:spacing w:after="0" w:line="18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Purchases and sales of securities are recorded on a trade-date basis. Interest income is recorded on the accrual basis. Dividends are recorded on the ex-dividend date. Net depreciation includes the plan’s gains and losses on investments bought and sold as well as held during the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Notes receivable from participants are measured at their unpaid principal balance plus accrued but unpaid interest. Interest income is recorded on the accrual basis. Related fees are recorded as administrative expenses and are expensed when they are incurred. No allowance for credit losses has been recorded as of December 31, 2015 and 2014. If a participant ceases to make loan repayments and the Plan Administrator deems the participant loan to be in default, the participant loan balance is reduced and a benefit payment is recorded.</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787" w:right="31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color w:val="auto"/>
        </w:rPr>
        <w:t>Destination XL Group, Inc. 401(k) Savings Plan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 </w:t>
      </w:r>
      <w:r>
        <w:rPr>
          <w:rFonts w:ascii="Arial" w:cs="Arial" w:eastAsia="Arial" w:hAnsi="Arial"/>
          <w:sz w:val="18"/>
          <w:szCs w:val="18"/>
          <w:u w:val="single" w:color="auto"/>
          <w:color w:val="auto"/>
        </w:rPr>
        <w:t>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changes therein and disclosure of contingent assets and liabilities.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Expenses</w:t>
      </w:r>
    </w:p>
    <w:p>
      <w:pPr>
        <w:spacing w:after="0" w:line="225"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In accordance with the Plan, all administrative expenses may be paid out of the Plan unless paid by the Company. During 2015, there were no expenses paid by the Company. Fees related to the administration of notes receivable from participants are charged directly to the participant’s account and are included in administrative expenses. Certain investments related expenses are included in net depreciation of fair value of investments.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May 2015, the Financial Accounting Standards Board (“FASB”) issued Accounting Standards Update (“ASU”) 2015-07, Disclosures for Investments in Certain Entities that Calculate Net Asset Value Per Share (or its Equivalent). ASU 2015-07 removes the requirement to categorize within the fair value hierarchy investments for which fair values are estimated using the net asset value practical expedient provided by Accounting Standards Codification 820, Fair Value Measurement. Disclosures about investments in certain entities that calculate net asset value per share are limited under ASU 2015-07 to those investments for which the entity has elected to estimate the fair value using the net asset value practical expedient. ASU 2015-07 is effective for entities (other than public business entities) for fiscal years beginning after December 15, 2016, with retrospective application to all periods presented. The Plan’s management is currently evaluating the impact of ASU 2015-07 and does not expect the adoption of this ASU to have a material impact on the Plan’s financial statements.</w:t>
      </w:r>
    </w:p>
    <w:p>
      <w:pPr>
        <w:spacing w:after="0" w:line="1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July 2015, the FASB issued ASU 2015-12, Plan Accounting: Defined Benefit Pension Plans (Topic 960), Defined Contribution Plans (Topic 962), Health and Welfare Benefit Plans (Topic 965): (Part I) Fully Benefit-Responsive Investment Contracts, (Part II) Plan Investment Disclosures, (Part III) Measurement Date Practical Expedient. Part I eliminates the requirements to measure the fair value of fully benefit-responsive investment contracts and provide certain disclosures. Contract value is the only required measure for fully benefit-responsive investment contracts. Part II eliminates the requirements to disclose individual investments that represent 5 percent or more of net assets available for benefits and the net appreciation or depreciation in fair value of investments that are measured using fair value by general type; however, plans are no longer required to also disaggregate investments by nature, characteristics and risks. Further, the disclosure of information about fair value measurements shall be provided by general type of plan asset. Part III is not applicable to the Plan. The ASU is effective for fiscal years beginning after December 15, 2015, with early adoption permitted. Parts I and II are to be applied retrospectively. Plan management has elected to early adopt ASU 2015-12, Parts 1 and II. The Statement of Changes in Net Assets Available for Benefits of the Plan was not affected by the adoption of the new guidance.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39" w:right="279" w:bottom="1440" w:gutter="0" w:footer="0" w:header="0"/>
        </w:sectPr>
      </w:pPr>
    </w:p>
    <w:bookmarkStart w:id="9" w:name="page10"/>
    <w:bookmarkEnd w:id="9"/>
    <w:p>
      <w:pPr>
        <w:jc w:val="center"/>
        <w:ind w:right="-99"/>
        <w:spacing w:after="0"/>
        <w:rPr>
          <w:sz w:val="20"/>
          <w:szCs w:val="20"/>
          <w:color w:val="auto"/>
        </w:rPr>
      </w:pPr>
      <w:r>
        <w:rPr>
          <w:rFonts w:ascii="Arial" w:cs="Arial" w:eastAsia="Arial" w:hAnsi="Arial"/>
          <w:sz w:val="18"/>
          <w:szCs w:val="18"/>
          <w:color w:val="auto"/>
        </w:rPr>
        <w:t>Destination XL Group, Inc. 401(k) Savings Plan</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3 – </w:t>
      </w:r>
      <w:r>
        <w:rPr>
          <w:rFonts w:ascii="Arial" w:cs="Arial" w:eastAsia="Arial" w:hAnsi="Arial"/>
          <w:sz w:val="18"/>
          <w:szCs w:val="18"/>
          <w:u w:val="single" w:color="auto"/>
          <w:color w:val="auto"/>
        </w:rPr>
        <w:t>Non-Participant Directed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net assets and the significant components of the change in net assets relating to the non-participant directed investments is as follows:</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4"/>
          </w:tcPr>
          <w:p>
            <w:pPr>
              <w:jc w:val="right"/>
              <w:ind w:right="280"/>
              <w:spacing w:after="0"/>
              <w:rPr>
                <w:sz w:val="20"/>
                <w:szCs w:val="20"/>
                <w:color w:val="auto"/>
              </w:rPr>
            </w:pPr>
            <w:r>
              <w:rPr>
                <w:rFonts w:ascii="Arial" w:cs="Arial" w:eastAsia="Arial" w:hAnsi="Arial"/>
                <w:sz w:val="14"/>
                <w:szCs w:val="14"/>
                <w:color w:val="auto"/>
              </w:rPr>
              <w:t>December 31,</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5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320"/>
              <w:spacing w:after="0"/>
              <w:rPr>
                <w:sz w:val="20"/>
                <w:szCs w:val="20"/>
                <w:color w:val="auto"/>
              </w:rPr>
            </w:pPr>
            <w:r>
              <w:rPr>
                <w:rFonts w:ascii="Arial" w:cs="Arial" w:eastAsia="Arial" w:hAnsi="Arial"/>
                <w:sz w:val="14"/>
                <w:szCs w:val="14"/>
                <w:color w:val="auto"/>
              </w:rPr>
              <w:t>2015</w:t>
            </w:r>
          </w:p>
        </w:tc>
        <w:tc>
          <w:tcPr>
            <w:tcW w:w="1240" w:type="dxa"/>
            <w:vAlign w:val="bottom"/>
            <w:gridSpan w:val="4"/>
          </w:tcPr>
          <w:p>
            <w:pPr>
              <w:jc w:val="right"/>
              <w:ind w:right="330"/>
              <w:spacing w:after="0"/>
              <w:rPr>
                <w:sz w:val="20"/>
                <w:szCs w:val="20"/>
                <w:color w:val="auto"/>
              </w:rPr>
            </w:pPr>
            <w:r>
              <w:rPr>
                <w:rFonts w:ascii="Arial" w:cs="Arial" w:eastAsia="Arial" w:hAnsi="Arial"/>
                <w:sz w:val="14"/>
                <w:szCs w:val="14"/>
                <w:color w:val="auto"/>
              </w:rPr>
              <w:t>2014</w:t>
            </w:r>
          </w:p>
        </w:tc>
        <w:tc>
          <w:tcPr>
            <w:tcW w:w="80" w:type="dxa"/>
            <w:vAlign w:val="bottom"/>
          </w:tcPr>
          <w:p>
            <w:pPr>
              <w:spacing w:after="0"/>
              <w:rPr>
                <w:sz w:val="14"/>
                <w:szCs w:val="14"/>
                <w:color w:val="auto"/>
              </w:rPr>
            </w:pPr>
          </w:p>
        </w:tc>
      </w:tr>
      <w:tr>
        <w:trPr>
          <w:trHeight w:val="223"/>
        </w:trPr>
        <w:tc>
          <w:tcPr>
            <w:tcW w:w="55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Assets:</w:t>
            </w:r>
          </w:p>
        </w:tc>
        <w:tc>
          <w:tcPr>
            <w:tcW w:w="3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right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560" w:type="dxa"/>
            <w:vAlign w:val="bottom"/>
            <w:gridSpan w:val="2"/>
          </w:tcPr>
          <w:p>
            <w:pPr>
              <w:ind w:left="380"/>
              <w:spacing w:after="0"/>
              <w:rPr>
                <w:sz w:val="20"/>
                <w:szCs w:val="20"/>
                <w:color w:val="auto"/>
              </w:rPr>
            </w:pPr>
            <w:r>
              <w:rPr>
                <w:rFonts w:ascii="Arial" w:cs="Arial" w:eastAsia="Arial" w:hAnsi="Arial"/>
                <w:sz w:val="18"/>
                <w:szCs w:val="18"/>
                <w:color w:val="auto"/>
              </w:rPr>
              <w:t>Fidelity Advisor Stable Value Fund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73,337</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75,625</w:t>
            </w:r>
          </w:p>
        </w:tc>
        <w:tc>
          <w:tcPr>
            <w:tcW w:w="80" w:type="dxa"/>
            <w:vAlign w:val="bottom"/>
          </w:tcPr>
          <w:p>
            <w:pPr>
              <w:spacing w:after="0"/>
              <w:rPr>
                <w:sz w:val="20"/>
                <w:szCs w:val="20"/>
                <w:color w:val="auto"/>
              </w:rPr>
            </w:pPr>
          </w:p>
        </w:tc>
      </w:tr>
      <w:tr>
        <w:trPr>
          <w:trHeight w:val="372"/>
        </w:trPr>
        <w:tc>
          <w:tcPr>
            <w:tcW w:w="5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gridSpan w:val="4"/>
          </w:tcPr>
          <w:p>
            <w:pPr>
              <w:jc w:val="right"/>
              <w:ind w:right="480"/>
              <w:spacing w:after="0"/>
              <w:rPr>
                <w:sz w:val="20"/>
                <w:szCs w:val="20"/>
                <w:color w:val="auto"/>
              </w:rPr>
            </w:pPr>
            <w:r>
              <w:rPr>
                <w:rFonts w:ascii="Arial" w:cs="Arial" w:eastAsia="Arial" w:hAnsi="Arial"/>
                <w:sz w:val="14"/>
                <w:szCs w:val="14"/>
                <w:color w:val="auto"/>
              </w:rPr>
              <w:t>Year Ended</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7"/>
        </w:trPr>
        <w:tc>
          <w:tcPr>
            <w:tcW w:w="5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gridSpan w:val="4"/>
          </w:tcPr>
          <w:p>
            <w:pPr>
              <w:jc w:val="right"/>
              <w:ind w:right="240"/>
              <w:spacing w:after="0"/>
              <w:rPr>
                <w:sz w:val="20"/>
                <w:szCs w:val="20"/>
                <w:color w:val="auto"/>
              </w:rPr>
            </w:pPr>
            <w:r>
              <w:rPr>
                <w:rFonts w:ascii="Arial" w:cs="Arial" w:eastAsia="Arial" w:hAnsi="Arial"/>
                <w:sz w:val="14"/>
                <w:szCs w:val="14"/>
                <w:color w:val="auto"/>
              </w:rPr>
              <w:t>December 31, 2015</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Changes in Net Assets:</w:t>
            </w:r>
          </w:p>
        </w:tc>
        <w:tc>
          <w:tcPr>
            <w:tcW w:w="3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right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Dividend income</w:t>
            </w:r>
          </w:p>
        </w:tc>
        <w:tc>
          <w:tcPr>
            <w:tcW w:w="340" w:type="dxa"/>
            <w:vAlign w:val="bottom"/>
          </w:tcPr>
          <w:p>
            <w:pPr>
              <w:spacing w:after="0"/>
              <w:rPr>
                <w:sz w:val="19"/>
                <w:szCs w:val="19"/>
                <w:color w:val="auto"/>
              </w:rPr>
            </w:pPr>
          </w:p>
        </w:tc>
        <w:tc>
          <w:tcPr>
            <w:tcW w:w="760" w:type="dxa"/>
            <w:vAlign w:val="bottom"/>
          </w:tcPr>
          <w:p>
            <w:pPr>
              <w:jc w:val="right"/>
              <w:ind w:right="58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471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Current year forfeitures</w:t>
            </w: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57,535</w:t>
            </w:r>
          </w:p>
        </w:tc>
        <w:tc>
          <w:tcPr>
            <w:tcW w:w="80" w:type="dxa"/>
            <w:vAlign w:val="bottom"/>
            <w:tcBorders>
              <w:right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Contributions</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672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Transfer into the plan</w:t>
            </w: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28,134</w:t>
            </w:r>
          </w:p>
        </w:tc>
        <w:tc>
          <w:tcPr>
            <w:tcW w:w="80" w:type="dxa"/>
            <w:vAlign w:val="bottom"/>
            <w:tcBorders>
              <w:right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80" w:type="dxa"/>
            <w:vAlign w:val="bottom"/>
          </w:tcPr>
          <w:p>
            <w:pPr>
              <w:ind w:left="360"/>
              <w:spacing w:after="0"/>
              <w:rPr>
                <w:sz w:val="20"/>
                <w:szCs w:val="20"/>
                <w:color w:val="auto"/>
              </w:rPr>
            </w:pPr>
            <w:r>
              <w:rPr>
                <w:rFonts w:ascii="Arial" w:cs="Arial" w:eastAsia="Arial" w:hAnsi="Arial"/>
                <w:sz w:val="18"/>
                <w:szCs w:val="18"/>
                <w:color w:val="auto"/>
              </w:rPr>
              <w:t>Forfeitures used to reduce prior year employer match</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(89,100)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9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8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(2,288)</w:t>
            </w:r>
          </w:p>
        </w:tc>
        <w:tc>
          <w:tcPr>
            <w:tcW w:w="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4 – </w:t>
      </w:r>
      <w:r>
        <w:rPr>
          <w:rFonts w:ascii="Arial" w:cs="Arial" w:eastAsia="Arial" w:hAnsi="Arial"/>
          <w:sz w:val="18"/>
          <w:szCs w:val="18"/>
          <w:u w:val="single" w:color="auto"/>
          <w:color w:val="auto"/>
        </w:rPr>
        <w:t>Fair Value Measurements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Plan measures fair value in accordance with FASB Accounting Standards Codification (“ASC”) 820, Fair Value Measurement, which provides a fair value hierarchy which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as follows:</w:t>
      </w:r>
    </w:p>
    <w:p>
      <w:pPr>
        <w:sectPr>
          <w:pgSz w:w="11900" w:h="16838" w:orient="portrait"/>
          <w:cols w:equalWidth="0" w:num="1">
            <w:col w:w="11340"/>
          </w:cols>
          <w:pgMar w:left="240" w:top="139" w:right="31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Level 1</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Inputs to the valuation methodology are unadjusted quoted prices for identical assets or liabilities in active markets that the Plan has the ability to access.</w:t>
      </w:r>
    </w:p>
    <w:p>
      <w:pPr>
        <w:spacing w:after="0" w:line="62" w:lineRule="exact"/>
        <w:rPr>
          <w:sz w:val="20"/>
          <w:szCs w:val="20"/>
          <w:color w:val="auto"/>
        </w:rPr>
      </w:pPr>
    </w:p>
    <w:p>
      <w:pPr>
        <w:sectPr>
          <w:pgSz w:w="11900" w:h="16838" w:orient="portrait"/>
          <w:cols w:equalWidth="0" w:num="2">
            <w:col w:w="800" w:space="720"/>
            <w:col w:w="9820"/>
          </w:cols>
          <w:pgMar w:left="240" w:top="139" w:right="319" w:bottom="1440" w:gutter="0" w:footer="0" w:header="0"/>
          <w:type w:val="continuous"/>
        </w:sectPr>
      </w:pPr>
    </w:p>
    <w:p>
      <w:pPr>
        <w:spacing w:after="0"/>
        <w:rPr>
          <w:sz w:val="20"/>
          <w:szCs w:val="20"/>
          <w:color w:val="auto"/>
        </w:rPr>
      </w:pPr>
      <w:r>
        <w:rPr>
          <w:rFonts w:ascii="Arial" w:cs="Arial" w:eastAsia="Arial" w:hAnsi="Arial"/>
          <w:sz w:val="17"/>
          <w:szCs w:val="17"/>
          <w:color w:val="auto"/>
        </w:rPr>
        <w:t>Level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Inputs to the valuation methodology include:</w:t>
      </w:r>
    </w:p>
    <w:p>
      <w:pPr>
        <w:spacing w:after="0" w:line="46" w:lineRule="exact"/>
        <w:rPr>
          <w:sz w:val="20"/>
          <w:szCs w:val="20"/>
          <w:color w:val="auto"/>
        </w:rPr>
      </w:pPr>
    </w:p>
    <w:p>
      <w:pPr>
        <w:sectPr>
          <w:pgSz w:w="11900" w:h="16838" w:orient="portrait"/>
          <w:cols w:equalWidth="0" w:num="2">
            <w:col w:w="560" w:space="640"/>
            <w:col w:w="10140"/>
          </w:cols>
          <w:pgMar w:left="240" w:top="139" w:right="319" w:bottom="1440" w:gutter="0" w:footer="0" w:header="0"/>
          <w:type w:val="continuous"/>
        </w:sectPr>
      </w:pPr>
    </w:p>
    <w:p>
      <w:pPr>
        <w:ind w:left="2280" w:hanging="381"/>
        <w:spacing w:after="0"/>
        <w:tabs>
          <w:tab w:leader="none" w:pos="2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 w:lineRule="exact"/>
        <w:rPr>
          <w:rFonts w:ascii="Arial" w:cs="Arial" w:eastAsia="Arial" w:hAnsi="Arial"/>
          <w:sz w:val="18"/>
          <w:szCs w:val="18"/>
          <w:color w:val="auto"/>
        </w:rPr>
      </w:pPr>
    </w:p>
    <w:p>
      <w:pPr>
        <w:ind w:left="2280" w:hanging="381"/>
        <w:spacing w:after="0"/>
        <w:tabs>
          <w:tab w:leader="none" w:pos="2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 w:lineRule="exact"/>
        <w:rPr>
          <w:rFonts w:ascii="Arial" w:cs="Arial" w:eastAsia="Arial" w:hAnsi="Arial"/>
          <w:sz w:val="18"/>
          <w:szCs w:val="18"/>
          <w:color w:val="auto"/>
        </w:rPr>
      </w:pPr>
    </w:p>
    <w:p>
      <w:pPr>
        <w:ind w:left="2280" w:hanging="381"/>
        <w:spacing w:after="0"/>
        <w:tabs>
          <w:tab w:leader="none" w:pos="2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 w:lineRule="exact"/>
        <w:rPr>
          <w:rFonts w:ascii="Arial" w:cs="Arial" w:eastAsia="Arial" w:hAnsi="Arial"/>
          <w:sz w:val="18"/>
          <w:szCs w:val="18"/>
          <w:color w:val="auto"/>
        </w:rPr>
      </w:pPr>
    </w:p>
    <w:p>
      <w:pPr>
        <w:ind w:left="2280" w:hanging="381"/>
        <w:spacing w:after="0"/>
        <w:tabs>
          <w:tab w:leader="none" w:pos="2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103" w:lineRule="exact"/>
        <w:rPr>
          <w:sz w:val="20"/>
          <w:szCs w:val="20"/>
          <w:color w:val="auto"/>
        </w:rPr>
      </w:pPr>
    </w:p>
    <w:p>
      <w:pPr>
        <w:ind w:left="1520" w:right="40"/>
        <w:spacing w:after="0" w:line="277" w:lineRule="auto"/>
        <w:rPr>
          <w:sz w:val="20"/>
          <w:szCs w:val="20"/>
          <w:color w:val="auto"/>
        </w:rPr>
      </w:pPr>
      <w:r>
        <w:rPr>
          <w:rFonts w:ascii="Arial" w:cs="Arial" w:eastAsia="Arial" w:hAnsi="Arial"/>
          <w:sz w:val="18"/>
          <w:szCs w:val="18"/>
          <w:color w:val="auto"/>
        </w:rPr>
        <w:t>If the asset or liability has a specified (contractual) term, the Level 2 input must be observable for substantially the full term of the asset or liability.</w:t>
      </w:r>
    </w:p>
    <w:p>
      <w:pPr>
        <w:spacing w:after="0" w:line="6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3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Following is a description of the valuation methodologies used for assets measured at fair value. There have been no changes in the methodologies used at December 31, 2015 and 2014.</w:t>
      </w:r>
    </w:p>
    <w:p>
      <w:pPr>
        <w:spacing w:after="0" w:line="17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i w:val="1"/>
          <w:iCs w:val="1"/>
          <w:color w:val="auto"/>
        </w:rPr>
        <w:t>Common stock:</w:t>
      </w:r>
      <w:r>
        <w:rPr>
          <w:sz w:val="20"/>
          <w:szCs w:val="20"/>
          <w:color w:val="auto"/>
        </w:rPr>
        <w:tab/>
      </w:r>
      <w:r>
        <w:rPr>
          <w:rFonts w:ascii="Arial" w:cs="Arial" w:eastAsia="Arial" w:hAnsi="Arial"/>
          <w:sz w:val="16"/>
          <w:szCs w:val="16"/>
          <w:color w:val="auto"/>
        </w:rPr>
        <w:t>Valued at the closing price reported on the active market on which the individual securities are traded.</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39" w:right="319" w:bottom="1440" w:gutter="0" w:footer="0" w:header="0"/>
          <w:type w:val="continuous"/>
        </w:sectPr>
      </w:pPr>
    </w:p>
    <w:bookmarkStart w:id="10" w:name="page11"/>
    <w:bookmarkEnd w:id="10"/>
    <w:p>
      <w:pPr>
        <w:jc w:val="center"/>
        <w:ind w:right="-59"/>
        <w:spacing w:after="0"/>
        <w:rPr>
          <w:sz w:val="20"/>
          <w:szCs w:val="20"/>
          <w:color w:val="auto"/>
        </w:rPr>
      </w:pPr>
      <w:r>
        <w:rPr>
          <w:rFonts w:ascii="Arial" w:cs="Arial" w:eastAsia="Arial" w:hAnsi="Arial"/>
          <w:sz w:val="18"/>
          <w:szCs w:val="18"/>
          <w:color w:val="auto"/>
        </w:rPr>
        <w:t>Destination XL Group, Inc. 401(k) Savings Plan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4 – </w:t>
      </w:r>
      <w:r>
        <w:rPr>
          <w:rFonts w:ascii="Arial" w:cs="Arial" w:eastAsia="Arial" w:hAnsi="Arial"/>
          <w:sz w:val="18"/>
          <w:szCs w:val="18"/>
          <w:u w:val="single" w:color="auto"/>
          <w:color w:val="auto"/>
        </w:rPr>
        <w:t>Fair Value Measurements, continued</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Mutual funds: </w:t>
      </w:r>
      <w:r>
        <w:rPr>
          <w:rFonts w:ascii="Arial" w:cs="Arial" w:eastAsia="Arial" w:hAnsi="Arial"/>
          <w:sz w:val="18"/>
          <w:szCs w:val="18"/>
          <w:color w:val="auto"/>
        </w:rPr>
        <w:t>Valued at the daily closing price as reported by the fund. Mutual funds held by the Plan are open-end mutual funds that are registered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 These funds are required to publish their daily Net Asset Value (“NAV”) and to transact at that price. The mutual funds held by the Plan are deemed to be actively traded.</w:t>
      </w:r>
    </w:p>
    <w:p>
      <w:pPr>
        <w:spacing w:after="0" w:line="18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 xml:space="preserve">Common/collective trust fund: </w:t>
      </w:r>
      <w:r>
        <w:rPr>
          <w:rFonts w:ascii="Arial" w:cs="Arial" w:eastAsia="Arial" w:hAnsi="Arial"/>
          <w:sz w:val="17"/>
          <w:szCs w:val="17"/>
          <w:color w:val="auto"/>
        </w:rPr>
        <w:t>Valued at the NAV of units of a bank collective trust. The NAV, as provided by the trustee, is used as a practical expedient to</w:t>
      </w:r>
      <w:r>
        <w:rPr>
          <w:rFonts w:ascii="Arial" w:cs="Arial" w:eastAsia="Arial" w:hAnsi="Arial"/>
          <w:sz w:val="17"/>
          <w:szCs w:val="17"/>
          <w:i w:val="1"/>
          <w:iCs w:val="1"/>
          <w:color w:val="auto"/>
        </w:rPr>
        <w:t xml:space="preserve"> </w:t>
      </w:r>
      <w:r>
        <w:rPr>
          <w:rFonts w:ascii="Arial" w:cs="Arial" w:eastAsia="Arial" w:hAnsi="Arial"/>
          <w:sz w:val="17"/>
          <w:szCs w:val="17"/>
          <w:color w:val="auto"/>
        </w:rPr>
        <w:t>estimating fair value. The NAV is based on the fair value of the underlying investments held by the fund less its liabilities. This practical expedient is not used when it is determined to be probable that the fund will sell the investment for an amount different than the reported NAV.</w:t>
      </w:r>
    </w:p>
    <w:p>
      <w:pPr>
        <w:spacing w:after="0" w:line="16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preceding methods described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by level, within the fair value hierarchy, the Plan’s investments at fair value as of December 31, 2015 and 2014:</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2900" w:type="dxa"/>
            <w:vAlign w:val="bottom"/>
          </w:tcPr>
          <w:p>
            <w:pPr>
              <w:spacing w:after="0"/>
              <w:rPr>
                <w:sz w:val="15"/>
                <w:szCs w:val="15"/>
                <w:color w:val="auto"/>
              </w:rPr>
            </w:pPr>
          </w:p>
        </w:tc>
        <w:tc>
          <w:tcPr>
            <w:tcW w:w="3860" w:type="dxa"/>
            <w:vAlign w:val="bottom"/>
            <w:gridSpan w:val="5"/>
          </w:tcPr>
          <w:p>
            <w:pPr>
              <w:jc w:val="right"/>
              <w:ind w:right="125"/>
              <w:spacing w:after="0"/>
              <w:rPr>
                <w:sz w:val="20"/>
                <w:szCs w:val="20"/>
                <w:color w:val="auto"/>
              </w:rPr>
            </w:pPr>
            <w:r>
              <w:rPr>
                <w:rFonts w:ascii="Arial" w:cs="Arial" w:eastAsia="Arial" w:hAnsi="Arial"/>
                <w:sz w:val="14"/>
                <w:szCs w:val="14"/>
                <w:color w:val="auto"/>
              </w:rPr>
              <w:t>Investments at Fair Value as of December 31, 2015</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63"/>
        </w:trPr>
        <w:tc>
          <w:tcPr>
            <w:tcW w:w="29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274"/>
              <w:spacing w:after="0"/>
              <w:rPr>
                <w:sz w:val="20"/>
                <w:szCs w:val="20"/>
                <w:color w:val="auto"/>
              </w:rPr>
            </w:pPr>
            <w:r>
              <w:rPr>
                <w:rFonts w:ascii="Arial" w:cs="Arial" w:eastAsia="Arial" w:hAnsi="Arial"/>
                <w:sz w:val="14"/>
                <w:szCs w:val="14"/>
                <w:color w:val="auto"/>
              </w:rPr>
              <w:t>Level 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274"/>
              <w:spacing w:after="0"/>
              <w:rPr>
                <w:sz w:val="20"/>
                <w:szCs w:val="20"/>
                <w:color w:val="auto"/>
              </w:rPr>
            </w:pPr>
            <w:r>
              <w:rPr>
                <w:rFonts w:ascii="Arial" w:cs="Arial" w:eastAsia="Arial" w:hAnsi="Arial"/>
                <w:sz w:val="14"/>
                <w:szCs w:val="14"/>
                <w:color w:val="auto"/>
              </w:rPr>
              <w:t>Level 2</w:t>
            </w:r>
          </w:p>
        </w:tc>
        <w:tc>
          <w:tcPr>
            <w:tcW w:w="16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Arial" w:cs="Arial" w:eastAsia="Arial" w:hAnsi="Arial"/>
                <w:sz w:val="14"/>
                <w:szCs w:val="14"/>
                <w:color w:val="auto"/>
              </w:rPr>
              <w:t>Level 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color w:val="auto"/>
              </w:rPr>
              <w:t>Total</w:t>
            </w:r>
          </w:p>
        </w:tc>
      </w:tr>
      <w:tr>
        <w:trPr>
          <w:trHeight w:val="223"/>
        </w:trPr>
        <w:tc>
          <w:tcPr>
            <w:tcW w:w="2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Mutual funds</w:t>
            </w:r>
          </w:p>
        </w:tc>
        <w:tc>
          <w:tcPr>
            <w:tcW w:w="2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45,248,517</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45,248,517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Common/collective trust fund</w:t>
            </w:r>
          </w:p>
        </w:tc>
        <w:tc>
          <w:tcPr>
            <w:tcW w:w="2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8,097,011</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8,097,011</w:t>
            </w:r>
          </w:p>
        </w:tc>
        <w:tc>
          <w:tcPr>
            <w:tcW w:w="80" w:type="dxa"/>
            <w:vAlign w:val="bottom"/>
          </w:tcPr>
          <w:p>
            <w:pPr>
              <w:spacing w:after="0"/>
              <w:rPr>
                <w:sz w:val="19"/>
                <w:szCs w:val="19"/>
                <w:color w:val="auto"/>
              </w:rPr>
            </w:pPr>
          </w:p>
        </w:tc>
      </w:tr>
      <w:tr>
        <w:trPr>
          <w:trHeight w:val="223"/>
        </w:trPr>
        <w:tc>
          <w:tcPr>
            <w:tcW w:w="2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investments at fair value</w:t>
            </w:r>
          </w:p>
        </w:tc>
        <w:tc>
          <w:tcPr>
            <w:tcW w:w="23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45,248,517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8,097,011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53,345,528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90"/>
        </w:trPr>
        <w:tc>
          <w:tcPr>
            <w:tcW w:w="2900" w:type="dxa"/>
            <w:vAlign w:val="bottom"/>
          </w:tcPr>
          <w:p>
            <w:pPr>
              <w:spacing w:after="0"/>
              <w:rPr>
                <w:sz w:val="24"/>
                <w:szCs w:val="24"/>
                <w:color w:val="auto"/>
              </w:rPr>
            </w:pPr>
          </w:p>
        </w:tc>
        <w:tc>
          <w:tcPr>
            <w:tcW w:w="3860" w:type="dxa"/>
            <w:vAlign w:val="bottom"/>
            <w:gridSpan w:val="5"/>
          </w:tcPr>
          <w:p>
            <w:pPr>
              <w:jc w:val="right"/>
              <w:ind w:right="125"/>
              <w:spacing w:after="0"/>
              <w:rPr>
                <w:sz w:val="20"/>
                <w:szCs w:val="20"/>
                <w:color w:val="auto"/>
              </w:rPr>
            </w:pPr>
            <w:r>
              <w:rPr>
                <w:rFonts w:ascii="Arial" w:cs="Arial" w:eastAsia="Arial" w:hAnsi="Arial"/>
                <w:sz w:val="14"/>
                <w:szCs w:val="14"/>
                <w:color w:val="auto"/>
              </w:rPr>
              <w:t>Investments at Fair Value as of December 31, 2014</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3"/>
        </w:trPr>
        <w:tc>
          <w:tcPr>
            <w:tcW w:w="29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274"/>
              <w:spacing w:after="0"/>
              <w:rPr>
                <w:sz w:val="20"/>
                <w:szCs w:val="20"/>
                <w:color w:val="auto"/>
              </w:rPr>
            </w:pPr>
            <w:r>
              <w:rPr>
                <w:rFonts w:ascii="Arial" w:cs="Arial" w:eastAsia="Arial" w:hAnsi="Arial"/>
                <w:sz w:val="14"/>
                <w:szCs w:val="14"/>
                <w:color w:val="auto"/>
              </w:rPr>
              <w:t>Level 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274"/>
              <w:spacing w:after="0"/>
              <w:rPr>
                <w:sz w:val="20"/>
                <w:szCs w:val="20"/>
                <w:color w:val="auto"/>
              </w:rPr>
            </w:pPr>
            <w:r>
              <w:rPr>
                <w:rFonts w:ascii="Arial" w:cs="Arial" w:eastAsia="Arial" w:hAnsi="Arial"/>
                <w:sz w:val="14"/>
                <w:szCs w:val="14"/>
                <w:color w:val="auto"/>
              </w:rPr>
              <w:t>Level 2</w:t>
            </w:r>
          </w:p>
        </w:tc>
        <w:tc>
          <w:tcPr>
            <w:tcW w:w="16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Arial" w:cs="Arial" w:eastAsia="Arial" w:hAnsi="Arial"/>
                <w:sz w:val="14"/>
                <w:szCs w:val="14"/>
                <w:color w:val="auto"/>
              </w:rPr>
              <w:t>Level 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color w:val="auto"/>
              </w:rPr>
              <w:t>Total</w:t>
            </w:r>
          </w:p>
        </w:tc>
      </w:tr>
      <w:tr>
        <w:trPr>
          <w:trHeight w:val="223"/>
        </w:trPr>
        <w:tc>
          <w:tcPr>
            <w:tcW w:w="2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Mutual funds</w:t>
            </w:r>
          </w:p>
        </w:tc>
        <w:tc>
          <w:tcPr>
            <w:tcW w:w="2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34,044,673</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34,044,673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Common stock</w:t>
            </w:r>
          </w:p>
        </w:tc>
        <w:tc>
          <w:tcPr>
            <w:tcW w:w="2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746,875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746,875</w:t>
            </w:r>
          </w:p>
        </w:tc>
        <w:tc>
          <w:tcPr>
            <w:tcW w:w="80" w:type="dxa"/>
            <w:vAlign w:val="bottom"/>
          </w:tcPr>
          <w:p>
            <w:pPr>
              <w:spacing w:after="0"/>
              <w:rPr>
                <w:sz w:val="19"/>
                <w:szCs w:val="19"/>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Common/collective trust fund</w:t>
            </w:r>
          </w:p>
        </w:tc>
        <w:tc>
          <w:tcPr>
            <w:tcW w:w="2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4,514,488</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4,514,488</w:t>
            </w:r>
          </w:p>
        </w:tc>
        <w:tc>
          <w:tcPr>
            <w:tcW w:w="80" w:type="dxa"/>
            <w:vAlign w:val="bottom"/>
            <w:shd w:val="clear" w:color="auto" w:fill="CFF0FC"/>
          </w:tcPr>
          <w:p>
            <w:pPr>
              <w:spacing w:after="0"/>
              <w:rPr>
                <w:sz w:val="19"/>
                <w:szCs w:val="19"/>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Total investments at fair value</w:t>
            </w:r>
          </w:p>
        </w:tc>
        <w:tc>
          <w:tcPr>
            <w:tcW w:w="232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34,791,548</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4,514,488</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9"/>
                <w:szCs w:val="19"/>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39,306,036</w:t>
            </w:r>
          </w:p>
        </w:tc>
        <w:tc>
          <w:tcPr>
            <w:tcW w:w="80" w:type="dxa"/>
            <w:vAlign w:val="bottom"/>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 </w:t>
      </w:r>
      <w:r>
        <w:rPr>
          <w:rFonts w:ascii="Arial" w:cs="Arial" w:eastAsia="Arial" w:hAnsi="Arial"/>
          <w:sz w:val="18"/>
          <w:szCs w:val="18"/>
          <w:u w:val="single" w:color="auto"/>
          <w:color w:val="auto"/>
        </w:rPr>
        <w:t>Related Party and Party-In-Interest Transactions</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Plan owned 136,790 shares of Destination XL Group, Inc. valued at $746,875 at December 31, 2014. The Plan eliminated Destination XL Group, Inc. stock as an investment option during 2015 and, accordingly, no shares were owned at December 31, 2015. Additionally, certain Plan investments are shares of mutual funds and units in the Fidelity Advisor Stable Value Fund managed by Fidelity Management Trust Company who is the Trustee as defined by the Plan and, therefore, these transactions qualify as party-in-interest transactions. Certain fees incurred by the Plan for the investment management services are included in net depreciation in fair value of the investments, as they are paid through revenue sharing, rather than a direct payment. The Plan made direct payments to investment advisors of $49,103 for the year ended December 31, 2015 which was not covered by revenue sharing.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39" w:right="27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color w:val="auto"/>
        </w:rPr>
        <w:t>Destination XL Group, Inc. 401(k) Savings Plan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6 – </w:t>
      </w:r>
      <w:r>
        <w:rPr>
          <w:rFonts w:ascii="Arial" w:cs="Arial" w:eastAsia="Arial" w:hAnsi="Arial"/>
          <w:sz w:val="18"/>
          <w:szCs w:val="18"/>
          <w:u w:val="single" w:color="auto"/>
          <w:color w:val="auto"/>
        </w:rPr>
        <w:t>Risks and Uncertainties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7 – </w:t>
      </w:r>
      <w:r>
        <w:rPr>
          <w:rFonts w:ascii="Arial" w:cs="Arial" w:eastAsia="Arial" w:hAnsi="Arial"/>
          <w:sz w:val="18"/>
          <w:szCs w:val="18"/>
          <w:u w:val="single" w:color="auto"/>
          <w:color w:val="auto"/>
        </w:rPr>
        <w:t>Income Tax Status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underlying non-standardized prototype plan has received an opinion letter from the Internal Revenue Service (“IRS”) dated March 31, 2014 stating that the form of the Plan is qualified under Section 401 of the Code and, therefore, the related trust is tax-exempt. In accordance with Revenue Procedure 2002-6 and Announcement 2001-77, the Plan Sponsor has determined that it is eligible and has chosen to rely on the current IRS prototype plan opinion letter. Once qualified, the Plan is required to operate in conformity with the Code to maintain its qualification. The Plan has been amended since receiving the opinion letter. However, the Plan Administrator believes the Plan is being operated in compliance with the applicable requirements of the Code and, therefore, believes that the Plan is qualified and the related trust is tax-exempt.</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Accounting principles generally accepted in the United States of America require plan management to evaluate tax positions taken by the Plan and recognize a tax liability (or asset) if the Plan has taken an uncertain tax position that more likely than not would not be sustained upon examination by the taxing authorities. The Plan Administrator has analyzed the tax positions taken by the Plan, and has concluded that as of December 31, 2015, there are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8 – </w:t>
      </w:r>
      <w:r>
        <w:rPr>
          <w:rFonts w:ascii="Arial" w:cs="Arial" w:eastAsia="Arial" w:hAnsi="Arial"/>
          <w:sz w:val="18"/>
          <w:szCs w:val="18"/>
          <w:u w:val="single" w:color="auto"/>
          <w:color w:val="auto"/>
        </w:rPr>
        <w:t>Reconciliation of Financial Statement to Form 5500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net assets available for benefits according to the financial statements to Form 5500 as of December 31, 2015 and 2014:</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55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2015</w:t>
            </w:r>
          </w:p>
        </w:tc>
        <w:tc>
          <w:tcPr>
            <w:tcW w:w="1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2014</w:t>
            </w:r>
          </w:p>
        </w:tc>
        <w:tc>
          <w:tcPr>
            <w:tcW w:w="80" w:type="dxa"/>
            <w:vAlign w:val="bottom"/>
            <w:tcBorders>
              <w:bottom w:val="single" w:sz="8" w:color="CFF0FC"/>
            </w:tcBorders>
          </w:tcPr>
          <w:p>
            <w:pPr>
              <w:spacing w:after="0"/>
              <w:rPr>
                <w:sz w:val="14"/>
                <w:szCs w:val="14"/>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56,418,996</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41,462,871</w:t>
            </w:r>
          </w:p>
        </w:tc>
        <w:tc>
          <w:tcPr>
            <w:tcW w:w="80" w:type="dxa"/>
            <w:vAlign w:val="bottom"/>
            <w:shd w:val="clear" w:color="auto" w:fill="CFF0FC"/>
          </w:tcPr>
          <w:p>
            <w:pPr>
              <w:spacing w:after="0"/>
              <w:rPr>
                <w:sz w:val="19"/>
                <w:szCs w:val="19"/>
                <w:color w:val="auto"/>
              </w:rPr>
            </w:pPr>
          </w:p>
        </w:tc>
      </w:tr>
      <w:tr>
        <w:trPr>
          <w:trHeight w:val="215"/>
        </w:trPr>
        <w:tc>
          <w:tcPr>
            <w:tcW w:w="5560" w:type="dxa"/>
            <w:vAlign w:val="bottom"/>
          </w:tcPr>
          <w:p>
            <w:pPr>
              <w:spacing w:after="0"/>
              <w:rPr>
                <w:sz w:val="20"/>
                <w:szCs w:val="20"/>
                <w:color w:val="auto"/>
              </w:rPr>
            </w:pPr>
            <w:r>
              <w:rPr>
                <w:rFonts w:ascii="Arial" w:cs="Arial" w:eastAsia="Arial" w:hAnsi="Arial"/>
                <w:sz w:val="18"/>
                <w:szCs w:val="18"/>
                <w:color w:val="auto"/>
              </w:rPr>
              <w:t>Adjustment from fair value to contract value for fully</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5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benefit-responsive investment contract</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80,132</w:t>
            </w:r>
          </w:p>
        </w:tc>
        <w:tc>
          <w:tcPr>
            <w:tcW w:w="80" w:type="dxa"/>
            <w:vAlign w:val="bottom"/>
            <w:tcBorders>
              <w:bottom w:val="single" w:sz="8" w:color="CFF0FC"/>
            </w:tcBorders>
          </w:tcPr>
          <w:p>
            <w:pPr>
              <w:spacing w:after="0"/>
              <w:rPr>
                <w:sz w:val="20"/>
                <w:szCs w:val="20"/>
                <w:color w:val="auto"/>
              </w:rPr>
            </w:pPr>
          </w:p>
        </w:tc>
      </w:tr>
      <w:tr>
        <w:trPr>
          <w:trHeight w:val="223"/>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assets available for benefits per Form 5500</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56,418,996</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41,543,003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is a reconciliation of net depreciation in fair value of investments, dividend income, and interest income on notes receivable from participants for the year ended December 31, 2015 per the financial statements to Form 5500:</w:t>
      </w:r>
    </w:p>
    <w:p>
      <w:pPr>
        <w:sectPr>
          <w:pgSz w:w="11900" w:h="16838" w:orient="portrait"/>
          <w:cols w:equalWidth="0" w:num="1">
            <w:col w:w="11380"/>
          </w:cols>
          <w:pgMar w:left="240" w:top="139" w:right="279" w:bottom="1440" w:gutter="0" w:footer="0" w:header="0"/>
        </w:sectPr>
      </w:pPr>
    </w:p>
    <w:p>
      <w:pPr>
        <w:spacing w:after="0" w:line="184" w:lineRule="exact"/>
        <w:rPr>
          <w:sz w:val="20"/>
          <w:szCs w:val="20"/>
          <w:color w:val="auto"/>
        </w:rPr>
      </w:pPr>
    </w:p>
    <w:p>
      <w:pPr>
        <w:ind w:left="140" w:right="2068" w:hanging="134"/>
        <w:spacing w:after="0" w:line="258" w:lineRule="auto"/>
        <w:rPr>
          <w:sz w:val="20"/>
          <w:szCs w:val="20"/>
          <w:color w:val="auto"/>
        </w:rPr>
      </w:pPr>
      <w:r>
        <w:rPr>
          <w:rFonts w:ascii="Arial" w:cs="Arial" w:eastAsia="Arial" w:hAnsi="Arial"/>
          <w:sz w:val="18"/>
          <w:szCs w:val="18"/>
          <w:color w:val="auto"/>
        </w:rPr>
        <w:t>Net depreciation in fair value of investments, dividend income, and interest income on notes receivable from participants per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283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ind w:left="140" w:right="2208" w:hanging="134"/>
        <w:spacing w:after="0" w:line="265" w:lineRule="auto"/>
        <w:rPr>
          <w:sz w:val="20"/>
          <w:szCs w:val="20"/>
          <w:color w:val="auto"/>
        </w:rPr>
      </w:pPr>
      <w:r>
        <w:rPr>
          <w:rFonts w:ascii="Arial" w:cs="Arial" w:eastAsia="Arial" w:hAnsi="Arial"/>
          <w:sz w:val="18"/>
          <w:szCs w:val="18"/>
          <w:color w:val="auto"/>
        </w:rPr>
        <w:t>Less: Adjustment from fair value to contract value for fully benefit-responsive investment contracts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ind w:left="140" w:right="2068" w:hanging="134"/>
        <w:spacing w:after="0" w:line="277" w:lineRule="auto"/>
        <w:rPr>
          <w:sz w:val="20"/>
          <w:szCs w:val="20"/>
          <w:color w:val="auto"/>
        </w:rPr>
      </w:pPr>
      <w:r>
        <w:rPr>
          <w:rFonts w:ascii="Arial" w:cs="Arial" w:eastAsia="Arial" w:hAnsi="Arial"/>
          <w:sz w:val="18"/>
          <w:szCs w:val="18"/>
          <w:color w:val="auto"/>
        </w:rPr>
        <w:t>Net depreciation in fair value of investments, dividend income, and interest income on notes receivable from participants per Form 5500</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1212" w:hanging="1212"/>
        <w:spacing w:after="0"/>
        <w:tabs>
          <w:tab w:leader="none" w:pos="1212" w:val="left"/>
        </w:tabs>
        <w:numPr>
          <w:ilvl w:val="0"/>
          <w:numId w:val="4"/>
        </w:numPr>
        <w:rPr>
          <w:rFonts w:ascii="Arial" w:cs="Arial" w:eastAsia="Arial" w:hAnsi="Arial"/>
          <w:sz w:val="16"/>
          <w:szCs w:val="16"/>
          <w:color w:val="auto"/>
        </w:rPr>
      </w:pPr>
      <w:r>
        <w:rPr>
          <w:rFonts w:ascii="Arial" w:cs="Arial" w:eastAsia="Arial" w:hAnsi="Arial"/>
          <w:sz w:val="16"/>
          <w:szCs w:val="16"/>
          <w:color w:val="auto"/>
        </w:rPr>
        <w:t>(327,070)</w:t>
      </w:r>
    </w:p>
    <w:p>
      <w:pPr>
        <w:spacing w:after="0" w:line="261" w:lineRule="exact"/>
        <w:rPr>
          <w:rFonts w:ascii="Arial" w:cs="Arial" w:eastAsia="Arial" w:hAnsi="Arial"/>
          <w:sz w:val="16"/>
          <w:szCs w:val="16"/>
          <w:color w:val="auto"/>
        </w:rPr>
      </w:pPr>
    </w:p>
    <w:p>
      <w:pPr>
        <w:ind w:left="1292"/>
        <w:spacing w:after="0"/>
        <w:rPr>
          <w:rFonts w:ascii="Arial" w:cs="Arial" w:eastAsia="Arial" w:hAnsi="Arial"/>
          <w:sz w:val="16"/>
          <w:szCs w:val="16"/>
          <w:color w:val="auto"/>
        </w:rPr>
      </w:pPr>
      <w:r>
        <w:rPr>
          <w:rFonts w:ascii="Arial" w:cs="Arial" w:eastAsia="Arial" w:hAnsi="Arial"/>
          <w:sz w:val="17"/>
          <w:szCs w:val="17"/>
          <w:color w:val="auto"/>
        </w:rPr>
        <w:t>(80,132)</w:t>
      </w:r>
    </w:p>
    <w:p>
      <w:pPr>
        <w:spacing w:after="0" w:line="264" w:lineRule="exact"/>
        <w:rPr>
          <w:sz w:val="20"/>
          <w:szCs w:val="20"/>
          <w:color w:val="auto"/>
        </w:rPr>
      </w:pPr>
    </w:p>
    <w:p>
      <w:pPr>
        <w:ind w:left="1212" w:hanging="1212"/>
        <w:spacing w:after="0"/>
        <w:tabs>
          <w:tab w:leader="none" w:pos="1212" w:val="left"/>
        </w:tabs>
        <w:numPr>
          <w:ilvl w:val="0"/>
          <w:numId w:val="5"/>
        </w:numPr>
        <w:rPr>
          <w:rFonts w:ascii="Arial" w:cs="Arial" w:eastAsia="Arial" w:hAnsi="Arial"/>
          <w:sz w:val="16"/>
          <w:szCs w:val="16"/>
          <w:color w:val="auto"/>
        </w:rPr>
      </w:pPr>
      <w:r>
        <w:rPr>
          <w:rFonts w:ascii="Arial" w:cs="Arial" w:eastAsia="Arial" w:hAnsi="Arial"/>
          <w:sz w:val="16"/>
          <w:szCs w:val="16"/>
          <w:color w:val="auto"/>
        </w:rPr>
        <w:t>(407,202)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11836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277" w:lineRule="exact"/>
        <w:rPr>
          <w:sz w:val="20"/>
          <w:szCs w:val="20"/>
          <w:color w:val="auto"/>
        </w:rPr>
      </w:pPr>
    </w:p>
    <w:p>
      <w:pPr>
        <w:sectPr>
          <w:pgSz w:w="11900" w:h="16838" w:orient="portrait"/>
          <w:cols w:equalWidth="0" w:num="2">
            <w:col w:w="8728" w:space="720"/>
            <w:col w:w="1932"/>
          </w:cols>
          <w:pgMar w:left="240" w:top="139" w:right="27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39" w:right="27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6"/>
          <w:szCs w:val="16"/>
          <w:color w:val="auto"/>
        </w:rPr>
        <w:t>Destination XL Group, Inc. 401(k) Savings Plan</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Destination XL Group, Inc. 401(k) Savings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04-2623104/Plan Number: 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3"/>
              </w:rPr>
              <w:t>Identity of Issue, Borrower,</w:t>
            </w:r>
          </w:p>
        </w:tc>
        <w:tc>
          <w:tcPr>
            <w:tcW w:w="5200" w:type="dxa"/>
            <w:vAlign w:val="bottom"/>
            <w:gridSpan w:val="2"/>
          </w:tcPr>
          <w:p>
            <w:pPr>
              <w:ind w:left="80"/>
              <w:spacing w:after="0"/>
              <w:rPr>
                <w:sz w:val="20"/>
                <w:szCs w:val="20"/>
                <w:color w:val="auto"/>
              </w:rPr>
            </w:pPr>
            <w:r>
              <w:rPr>
                <w:rFonts w:ascii="Arial" w:cs="Arial" w:eastAsia="Arial" w:hAnsi="Arial"/>
                <w:sz w:val="14"/>
                <w:szCs w:val="14"/>
                <w:b w:val="1"/>
                <w:bCs w:val="1"/>
                <w:color w:val="auto"/>
                <w:w w:val="94"/>
              </w:rPr>
              <w:t>Description of investment including maturity date, rate of interest, collateral, par,</w:t>
            </w:r>
          </w:p>
        </w:tc>
        <w:tc>
          <w:tcPr>
            <w:tcW w:w="5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Shares/Units</w:t>
            </w:r>
          </w:p>
        </w:tc>
        <w:tc>
          <w:tcPr>
            <w:tcW w:w="2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Current Value</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Lessor, or Similar Party</w:t>
            </w:r>
          </w:p>
        </w:tc>
        <w:tc>
          <w:tcPr>
            <w:tcW w:w="510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or maturity value</w:t>
            </w:r>
          </w:p>
        </w:tc>
        <w:tc>
          <w:tcPr>
            <w:tcW w:w="100" w:type="dxa"/>
            <w:vAlign w:val="bottom"/>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Commingled funds held through Fidelity Investments:</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*Fidelity Advisor Stable Value Fund (2)</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8,097,011</w:t>
            </w:r>
          </w:p>
        </w:tc>
        <w:tc>
          <w:tcPr>
            <w:tcW w:w="2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8,097,011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Mutual Funds held through Fidelity Investments:</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20"/>
                <w:szCs w:val="20"/>
                <w:color w:val="auto"/>
              </w:rPr>
            </w:pPr>
          </w:p>
        </w:tc>
        <w:tc>
          <w:tcPr>
            <w:tcW w:w="52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*Fidelity Advisor New Insights I</w:t>
            </w:r>
          </w:p>
        </w:tc>
        <w:tc>
          <w:tcPr>
            <w:tcW w:w="580" w:type="dxa"/>
            <w:vAlign w:val="bottom"/>
            <w:shd w:val="clear" w:color="auto" w:fill="CFF0FC"/>
          </w:tcPr>
          <w:p>
            <w:pPr>
              <w:spacing w:after="0"/>
              <w:rPr>
                <w:sz w:val="20"/>
                <w:szCs w:val="20"/>
                <w:color w:val="auto"/>
              </w:rPr>
            </w:pPr>
          </w:p>
        </w:tc>
        <w:tc>
          <w:tcPr>
            <w:tcW w:w="1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149,251</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3,974,542</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Prudential Jennison Mid Cap Growth Fund</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61,492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2,208,780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19"/>
                <w:szCs w:val="19"/>
                <w:color w:val="auto"/>
              </w:rPr>
            </w:pPr>
          </w:p>
        </w:tc>
        <w:tc>
          <w:tcPr>
            <w:tcW w:w="52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MFS International Value Fund</w:t>
            </w:r>
          </w:p>
        </w:tc>
        <w:tc>
          <w:tcPr>
            <w:tcW w:w="580" w:type="dxa"/>
            <w:vAlign w:val="bottom"/>
            <w:shd w:val="clear" w:color="auto" w:fill="CFF0FC"/>
          </w:tcPr>
          <w:p>
            <w:pPr>
              <w:spacing w:after="0"/>
              <w:rPr>
                <w:sz w:val="19"/>
                <w:szCs w:val="19"/>
                <w:color w:val="auto"/>
              </w:rPr>
            </w:pPr>
          </w:p>
        </w:tc>
        <w:tc>
          <w:tcPr>
            <w:tcW w:w="1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26,465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905,355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Invesco International Growth Fund</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54,487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1,691,831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19"/>
                <w:szCs w:val="19"/>
                <w:color w:val="auto"/>
              </w:rPr>
            </w:pPr>
          </w:p>
        </w:tc>
        <w:tc>
          <w:tcPr>
            <w:tcW w:w="52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Metropolitan West Total Return Bond Fund</w:t>
            </w:r>
          </w:p>
        </w:tc>
        <w:tc>
          <w:tcPr>
            <w:tcW w:w="580" w:type="dxa"/>
            <w:vAlign w:val="bottom"/>
            <w:shd w:val="clear" w:color="auto" w:fill="CFF0FC"/>
          </w:tcPr>
          <w:p>
            <w:pPr>
              <w:spacing w:after="0"/>
              <w:rPr>
                <w:sz w:val="19"/>
                <w:szCs w:val="19"/>
                <w:color w:val="auto"/>
              </w:rPr>
            </w:pPr>
          </w:p>
        </w:tc>
        <w:tc>
          <w:tcPr>
            <w:tcW w:w="1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239,118</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2,539,433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American Century Mid Cap Value Fund</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165,883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2,420,239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19"/>
                <w:szCs w:val="19"/>
                <w:color w:val="auto"/>
              </w:rPr>
            </w:pPr>
          </w:p>
        </w:tc>
        <w:tc>
          <w:tcPr>
            <w:tcW w:w="52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JP Morgan Equity Index Select</w:t>
            </w:r>
          </w:p>
        </w:tc>
        <w:tc>
          <w:tcPr>
            <w:tcW w:w="580" w:type="dxa"/>
            <w:vAlign w:val="bottom"/>
            <w:shd w:val="clear" w:color="auto" w:fill="CFF0FC"/>
          </w:tcPr>
          <w:p>
            <w:pPr>
              <w:spacing w:after="0"/>
              <w:rPr>
                <w:sz w:val="19"/>
                <w:szCs w:val="19"/>
                <w:color w:val="auto"/>
              </w:rPr>
            </w:pPr>
          </w:p>
        </w:tc>
        <w:tc>
          <w:tcPr>
            <w:tcW w:w="1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151,640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5,220,956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Templeton Global Bond Fund</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31,864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367,388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19"/>
                <w:szCs w:val="19"/>
                <w:color w:val="auto"/>
              </w:rPr>
            </w:pPr>
          </w:p>
        </w:tc>
        <w:tc>
          <w:tcPr>
            <w:tcW w:w="52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Goldman Sachs Small Cap Value Fund</w:t>
            </w:r>
          </w:p>
        </w:tc>
        <w:tc>
          <w:tcPr>
            <w:tcW w:w="580" w:type="dxa"/>
            <w:vAlign w:val="bottom"/>
            <w:shd w:val="clear" w:color="auto" w:fill="CFF0FC"/>
          </w:tcPr>
          <w:p>
            <w:pPr>
              <w:spacing w:after="0"/>
              <w:rPr>
                <w:sz w:val="19"/>
                <w:szCs w:val="19"/>
                <w:color w:val="auto"/>
              </w:rPr>
            </w:pPr>
          </w:p>
        </w:tc>
        <w:tc>
          <w:tcPr>
            <w:tcW w:w="1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30,207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1,507,014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American Beacon Bridgeway Large Cap Value Fund</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69,025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1,562,730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19"/>
                <w:szCs w:val="19"/>
                <w:color w:val="auto"/>
              </w:rPr>
            </w:pPr>
          </w:p>
        </w:tc>
        <w:tc>
          <w:tcPr>
            <w:tcW w:w="52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Blackrock Inflation Protected Bond Fund</w:t>
            </w:r>
          </w:p>
        </w:tc>
        <w:tc>
          <w:tcPr>
            <w:tcW w:w="580" w:type="dxa"/>
            <w:vAlign w:val="bottom"/>
            <w:shd w:val="clear" w:color="auto" w:fill="CFF0FC"/>
          </w:tcPr>
          <w:p>
            <w:pPr>
              <w:spacing w:after="0"/>
              <w:rPr>
                <w:sz w:val="19"/>
                <w:szCs w:val="19"/>
                <w:color w:val="auto"/>
              </w:rPr>
            </w:pPr>
          </w:p>
        </w:tc>
        <w:tc>
          <w:tcPr>
            <w:tcW w:w="1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20,707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213,695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JP Morgan Smart Retirement 2055 Fund Select</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28,199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552,411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19"/>
                <w:szCs w:val="19"/>
                <w:color w:val="auto"/>
              </w:rPr>
            </w:pPr>
          </w:p>
        </w:tc>
        <w:tc>
          <w:tcPr>
            <w:tcW w:w="52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JP Morgan Smart Retirement Income Select</w:t>
            </w:r>
          </w:p>
        </w:tc>
        <w:tc>
          <w:tcPr>
            <w:tcW w:w="580" w:type="dxa"/>
            <w:vAlign w:val="bottom"/>
            <w:shd w:val="clear" w:color="auto" w:fill="CFF0FC"/>
          </w:tcPr>
          <w:p>
            <w:pPr>
              <w:spacing w:after="0"/>
              <w:rPr>
                <w:sz w:val="19"/>
                <w:szCs w:val="19"/>
                <w:color w:val="auto"/>
              </w:rPr>
            </w:pPr>
          </w:p>
        </w:tc>
        <w:tc>
          <w:tcPr>
            <w:tcW w:w="1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217,006</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3,673,906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JP Morgan Smart Retirement 2015 Fund Select</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72,631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1,232,556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19"/>
                <w:szCs w:val="19"/>
                <w:color w:val="auto"/>
              </w:rPr>
            </w:pPr>
          </w:p>
        </w:tc>
        <w:tc>
          <w:tcPr>
            <w:tcW w:w="52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JP Morgan Smart Retirement 2020 Fund Select</w:t>
            </w:r>
          </w:p>
        </w:tc>
        <w:tc>
          <w:tcPr>
            <w:tcW w:w="580" w:type="dxa"/>
            <w:vAlign w:val="bottom"/>
            <w:shd w:val="clear" w:color="auto" w:fill="CFF0FC"/>
          </w:tcPr>
          <w:p>
            <w:pPr>
              <w:spacing w:after="0"/>
              <w:rPr>
                <w:sz w:val="19"/>
                <w:szCs w:val="19"/>
                <w:color w:val="auto"/>
              </w:rPr>
            </w:pPr>
          </w:p>
        </w:tc>
        <w:tc>
          <w:tcPr>
            <w:tcW w:w="1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165,815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2,921,664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JP Morgan Smart Retirement 2025 Fund Select</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168,221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2,866,480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19"/>
                <w:szCs w:val="19"/>
                <w:color w:val="auto"/>
              </w:rPr>
            </w:pPr>
          </w:p>
        </w:tc>
        <w:tc>
          <w:tcPr>
            <w:tcW w:w="52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JP Morgan Smart Retirement 2030 Fund Select</w:t>
            </w:r>
          </w:p>
        </w:tc>
        <w:tc>
          <w:tcPr>
            <w:tcW w:w="580" w:type="dxa"/>
            <w:vAlign w:val="bottom"/>
            <w:shd w:val="clear" w:color="auto" w:fill="CFF0FC"/>
          </w:tcPr>
          <w:p>
            <w:pPr>
              <w:spacing w:after="0"/>
              <w:rPr>
                <w:sz w:val="19"/>
                <w:szCs w:val="19"/>
                <w:color w:val="auto"/>
              </w:rPr>
            </w:pPr>
          </w:p>
        </w:tc>
        <w:tc>
          <w:tcPr>
            <w:tcW w:w="1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108,334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1,977,094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JP Morgan Smart Retirement 2035 Fund Select</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197,122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3,445,690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19"/>
                <w:szCs w:val="19"/>
                <w:color w:val="auto"/>
              </w:rPr>
            </w:pPr>
          </w:p>
        </w:tc>
        <w:tc>
          <w:tcPr>
            <w:tcW w:w="52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JP Morgan Smart Retirement 2040 Fund Select</w:t>
            </w:r>
          </w:p>
        </w:tc>
        <w:tc>
          <w:tcPr>
            <w:tcW w:w="580" w:type="dxa"/>
            <w:vAlign w:val="bottom"/>
            <w:shd w:val="clear" w:color="auto" w:fill="CFF0FC"/>
          </w:tcPr>
          <w:p>
            <w:pPr>
              <w:spacing w:after="0"/>
              <w:rPr>
                <w:sz w:val="19"/>
                <w:szCs w:val="19"/>
                <w:color w:val="auto"/>
              </w:rPr>
            </w:pPr>
          </w:p>
        </w:tc>
        <w:tc>
          <w:tcPr>
            <w:tcW w:w="1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127,647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2,381,895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JP Morgan Smart Retirement 2045 Fund Select</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94,488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1,671,492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19"/>
                <w:szCs w:val="19"/>
                <w:color w:val="auto"/>
              </w:rPr>
            </w:pPr>
          </w:p>
        </w:tc>
        <w:tc>
          <w:tcPr>
            <w:tcW w:w="52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JP Morgan Smart Retirement 2050 Fund Select</w:t>
            </w:r>
          </w:p>
        </w:tc>
        <w:tc>
          <w:tcPr>
            <w:tcW w:w="580" w:type="dxa"/>
            <w:vAlign w:val="bottom"/>
            <w:shd w:val="clear" w:color="auto" w:fill="CFF0FC"/>
          </w:tcPr>
          <w:p>
            <w:pPr>
              <w:spacing w:after="0"/>
              <w:rPr>
                <w:sz w:val="19"/>
                <w:szCs w:val="19"/>
                <w:color w:val="auto"/>
              </w:rPr>
            </w:pPr>
          </w:p>
        </w:tc>
        <w:tc>
          <w:tcPr>
            <w:tcW w:w="1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58,902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1,041,383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19"/>
                <w:szCs w:val="19"/>
                <w:color w:val="auto"/>
              </w:rPr>
            </w:pPr>
          </w:p>
        </w:tc>
        <w:tc>
          <w:tcPr>
            <w:tcW w:w="5200" w:type="dxa"/>
            <w:vAlign w:val="bottom"/>
            <w:gridSpan w:val="2"/>
          </w:tcPr>
          <w:p>
            <w:pPr>
              <w:ind w:left="60"/>
              <w:spacing w:after="0"/>
              <w:rPr>
                <w:sz w:val="20"/>
                <w:szCs w:val="20"/>
                <w:color w:val="auto"/>
              </w:rPr>
            </w:pPr>
            <w:r>
              <w:rPr>
                <w:rFonts w:ascii="Arial" w:cs="Arial" w:eastAsia="Arial" w:hAnsi="Arial"/>
                <w:sz w:val="18"/>
                <w:szCs w:val="18"/>
                <w:color w:val="auto"/>
              </w:rPr>
              <w:t>Pimco Income Fund</w:t>
            </w:r>
          </w:p>
        </w:tc>
        <w:tc>
          <w:tcPr>
            <w:tcW w:w="58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70,974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832,526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19"/>
                <w:szCs w:val="19"/>
                <w:color w:val="auto"/>
              </w:rPr>
            </w:pPr>
          </w:p>
        </w:tc>
        <w:tc>
          <w:tcPr>
            <w:tcW w:w="52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Calamos Evolving World Growth Fund</w:t>
            </w:r>
          </w:p>
        </w:tc>
        <w:tc>
          <w:tcPr>
            <w:tcW w:w="580" w:type="dxa"/>
            <w:vAlign w:val="bottom"/>
            <w:shd w:val="clear" w:color="auto" w:fill="CFF0FC"/>
          </w:tcPr>
          <w:p>
            <w:pPr>
              <w:spacing w:after="0"/>
              <w:rPr>
                <w:sz w:val="19"/>
                <w:szCs w:val="19"/>
                <w:color w:val="auto"/>
              </w:rPr>
            </w:pPr>
          </w:p>
        </w:tc>
        <w:tc>
          <w:tcPr>
            <w:tcW w:w="1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3,352</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39,457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53,345,528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 Notes receivable from participants: 4.75%</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1,145,683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54,491,211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*Indicates party-in-interest to the Plan.</w:t>
      </w:r>
    </w:p>
    <w:p>
      <w:pPr>
        <w:spacing w:after="0" w:line="23" w:lineRule="exact"/>
        <w:rPr>
          <w:sz w:val="20"/>
          <w:szCs w:val="20"/>
          <w:color w:val="auto"/>
        </w:rPr>
      </w:pPr>
    </w:p>
    <w:p>
      <w:pPr>
        <w:ind w:left="260" w:hanging="258"/>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information may be omitted for plan assets which are participant-directed.</w:t>
      </w:r>
    </w:p>
    <w:p>
      <w:pPr>
        <w:spacing w:after="0" w:line="22" w:lineRule="exact"/>
        <w:rPr>
          <w:rFonts w:ascii="Arial" w:cs="Arial" w:eastAsia="Arial" w:hAnsi="Arial"/>
          <w:sz w:val="18"/>
          <w:szCs w:val="18"/>
          <w:color w:val="auto"/>
        </w:rPr>
      </w:pPr>
    </w:p>
    <w:p>
      <w:pPr>
        <w:ind w:left="260" w:hanging="258"/>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$73,337 of non-participant-directed, unallocated forfeitures for which historical cost approximates current value.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300" w:top="139" w:right="299" w:bottom="1440" w:gutter="0" w:footer="0" w:header="0"/>
        </w:sectPr>
      </w:pPr>
    </w:p>
    <w:bookmarkStart w:id="14" w:name="page15"/>
    <w:bookmarkEnd w:id="14"/>
    <w:p>
      <w:pPr>
        <w:ind w:left="5060"/>
        <w:spacing w:after="0"/>
        <w:rPr>
          <w:sz w:val="20"/>
          <w:szCs w:val="20"/>
          <w:color w:val="auto"/>
        </w:rPr>
      </w:pPr>
      <w:r>
        <w:rPr>
          <w:rFonts w:ascii="Arial" w:cs="Arial" w:eastAsia="Arial" w:hAnsi="Arial"/>
          <w:sz w:val="16"/>
          <w:szCs w:val="16"/>
          <w:b w:val="1"/>
          <w:bCs w:val="1"/>
          <w:color w:val="auto"/>
        </w:rPr>
        <w:t>Index to Exhibits</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35"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the trustees (or other persons who administer the employee benefit plan) have</w:t>
      </w:r>
      <w:r>
        <w:rPr>
          <w:rFonts w:ascii="Arial" w:cs="Arial" w:eastAsia="Arial" w:hAnsi="Arial"/>
          <w:sz w:val="18"/>
          <w:szCs w:val="18"/>
          <w:i w:val="1"/>
          <w:iCs w:val="1"/>
          <w:color w:val="auto"/>
        </w:rPr>
        <w:t xml:space="preserve"> </w:t>
      </w:r>
      <w:r>
        <w:rPr>
          <w:rFonts w:ascii="Arial" w:cs="Arial" w:eastAsia="Arial" w:hAnsi="Arial"/>
          <w:sz w:val="18"/>
          <w:szCs w:val="18"/>
          <w:color w:val="auto"/>
        </w:rPr>
        <w:t>duly caused this annual report to be signed on its behalf by the undersigned hereunto duly authorized.</w:t>
      </w:r>
    </w:p>
    <w:p>
      <w:pPr>
        <w:spacing w:after="0" w:line="18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Destination XL Group, Inc. 401(k) Savings plan</w:t>
      </w:r>
    </w:p>
    <w:p>
      <w:pPr>
        <w:spacing w:after="0" w:line="15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Peter H. Stratton, Jr.</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Peter H. Stratton, Jr., Senior Vice President and Chief</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Financial Officer of Destination XL Group, Inc., the Plan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Administrator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June 22,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9"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We consent to the incorporation by reference in the Registration Statement (No. 333-112218) on Form S-8 of Destination XL Group, Inc. 401(k) Savings Plan of our report dated June 22, 2016, with respect to the statements of net assets available for benefits of Destination XL Group, Inc. 401(k) Savings Plan as of December 31, 2015 and 2014, the related statement of changes in net assets available for benefits for the year ended December 31, 2015, and the related supplemental schedule as of December 31, 2015, which report appears in the December 31, 2015 annual report on Form 11-K of Destination XL Group, Inc. 401(k) Savings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/s/ Mayer Hoffman McCann CPAs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(The New York Practice of Mayer Hoffman McCann P.C.)</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June 22, 2016</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2019-12-05T20:21:55Z</dcterms:created>
  <dcterms:modified xsi:type="dcterms:W3CDTF">2019-12-05T20:21:55Z</dcterms:modified>
</cp:coreProperties>
</file>