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4, 2011</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On August 4, 2011, Casual Male Retail Group Inc. (the “Company”) held its Annual Meeting. The Company had 48,460,485 shares of common stock outstanding on June 13, 2011, the record date for the Annual Meeting. At the Annual Meeting, holders of 44,927,732 shares of the Company’s common stock were present in person or represented by proxy. Set forth below are the matters submitted at this meeting by the Board of Directors to a vote of stockholders and the final results of the voting for each proposal.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Proposal 1: Election of Directors.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Company’s stockholders elected eight directors to hold office until the 2012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Directors</w:t>
            </w:r>
          </w:p>
        </w:tc>
        <w:tc>
          <w:tcPr>
            <w:tcW w:w="484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Votes FOR</w:t>
            </w:r>
          </w:p>
        </w:tc>
        <w:tc>
          <w:tcPr>
            <w:tcW w:w="1660" w:type="dxa"/>
            <w:vAlign w:val="bottom"/>
            <w:gridSpan w:val="2"/>
          </w:tcPr>
          <w:p>
            <w:pPr>
              <w:spacing w:after="0"/>
              <w:rPr>
                <w:sz w:val="20"/>
                <w:szCs w:val="20"/>
                <w:color w:val="auto"/>
              </w:rPr>
            </w:pPr>
            <w:r>
              <w:rPr>
                <w:rFonts w:ascii="Arial" w:cs="Arial" w:eastAsia="Arial" w:hAnsi="Arial"/>
                <w:sz w:val="14"/>
                <w:szCs w:val="14"/>
                <w:color w:val="auto"/>
              </w:rPr>
              <w:t>Votes WITHHELD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203"/>
        </w:trPr>
        <w:tc>
          <w:tcPr>
            <w:tcW w:w="5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38,056,658</w:t>
            </w:r>
          </w:p>
        </w:tc>
        <w:tc>
          <w:tcPr>
            <w:tcW w:w="6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2,067,321</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4,803,753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38,499,733</w:t>
            </w:r>
          </w:p>
        </w:tc>
        <w:tc>
          <w:tcPr>
            <w:tcW w:w="1060" w:type="dxa"/>
            <w:vAlign w:val="bottom"/>
          </w:tcPr>
          <w:p>
            <w:pPr>
              <w:jc w:val="right"/>
              <w:spacing w:after="0"/>
              <w:rPr>
                <w:sz w:val="20"/>
                <w:szCs w:val="20"/>
                <w:color w:val="auto"/>
              </w:rPr>
            </w:pPr>
            <w:r>
              <w:rPr>
                <w:rFonts w:ascii="Arial" w:cs="Arial" w:eastAsia="Arial" w:hAnsi="Arial"/>
                <w:sz w:val="18"/>
                <w:szCs w:val="18"/>
                <w:color w:val="auto"/>
              </w:rPr>
              <w:t>1,624,246</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39,400,231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723,748</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36,313,772</w:t>
            </w:r>
          </w:p>
        </w:tc>
        <w:tc>
          <w:tcPr>
            <w:tcW w:w="1060" w:type="dxa"/>
            <w:vAlign w:val="bottom"/>
          </w:tcPr>
          <w:p>
            <w:pPr>
              <w:jc w:val="right"/>
              <w:spacing w:after="0"/>
              <w:rPr>
                <w:sz w:val="20"/>
                <w:szCs w:val="20"/>
                <w:color w:val="auto"/>
              </w:rPr>
            </w:pPr>
            <w:r>
              <w:rPr>
                <w:rFonts w:ascii="Arial" w:cs="Arial" w:eastAsia="Arial" w:hAnsi="Arial"/>
                <w:sz w:val="18"/>
                <w:szCs w:val="18"/>
                <w:color w:val="auto"/>
              </w:rPr>
              <w:t>3,810,207</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39,680,010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443,969</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39,600,906</w:t>
            </w:r>
          </w:p>
        </w:tc>
        <w:tc>
          <w:tcPr>
            <w:tcW w:w="1060" w:type="dxa"/>
            <w:vAlign w:val="bottom"/>
          </w:tcPr>
          <w:p>
            <w:pPr>
              <w:jc w:val="right"/>
              <w:spacing w:after="0"/>
              <w:rPr>
                <w:sz w:val="20"/>
                <w:szCs w:val="20"/>
                <w:color w:val="auto"/>
              </w:rPr>
            </w:pPr>
            <w:r>
              <w:rPr>
                <w:rFonts w:ascii="Arial" w:cs="Arial" w:eastAsia="Arial" w:hAnsi="Arial"/>
                <w:sz w:val="18"/>
                <w:szCs w:val="18"/>
                <w:color w:val="auto"/>
              </w:rPr>
              <w:t>523,073</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38,425,945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1,698,034</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shd w:val="clear" w:color="auto" w:fill="CCEEFF"/>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39,402,431</w:t>
            </w:r>
          </w:p>
        </w:tc>
        <w:tc>
          <w:tcPr>
            <w:tcW w:w="1060" w:type="dxa"/>
            <w:vAlign w:val="bottom"/>
          </w:tcPr>
          <w:p>
            <w:pPr>
              <w:jc w:val="right"/>
              <w:spacing w:after="0"/>
              <w:rPr>
                <w:sz w:val="20"/>
                <w:szCs w:val="20"/>
                <w:color w:val="auto"/>
              </w:rPr>
            </w:pPr>
            <w:r>
              <w:rPr>
                <w:rFonts w:ascii="Arial" w:cs="Arial" w:eastAsia="Arial" w:hAnsi="Arial"/>
                <w:sz w:val="18"/>
                <w:szCs w:val="18"/>
                <w:color w:val="auto"/>
              </w:rPr>
              <w:t>721,548</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Proposal 2: Advisory Vote on Compensation of Named 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of the Company’s named executive officers was approved by a non-binding advisory vote based upon the following votes: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680" w:type="dxa"/>
            <w:vAlign w:val="bottom"/>
            <w:gridSpan w:val="2"/>
          </w:tcPr>
          <w:p>
            <w:pPr>
              <w:ind w:left="900"/>
              <w:spacing w:after="0"/>
              <w:rPr>
                <w:sz w:val="20"/>
                <w:szCs w:val="20"/>
                <w:color w:val="auto"/>
              </w:rPr>
            </w:pPr>
            <w:r>
              <w:rPr>
                <w:rFonts w:ascii="Arial" w:cs="Arial" w:eastAsia="Arial" w:hAnsi="Arial"/>
                <w:sz w:val="14"/>
                <w:szCs w:val="14"/>
                <w:color w:val="auto"/>
              </w:rPr>
              <w:t>Votes FOR</w:t>
            </w:r>
          </w:p>
        </w:tc>
        <w:tc>
          <w:tcPr>
            <w:tcW w:w="2320" w:type="dxa"/>
            <w:vAlign w:val="bottom"/>
            <w:gridSpan w:val="2"/>
          </w:tcPr>
          <w:p>
            <w:pPr>
              <w:jc w:val="right"/>
              <w:ind w:right="1400"/>
              <w:spacing w:after="0"/>
              <w:rPr>
                <w:sz w:val="20"/>
                <w:szCs w:val="20"/>
                <w:color w:val="auto"/>
              </w:rPr>
            </w:pPr>
            <w:r>
              <w:rPr>
                <w:rFonts w:ascii="Arial" w:cs="Arial" w:eastAsia="Arial" w:hAnsi="Arial"/>
                <w:sz w:val="14"/>
                <w:szCs w:val="14"/>
                <w:color w:val="auto"/>
                <w:w w:val="88"/>
              </w:rPr>
              <w:t>Votes AGAINST</w:t>
            </w:r>
          </w:p>
        </w:tc>
        <w:tc>
          <w:tcPr>
            <w:tcW w:w="2500" w:type="dxa"/>
            <w:vAlign w:val="bottom"/>
            <w:gridSpan w:val="2"/>
          </w:tcPr>
          <w:p>
            <w:pPr>
              <w:jc w:val="right"/>
              <w:ind w:right="1420"/>
              <w:spacing w:after="0"/>
              <w:rPr>
                <w:sz w:val="20"/>
                <w:szCs w:val="20"/>
                <w:color w:val="auto"/>
              </w:rPr>
            </w:pPr>
            <w:r>
              <w:rPr>
                <w:rFonts w:ascii="Arial" w:cs="Arial" w:eastAsia="Arial" w:hAnsi="Arial"/>
                <w:sz w:val="14"/>
                <w:szCs w:val="14"/>
                <w:color w:val="auto"/>
                <w:w w:val="89"/>
              </w:rPr>
              <w:t>Votes ABSTAINED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88"/>
        </w:trPr>
        <w:tc>
          <w:tcPr>
            <w:tcW w:w="2360" w:type="dxa"/>
            <w:vAlign w:val="bottom"/>
            <w:tcBorders>
              <w:top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39,615,571</w:t>
            </w:r>
          </w:p>
        </w:tc>
        <w:tc>
          <w:tcPr>
            <w:tcW w:w="13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496,053</w:t>
            </w:r>
          </w:p>
        </w:tc>
        <w:tc>
          <w:tcPr>
            <w:tcW w:w="250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12,354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4,803,754</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Proposal 3: Advisory Vote on the Frequency of Stockholder Advisory Votes on the Compensation of the Company’s Named Executive Officers.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Stockholders recommended, by a non-binding advisory vote, for the “one-year” option with respect to holding advisory votes on the compensation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Company’s named executive officers: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20" w:type="dxa"/>
            <w:vAlign w:val="bottom"/>
            <w:gridSpan w:val="2"/>
          </w:tcPr>
          <w:p>
            <w:pPr>
              <w:jc w:val="right"/>
              <w:ind w:right="1880"/>
              <w:spacing w:after="0"/>
              <w:rPr>
                <w:sz w:val="20"/>
                <w:szCs w:val="20"/>
                <w:color w:val="auto"/>
              </w:rPr>
            </w:pPr>
            <w:r>
              <w:rPr>
                <w:rFonts w:ascii="Arial" w:cs="Arial" w:eastAsia="Arial" w:hAnsi="Arial"/>
                <w:sz w:val="14"/>
                <w:szCs w:val="14"/>
                <w:color w:val="auto"/>
              </w:rPr>
              <w:t>Every 1 Year</w:t>
            </w:r>
          </w:p>
        </w:tc>
        <w:tc>
          <w:tcPr>
            <w:tcW w:w="1900" w:type="dxa"/>
            <w:vAlign w:val="bottom"/>
            <w:gridSpan w:val="2"/>
          </w:tcPr>
          <w:p>
            <w:pPr>
              <w:jc w:val="right"/>
              <w:ind w:right="1140"/>
              <w:spacing w:after="0"/>
              <w:rPr>
                <w:sz w:val="20"/>
                <w:szCs w:val="20"/>
                <w:color w:val="auto"/>
              </w:rPr>
            </w:pPr>
            <w:r>
              <w:rPr>
                <w:rFonts w:ascii="Arial" w:cs="Arial" w:eastAsia="Arial" w:hAnsi="Arial"/>
                <w:sz w:val="14"/>
                <w:szCs w:val="14"/>
                <w:color w:val="auto"/>
                <w:w w:val="84"/>
              </w:rPr>
              <w:t>Every 2 Years</w:t>
            </w:r>
          </w:p>
        </w:tc>
        <w:tc>
          <w:tcPr>
            <w:tcW w:w="1880" w:type="dxa"/>
            <w:vAlign w:val="bottom"/>
            <w:gridSpan w:val="2"/>
          </w:tcPr>
          <w:p>
            <w:pPr>
              <w:jc w:val="right"/>
              <w:ind w:right="1120"/>
              <w:spacing w:after="0"/>
              <w:rPr>
                <w:sz w:val="20"/>
                <w:szCs w:val="20"/>
                <w:color w:val="auto"/>
              </w:rPr>
            </w:pPr>
            <w:r>
              <w:rPr>
                <w:rFonts w:ascii="Arial" w:cs="Arial" w:eastAsia="Arial" w:hAnsi="Arial"/>
                <w:sz w:val="14"/>
                <w:szCs w:val="14"/>
                <w:color w:val="auto"/>
                <w:w w:val="84"/>
              </w:rPr>
              <w:t>Every 3 Years</w:t>
            </w:r>
          </w:p>
        </w:tc>
        <w:tc>
          <w:tcPr>
            <w:tcW w:w="2220" w:type="dxa"/>
            <w:vAlign w:val="bottom"/>
            <w:gridSpan w:val="2"/>
          </w:tcPr>
          <w:p>
            <w:pPr>
              <w:jc w:val="right"/>
              <w:ind w:right="1140"/>
              <w:spacing w:after="0"/>
              <w:rPr>
                <w:sz w:val="20"/>
                <w:szCs w:val="20"/>
                <w:color w:val="auto"/>
              </w:rPr>
            </w:pPr>
            <w:r>
              <w:rPr>
                <w:rFonts w:ascii="Arial" w:cs="Arial" w:eastAsia="Arial" w:hAnsi="Arial"/>
                <w:sz w:val="14"/>
                <w:szCs w:val="14"/>
                <w:color w:val="auto"/>
                <w:w w:val="89"/>
              </w:rPr>
              <w:t>Votes ABSTAINED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88"/>
        </w:trPr>
        <w:tc>
          <w:tcPr>
            <w:tcW w:w="2380" w:type="dxa"/>
            <w:vAlign w:val="bottom"/>
            <w:tcBorders>
              <w:top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34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37,537,071</w:t>
            </w:r>
          </w:p>
        </w:tc>
        <w:tc>
          <w:tcPr>
            <w:tcW w:w="19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43,688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2,526,262</w:t>
            </w:r>
          </w:p>
        </w:tc>
        <w:tc>
          <w:tcPr>
            <w:tcW w:w="11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16,958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4,803,753</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80"/>
          </w:cols>
          <w:pgMar w:left="240" w:top="274" w:right="379" w:bottom="1440" w:gutter="0" w:footer="0" w:header="0"/>
        </w:sectPr>
      </w:pPr>
    </w:p>
    <w:bookmarkStart w:id="2" w:name="page3"/>
    <w:bookmarkEnd w:id="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 Ratification of Appointment of Independent Registered Public Accountants.</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appointment of Ernst &amp; Young LLP as the Company’s independent registered public accounting firm for fiscal year ending January 28, 2012 was ratified based on the following votes: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720" w:type="dxa"/>
            <w:vAlign w:val="bottom"/>
          </w:tcPr>
          <w:p>
            <w:pPr>
              <w:jc w:val="right"/>
              <w:ind w:right="982"/>
              <w:spacing w:after="0"/>
              <w:rPr>
                <w:sz w:val="20"/>
                <w:szCs w:val="20"/>
                <w:color w:val="auto"/>
              </w:rPr>
            </w:pPr>
            <w:r>
              <w:rPr>
                <w:rFonts w:ascii="Arial" w:cs="Arial" w:eastAsia="Arial" w:hAnsi="Arial"/>
                <w:sz w:val="14"/>
                <w:szCs w:val="14"/>
                <w:color w:val="auto"/>
              </w:rPr>
              <w:t>Votes FOR</w:t>
            </w:r>
          </w:p>
        </w:tc>
        <w:tc>
          <w:tcPr>
            <w:tcW w:w="2800" w:type="dxa"/>
            <w:vAlign w:val="bottom"/>
            <w:gridSpan w:val="2"/>
          </w:tcPr>
          <w:p>
            <w:pPr>
              <w:jc w:val="right"/>
              <w:ind w:right="20"/>
              <w:spacing w:after="0"/>
              <w:rPr>
                <w:sz w:val="20"/>
                <w:szCs w:val="20"/>
                <w:color w:val="auto"/>
              </w:rPr>
            </w:pPr>
            <w:r>
              <w:rPr>
                <w:rFonts w:ascii="Arial" w:cs="Arial" w:eastAsia="Arial" w:hAnsi="Arial"/>
                <w:sz w:val="14"/>
                <w:szCs w:val="14"/>
                <w:color w:val="auto"/>
              </w:rPr>
              <w:t>Votes AGAINST</w:t>
            </w:r>
          </w:p>
        </w:tc>
        <w:tc>
          <w:tcPr>
            <w:tcW w:w="3160" w:type="dxa"/>
            <w:vAlign w:val="bottom"/>
            <w:gridSpan w:val="3"/>
          </w:tcPr>
          <w:p>
            <w:pPr>
              <w:jc w:val="right"/>
              <w:ind w:right="100"/>
              <w:spacing w:after="0"/>
              <w:rPr>
                <w:sz w:val="20"/>
                <w:szCs w:val="20"/>
                <w:color w:val="auto"/>
              </w:rPr>
            </w:pPr>
            <w:r>
              <w:rPr>
                <w:rFonts w:ascii="Arial" w:cs="Arial" w:eastAsia="Arial" w:hAnsi="Arial"/>
                <w:sz w:val="14"/>
                <w:szCs w:val="14"/>
                <w:color w:val="auto"/>
              </w:rPr>
              <w:t>Votes ABSTAINED</w:t>
            </w:r>
          </w:p>
        </w:tc>
      </w:tr>
      <w:tr>
        <w:trPr>
          <w:trHeight w:val="88"/>
        </w:trPr>
        <w:tc>
          <w:tcPr>
            <w:tcW w:w="2720" w:type="dxa"/>
            <w:vAlign w:val="bottom"/>
            <w:tcBorders>
              <w:top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43,506,564</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1,391,772</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29,396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Consistent with the recommendation of the Board of Directors and the outcome of the non-binding advisory vote of the stockholders on the frequency of an advisory vote on executive compensation, the Company has determined it will include a non-binding advisory stockholder vote on the compensation of the Company’s named executive officers in its proxy materials every year until the next required vote on the frequency of stockholder votes on the compensation of its named executive officers.</w:t>
      </w:r>
    </w:p>
    <w:p>
      <w:pPr>
        <w:sectPr>
          <w:pgSz w:w="11900" w:h="16838" w:orient="portrait"/>
          <w:cols w:equalWidth="0" w:num="1">
            <w:col w:w="11240"/>
          </w:cols>
          <w:pgMar w:left="240" w:top="280"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-13970</wp:posOffset>
            </wp:positionV>
            <wp:extent cx="11087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Name: Dennis R. Hernreich</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2011</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2019-12-10T07:37:11Z</dcterms:created>
  <dcterms:modified xsi:type="dcterms:W3CDTF">2019-12-10T07:37:11Z</dcterms:modified>
</cp:coreProperties>
</file>