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MESDAG WILLEM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60"/>
        <w:spacing w:after="0" w:line="292" w:lineRule="auto"/>
        <w:rPr>
          <w:sz w:val="20"/>
          <w:szCs w:val="20"/>
          <w:color w:val="auto"/>
        </w:rPr>
      </w:pPr>
      <w:r>
        <w:rPr>
          <w:rFonts w:ascii="Arial" w:cs="Arial" w:eastAsia="Arial" w:hAnsi="Arial"/>
          <w:sz w:val="17"/>
          <w:szCs w:val="17"/>
          <w:color w:val="0000FF"/>
        </w:rPr>
        <w:t>C/O RED MOUNTAIN CAPITAL MANAGEMENT,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1999 AVENUE OF THE STARS, STE 1100</w:t>
      </w:r>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40" w:type="dxa"/>
            <w:vAlign w:val="bottom"/>
          </w:tcPr>
          <w:p>
            <w:pPr>
              <w:ind w:left="40"/>
              <w:spacing w:after="0"/>
              <w:rPr>
                <w:sz w:val="20"/>
                <w:szCs w:val="20"/>
                <w:color w:val="auto"/>
              </w:rPr>
            </w:pPr>
            <w:r>
              <w:rPr>
                <w:rFonts w:ascii="Arial" w:cs="Arial" w:eastAsia="Arial" w:hAnsi="Arial"/>
                <w:sz w:val="17"/>
                <w:szCs w:val="17"/>
                <w:color w:val="0000FF"/>
              </w:rPr>
              <w:t>LOS</w:t>
            </w:r>
          </w:p>
        </w:tc>
        <w:tc>
          <w:tcPr>
            <w:tcW w:w="96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0000FF"/>
              </w:rPr>
              <w:t>90067</w:t>
            </w:r>
          </w:p>
        </w:tc>
        <w:tc>
          <w:tcPr>
            <w:tcW w:w="0" w:type="dxa"/>
            <w:vAlign w:val="bottom"/>
          </w:tcPr>
          <w:p>
            <w:pPr>
              <w:spacing w:after="0"/>
              <w:rPr>
                <w:sz w:val="1"/>
                <w:szCs w:val="1"/>
                <w:color w:val="auto"/>
              </w:rPr>
            </w:pPr>
          </w:p>
        </w:tc>
      </w:tr>
      <w:tr>
        <w:trPr>
          <w:trHeight w:val="114"/>
        </w:trPr>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ANGELES</w:t>
            </w:r>
          </w:p>
        </w:tc>
        <w:tc>
          <w:tcPr>
            <w:tcW w:w="9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05/03/2021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00" w:space="640"/>
            <w:col w:w="7240"/>
          </w:cols>
          <w:pgMar w:left="460" w:top="225" w:right="359" w:bottom="0" w:gutter="0" w:footer="0" w:header="0"/>
          <w:type w:val="continuous"/>
        </w:sectPr>
      </w:pPr>
    </w:p>
    <w:p>
      <w:pPr>
        <w:spacing w:after="0" w:line="7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54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05/03/2021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780" w:type="dxa"/>
            <w:vAlign w:val="bottom"/>
            <w:vMerge w:val="restart"/>
          </w:tcPr>
          <w:p>
            <w:pPr>
              <w:ind w:left="100"/>
              <w:spacing w:after="0"/>
              <w:rPr>
                <w:sz w:val="20"/>
                <w:szCs w:val="20"/>
                <w:color w:val="auto"/>
              </w:rPr>
            </w:pPr>
            <w:r>
              <w:rPr>
                <w:rFonts w:ascii="Arial" w:cs="Arial" w:eastAsia="Arial" w:hAnsi="Arial"/>
                <w:sz w:val="17"/>
                <w:szCs w:val="17"/>
                <w:color w:val="0000FF"/>
                <w:w w:val="94"/>
              </w:rPr>
              <w:t>20,161</w:t>
            </w:r>
            <w:r>
              <w:rPr>
                <w:rFonts w:ascii="Arial" w:cs="Arial" w:eastAsia="Arial" w:hAnsi="Arial"/>
                <w:sz w:val="22"/>
                <w:szCs w:val="22"/>
                <w:color w:val="008000"/>
                <w:w w:val="94"/>
                <w:vertAlign w:val="superscript"/>
              </w:rPr>
              <w:t>(1)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1.55</w:t>
            </w:r>
          </w:p>
        </w:tc>
        <w:tc>
          <w:tcPr>
            <w:tcW w:w="1280" w:type="dxa"/>
            <w:vAlign w:val="bottom"/>
            <w:gridSpan w:val="3"/>
            <w:vMerge w:val="restart"/>
          </w:tcPr>
          <w:p>
            <w:pPr>
              <w:ind w:left="240"/>
              <w:spacing w:after="0"/>
              <w:rPr>
                <w:sz w:val="20"/>
                <w:szCs w:val="20"/>
                <w:color w:val="auto"/>
              </w:rPr>
            </w:pPr>
            <w:r>
              <w:rPr>
                <w:rFonts w:ascii="Arial" w:cs="Arial" w:eastAsia="Arial" w:hAnsi="Arial"/>
                <w:sz w:val="17"/>
                <w:szCs w:val="17"/>
                <w:color w:val="0000FF"/>
              </w:rPr>
              <w:t>8,785,800</w:t>
            </w:r>
            <w:r>
              <w:rPr>
                <w:rFonts w:ascii="Arial" w:cs="Arial" w:eastAsia="Arial" w:hAnsi="Arial"/>
                <w:sz w:val="22"/>
                <w:szCs w:val="22"/>
                <w:color w:val="008000"/>
                <w:vertAlign w:val="superscript"/>
              </w:rPr>
              <w:t>(2)</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80" w:type="dxa"/>
            <w:vAlign w:val="bottom"/>
            <w:gridSpan w:val="17"/>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 w:type="dxa"/>
            <w:vAlign w:val="bottom"/>
          </w:tcPr>
          <w:p>
            <w:pPr>
              <w:spacing w:after="0"/>
              <w:rPr>
                <w:sz w:val="13"/>
                <w:szCs w:val="13"/>
                <w:color w:val="auto"/>
              </w:rPr>
            </w:pPr>
          </w:p>
        </w:tc>
        <w:tc>
          <w:tcPr>
            <w:tcW w:w="36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17"/>
                <w:szCs w:val="17"/>
                <w:color w:val="0000FF"/>
              </w:rPr>
              <w:t>C/O RED MOUNTAIN CAPITAL MANAGEMENT, INC</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1999 AVENUE OF THE STARS, STE 1100</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gridSpan w:val="11"/>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RED MOUNTAIN CAPITAL PARTNERS LLC</w:t>
              </w:r>
            </w:hyperlink>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1999 AVENUE OF THE STARS</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1100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line="238" w:lineRule="auto"/>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w:t>
        </w:r>
      </w:hyperlink>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MANAGEMENT INC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380" w:type="dxa"/>
            <w:vAlign w:val="bottom"/>
            <w:tcBorders>
              <w:bottom w:val="single" w:sz="8" w:color="0000EE"/>
            </w:tcBorders>
          </w:tcPr>
          <w:p>
            <w:pPr>
              <w:spacing w:after="0" w:line="221" w:lineRule="exact"/>
              <w:rPr>
                <w:rFonts w:ascii="Arial" w:cs="Arial" w:eastAsia="Arial" w:hAnsi="Arial"/>
                <w:sz w:val="21"/>
                <w:szCs w:val="21"/>
                <w:color w:val="0000EE"/>
                <w:w w:val="95"/>
              </w:rPr>
            </w:pPr>
            <w:hyperlink r:id="rId17">
              <w:r>
                <w:rPr>
                  <w:rFonts w:ascii="Arial" w:cs="Arial" w:eastAsia="Arial" w:hAnsi="Arial"/>
                  <w:sz w:val="21"/>
                  <w:szCs w:val="21"/>
                  <w:color w:val="0000EE"/>
                  <w:w w:val="95"/>
                </w:rPr>
                <w:t>RMCP GP LLC</w:t>
              </w:r>
            </w:hyperlink>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860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8609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SUITE 1100</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24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issued pursuant to the Director's elected form of compensation for quarterly annual retainer and committee chairperson fee under the exemption afforded by Rule 16b-3 of the Securities Exchange Act of 1934, as amended.</w:t>
      </w:r>
    </w:p>
    <w:p>
      <w:pPr>
        <w:spacing w:after="0" w:line="15" w:lineRule="exact"/>
        <w:rPr>
          <w:rFonts w:ascii="Arial" w:cs="Arial" w:eastAsia="Arial" w:hAnsi="Arial"/>
          <w:sz w:val="13"/>
          <w:szCs w:val="13"/>
          <w:color w:val="008000"/>
        </w:rPr>
      </w:pPr>
    </w:p>
    <w:p>
      <w:pPr>
        <w:ind w:left="20" w:firstLine="7"/>
        <w:spacing w:after="0" w:line="25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1,263,446 shares are held directly by Red Mountain Capital Partners LLC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w:t>
      </w:r>
    </w:p>
    <w:p>
      <w:pPr>
        <w:spacing w:after="0" w:line="1" w:lineRule="exact"/>
        <w:rPr>
          <w:rFonts w:ascii="Arial" w:cs="Arial" w:eastAsia="Arial" w:hAnsi="Arial"/>
          <w:sz w:val="12"/>
          <w:szCs w:val="12"/>
          <w:color w:val="008000"/>
        </w:rPr>
      </w:pPr>
    </w:p>
    <w:p>
      <w:pPr>
        <w:ind w:left="20"/>
        <w:spacing w:after="0"/>
        <w:rPr>
          <w:rFonts w:ascii="Arial" w:cs="Arial" w:eastAsia="Arial" w:hAnsi="Arial"/>
          <w:sz w:val="12"/>
          <w:szCs w:val="12"/>
          <w:color w:val="008000"/>
        </w:rPr>
      </w:pPr>
      <w:r>
        <w:rPr>
          <w:rFonts w:ascii="Arial" w:cs="Arial" w:eastAsia="Arial" w:hAnsi="Arial"/>
          <w:sz w:val="13"/>
          <w:szCs w:val="13"/>
          <w:color w:val="008000"/>
        </w:rPr>
        <w:t>RMCP LLC.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jc w:val="both"/>
        <w:ind w:left="20" w:right="260"/>
        <w:spacing w:after="0" w:line="250" w:lineRule="auto"/>
        <w:rPr>
          <w:sz w:val="20"/>
          <w:szCs w:val="20"/>
          <w:color w:val="auto"/>
        </w:rPr>
      </w:pPr>
      <w:r>
        <w:rPr>
          <w:rFonts w:ascii="Arial" w:cs="Arial" w:eastAsia="Arial" w:hAnsi="Arial"/>
          <w:sz w:val="13"/>
          <w:szCs w:val="13"/>
          <w:color w:val="008000"/>
        </w:rPr>
        <w:t>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6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05/05/2021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7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588" TargetMode="External"/><Relationship Id="rId16" Type="http://schemas.openxmlformats.org/officeDocument/2006/relationships/hyperlink" Target="http://www.sec.gov/cgi-bin/browse-edgar?action=getcompany&amp;CIK=0001374607" TargetMode="External"/><Relationship Id="rId17" Type="http://schemas.openxmlformats.org/officeDocument/2006/relationships/hyperlink" Target="http://www.sec.gov/cgi-bin/browse-edgar?action=getcompany&amp;CIK=0001374606"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2021-05-05T16:14:11Z</dcterms:created>
  <dcterms:modified xsi:type="dcterms:W3CDTF">2021-05-05T16:14:11Z</dcterms:modified>
</cp:coreProperties>
</file>