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19"/>
        <w:spacing w:after="0"/>
        <w:rPr>
          <w:sz w:val="20"/>
          <w:szCs w:val="20"/>
          <w:color w:val="auto"/>
        </w:rPr>
      </w:pPr>
      <w:r>
        <w:rPr>
          <w:rFonts w:ascii="Courier New" w:cs="Courier New" w:eastAsia="Courier New" w:hAnsi="Courier New"/>
          <w:sz w:val="16"/>
          <w:szCs w:val="16"/>
          <w:color w:val="auto"/>
        </w:rPr>
        <w:t>Filed Pursuant to Rule 424(b)(3)</w:t>
      </w:r>
    </w:p>
    <w:p>
      <w:pPr>
        <w:jc w:val="right"/>
        <w:ind w:right="2719"/>
        <w:spacing w:after="0"/>
        <w:rPr>
          <w:sz w:val="20"/>
          <w:szCs w:val="20"/>
          <w:color w:val="auto"/>
        </w:rPr>
      </w:pPr>
      <w:r>
        <w:rPr>
          <w:rFonts w:ascii="Courier New" w:cs="Courier New" w:eastAsia="Courier New" w:hAnsi="Courier New"/>
          <w:sz w:val="16"/>
          <w:szCs w:val="16"/>
          <w:color w:val="auto"/>
        </w:rPr>
        <w:t>Registration No. 333-112598</w:t>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 NO. 4</w:t>
      </w:r>
    </w:p>
    <w:p>
      <w:pPr>
        <w:spacing w:after="0"/>
        <w:rPr>
          <w:sz w:val="20"/>
          <w:szCs w:val="20"/>
          <w:color w:val="auto"/>
        </w:rPr>
      </w:pPr>
      <w:r>
        <w:rPr>
          <w:rFonts w:ascii="Courier New" w:cs="Courier New" w:eastAsia="Courier New" w:hAnsi="Courier New"/>
          <w:sz w:val="16"/>
          <w:szCs w:val="16"/>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CASUAL MALE RETAIL GROUP, INC.</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$100,000,000 Principal Amount of</w:t>
      </w:r>
    </w:p>
    <w:p>
      <w:pPr>
        <w:jc w:val="center"/>
        <w:ind w:right="2719"/>
        <w:spacing w:after="0"/>
        <w:rPr>
          <w:sz w:val="20"/>
          <w:szCs w:val="20"/>
          <w:color w:val="auto"/>
        </w:rPr>
      </w:pPr>
      <w:r>
        <w:rPr>
          <w:rFonts w:ascii="Courier New" w:cs="Courier New" w:eastAsia="Courier New" w:hAnsi="Courier New"/>
          <w:sz w:val="16"/>
          <w:szCs w:val="16"/>
          <w:color w:val="auto"/>
        </w:rPr>
        <w:t>5% Convertible Subordinated Notes Due 2024</w:t>
      </w:r>
    </w:p>
    <w:p>
      <w:pPr>
        <w:jc w:val="center"/>
        <w:ind w:right="2619"/>
        <w:spacing w:after="0" w:line="237" w:lineRule="auto"/>
        <w:rPr>
          <w:sz w:val="20"/>
          <w:szCs w:val="20"/>
          <w:color w:val="auto"/>
        </w:rPr>
      </w:pPr>
      <w:r>
        <w:rPr>
          <w:rFonts w:ascii="Courier New" w:cs="Courier New" w:eastAsia="Courier New" w:hAnsi="Courier New"/>
          <w:sz w:val="16"/>
          <w:szCs w:val="16"/>
          <w:color w:val="auto"/>
        </w:rPr>
        <w:t>and</w:t>
      </w:r>
    </w:p>
    <w:p>
      <w:pPr>
        <w:jc w:val="center"/>
        <w:ind w:right="2719"/>
        <w:spacing w:after="0"/>
        <w:rPr>
          <w:sz w:val="20"/>
          <w:szCs w:val="20"/>
          <w:color w:val="auto"/>
        </w:rPr>
      </w:pPr>
      <w:r>
        <w:rPr>
          <w:rFonts w:ascii="Courier New" w:cs="Courier New" w:eastAsia="Courier New" w:hAnsi="Courier New"/>
          <w:sz w:val="16"/>
          <w:szCs w:val="16"/>
          <w:color w:val="auto"/>
        </w:rPr>
        <w:t>Shares of Common Stock Issuable Upon Conversion of the Notes</w:t>
      </w:r>
    </w:p>
    <w:p>
      <w:pPr>
        <w:ind w:left="3000"/>
        <w:spacing w:after="0" w:line="238" w:lineRule="auto"/>
        <w:rPr>
          <w:sz w:val="20"/>
          <w:szCs w:val="20"/>
          <w:color w:val="auto"/>
        </w:rPr>
      </w:pPr>
      <w:r>
        <w:rPr>
          <w:rFonts w:ascii="Courier New" w:cs="Courier New" w:eastAsia="Courier New" w:hAnsi="Courier New"/>
          <w:sz w:val="16"/>
          <w:szCs w:val="16"/>
          <w:color w:val="auto"/>
        </w:rPr>
        <w:t>_________________</w:t>
      </w:r>
    </w:p>
    <w:p>
      <w:pPr>
        <w:spacing w:after="0" w:line="185" w:lineRule="exact"/>
        <w:rPr>
          <w:sz w:val="24"/>
          <w:szCs w:val="24"/>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87" w:lineRule="exact"/>
        <w:rPr>
          <w:sz w:val="24"/>
          <w:szCs w:val="24"/>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185" w:lineRule="exact"/>
        <w:rPr>
          <w:sz w:val="24"/>
          <w:szCs w:val="24"/>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Investing in the notes or the common stock offered by the prospectus involves risks that are described in the "Risk Factors" section beginning on page 8 of the prospectus.</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_________________</w:t>
      </w:r>
    </w:p>
    <w:p>
      <w:pPr>
        <w:spacing w:after="0" w:line="185" w:lineRule="exact"/>
        <w:rPr>
          <w:sz w:val="24"/>
          <w:szCs w:val="24"/>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181"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_________________</w:t>
      </w:r>
    </w:p>
    <w:p>
      <w:pPr>
        <w:spacing w:after="0" w:line="179"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The date of this prospectus supplement is September 20 2004.</w:t>
      </w:r>
    </w:p>
    <w:p>
      <w:pPr>
        <w:spacing w:after="0" w:line="185" w:lineRule="exact"/>
        <w:rPr>
          <w:sz w:val="24"/>
          <w:szCs w:val="24"/>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information in the table appearing under the heading "Selling Securityholders" beginning on page 46 of the prospectus is amended by adding the information below with respect</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to persons not previously listed in the prospectus, and by superceding the information with respect to persons listed in the prospectus that are listed below.</w:t>
      </w:r>
    </w:p>
    <w:p>
      <w:pPr>
        <w:spacing w:after="0" w:line="185" w:lineRule="exact"/>
        <w:rPr>
          <w:sz w:val="24"/>
          <w:szCs w:val="24"/>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following table sets forth certain information as of August 31,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33" w:right="1440" w:bottom="552"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Other Shares</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of Common</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Stock</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Aggregate</w:t>
            </w:r>
          </w:p>
        </w:tc>
        <w:tc>
          <w:tcPr>
            <w:tcW w:w="1580" w:type="dxa"/>
            <w:vAlign w:val="bottom"/>
          </w:tcPr>
          <w:p>
            <w:pPr>
              <w:spacing w:after="0"/>
              <w:rPr>
                <w:sz w:val="15"/>
                <w:szCs w:val="15"/>
                <w:color w:val="auto"/>
              </w:rPr>
            </w:pP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Shares of</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Beneficially</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Principal</w:t>
            </w:r>
          </w:p>
        </w:tc>
        <w:tc>
          <w:tcPr>
            <w:tcW w:w="1580" w:type="dxa"/>
            <w:vAlign w:val="bottom"/>
          </w:tcPr>
          <w:p>
            <w:pPr>
              <w:spacing w:after="0"/>
              <w:rPr>
                <w:sz w:val="15"/>
                <w:szCs w:val="15"/>
                <w:color w:val="auto"/>
              </w:rPr>
            </w:pP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Owned Before</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Amount of</w:t>
            </w:r>
          </w:p>
        </w:tc>
        <w:tc>
          <w:tcPr>
            <w:tcW w:w="1580" w:type="dxa"/>
            <w:vAlign w:val="bottom"/>
          </w:tcPr>
          <w:p>
            <w:pPr>
              <w:spacing w:after="0"/>
              <w:rPr>
                <w:sz w:val="15"/>
                <w:szCs w:val="15"/>
                <w:color w:val="auto"/>
              </w:rPr>
            </w:pP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Issuable</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the Offering</w:t>
            </w: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Notes</w:t>
            </w:r>
          </w:p>
        </w:tc>
        <w:tc>
          <w:tcPr>
            <w:tcW w:w="1580" w:type="dxa"/>
            <w:vAlign w:val="bottom"/>
          </w:tcPr>
          <w:p>
            <w:pPr>
              <w:ind w:left="8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Upon</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and Assumed</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Percentage of</w:t>
            </w: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ind w:left="80"/>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Conversion</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to be Owned</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366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Owned and</w:t>
            </w:r>
          </w:p>
        </w:tc>
        <w:tc>
          <w:tcPr>
            <w:tcW w:w="1580" w:type="dxa"/>
            <w:vAlign w:val="bottom"/>
          </w:tcPr>
          <w:p>
            <w:pPr>
              <w:ind w:left="8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of the Notes</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Following the</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Outstanding</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Offered</w:t>
            </w:r>
          </w:p>
        </w:tc>
        <w:tc>
          <w:tcPr>
            <w:tcW w:w="158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Offering</w:t>
            </w: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32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Argent Classic Convertible Arbitrage</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Fund (Bermuda) Limited(1)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4,880,000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4.9%</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458,232</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1.3%</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DBAG London(2)</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7,765,000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7.8%</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729,134</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2.1%</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Deutsche Bank Securities Inc.(3)</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1,750,000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1.8%</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164,325</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Inflective Convertible Opportunity</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Fund I, L.P.(4)</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18,780</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Thomas Weisel Partners(5)</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18,780</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Wachovia Capital Markets LLC(6)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4,725,000</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4.7%</w:t>
            </w:r>
          </w:p>
        </w:tc>
        <w:tc>
          <w:tcPr>
            <w:tcW w:w="16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443,678</w:t>
            </w:r>
          </w:p>
        </w:tc>
        <w:tc>
          <w:tcPr>
            <w:tcW w:w="1680" w:type="dxa"/>
            <w:vAlign w:val="bottom"/>
          </w:tcPr>
          <w:p>
            <w:pPr>
              <w:ind w:left="420"/>
              <w:spacing w:after="0"/>
              <w:rPr>
                <w:sz w:val="20"/>
                <w:szCs w:val="20"/>
                <w:color w:val="auto"/>
              </w:rPr>
            </w:pPr>
            <w:r>
              <w:rPr>
                <w:rFonts w:ascii="Courier New" w:cs="Courier New" w:eastAsia="Courier New" w:hAnsi="Courier New"/>
                <w:sz w:val="16"/>
                <w:szCs w:val="16"/>
                <w:color w:val="auto"/>
              </w:rPr>
              <w:t>None</w:t>
            </w:r>
          </w:p>
        </w:tc>
        <w:tc>
          <w:tcPr>
            <w:tcW w:w="1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1.3%</w:t>
            </w:r>
          </w:p>
        </w:tc>
      </w:tr>
      <w:tr>
        <w:trPr>
          <w:trHeight w:val="541"/>
        </w:trPr>
        <w:tc>
          <w:tcPr>
            <w:tcW w:w="3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4" w:lineRule="exact"/>
        <w:rPr>
          <w:sz w:val="20"/>
          <w:szCs w:val="20"/>
          <w:color w:val="auto"/>
        </w:rPr>
      </w:pPr>
    </w:p>
    <w:p>
      <w:pPr>
        <w:ind w:left="4" w:right="4020" w:hanging="4"/>
        <w:spacing w:after="0" w:line="238" w:lineRule="auto"/>
        <w:tabs>
          <w:tab w:leader="none" w:pos="37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Cox and Allan Marshall are the controlling shareholders of Argent Classic Convertible Arbitrage Fund (Bermuda) Limited. Argent International Management Company, LLC is the investment advisor to Argent Classic Convertible Arbitrage Fund (Bermuda) Limited with respect to the securities listed on the table. Nathanial Braun and Robert Richardson exercise voting and investment power over such securities on behalf of Argent International Management Company, LLC.</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 Azzi exercises voting and investment power over such securities on</w:t>
      </w:r>
    </w:p>
    <w:p>
      <w:pPr>
        <w:spacing w:after="0" w:line="4" w:lineRule="exact"/>
        <w:rPr>
          <w:rFonts w:ascii="Courier New" w:cs="Courier New" w:eastAsia="Courier New" w:hAnsi="Courier New"/>
          <w:sz w:val="16"/>
          <w:szCs w:val="16"/>
          <w:color w:val="auto"/>
        </w:rPr>
      </w:pPr>
    </w:p>
    <w:p>
      <w:pPr>
        <w:ind w:left="4" w:right="42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behalf of DBAG London. DBAG London is affiliated with Deutsche Bank Securities Inc., a registered broker-dealer.</w:t>
      </w:r>
    </w:p>
    <w:p>
      <w:pPr>
        <w:spacing w:after="0" w:line="184" w:lineRule="exact"/>
        <w:rPr>
          <w:rFonts w:ascii="Courier New" w:cs="Courier New" w:eastAsia="Courier New" w:hAnsi="Courier New"/>
          <w:sz w:val="16"/>
          <w:szCs w:val="16"/>
          <w:color w:val="auto"/>
        </w:rPr>
      </w:pPr>
    </w:p>
    <w:p>
      <w:pPr>
        <w:ind w:left="4" w:right="4200" w:hanging="4"/>
        <w:spacing w:after="0" w:line="263" w:lineRule="auto"/>
        <w:tabs>
          <w:tab w:leader="none" w:pos="37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Sullivan exercises voting and investment power over such securities on behalf of Deutsche Bank Securities Inc., a registered broker-dealer.</w:t>
      </w:r>
    </w:p>
    <w:p>
      <w:pPr>
        <w:spacing w:after="0" w:line="168" w:lineRule="exact"/>
        <w:rPr>
          <w:rFonts w:ascii="Courier New" w:cs="Courier New" w:eastAsia="Courier New" w:hAnsi="Courier New"/>
          <w:sz w:val="15"/>
          <w:szCs w:val="15"/>
          <w:color w:val="auto"/>
        </w:rPr>
      </w:pPr>
    </w:p>
    <w:p>
      <w:pPr>
        <w:ind w:left="4" w:right="4300" w:hanging="4"/>
        <w:spacing w:after="0" w:line="237" w:lineRule="auto"/>
        <w:tabs>
          <w:tab w:leader="none" w:pos="37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Portfolio Management, LLC is the General Partner of Inflective Convertible Opportunity Fund I, L.P. Thomas J. Roy, President and Chief Financial Officer of Inflective Asset Management LLC exercises voting and dispositive power over the securites on behalf of Inflective Portfolio Management, LLC.</w:t>
      </w:r>
    </w:p>
    <w:p>
      <w:pPr>
        <w:spacing w:after="0" w:line="187" w:lineRule="exact"/>
        <w:rPr>
          <w:rFonts w:ascii="Courier New" w:cs="Courier New" w:eastAsia="Courier New" w:hAnsi="Courier New"/>
          <w:sz w:val="16"/>
          <w:szCs w:val="16"/>
          <w:color w:val="auto"/>
        </w:rPr>
      </w:pPr>
    </w:p>
    <w:p>
      <w:pPr>
        <w:ind w:left="4" w:right="4200" w:hanging="4"/>
        <w:spacing w:after="0" w:line="236" w:lineRule="auto"/>
        <w:tabs>
          <w:tab w:leader="none" w:pos="37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Patrick Prendergast is the Managing Partner of Thomas Weisel Partners LLC. Thomas Weisel Partners LLC is a registered broker-dealer.</w:t>
      </w:r>
    </w:p>
    <w:p>
      <w:pPr>
        <w:spacing w:after="0" w:line="184" w:lineRule="exact"/>
        <w:rPr>
          <w:rFonts w:ascii="Courier New" w:cs="Courier New" w:eastAsia="Courier New" w:hAnsi="Courier New"/>
          <w:sz w:val="16"/>
          <w:szCs w:val="16"/>
          <w:color w:val="auto"/>
        </w:rPr>
      </w:pPr>
    </w:p>
    <w:p>
      <w:pPr>
        <w:ind w:left="4" w:right="4680" w:hanging="4"/>
        <w:spacing w:after="0" w:line="236" w:lineRule="auto"/>
        <w:tabs>
          <w:tab w:leader="none" w:pos="37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Wachovia Capital Markets LLC is a publicly held registered investment company and a registered broker-dealer.</w:t>
      </w:r>
    </w:p>
    <w:p>
      <w:pPr>
        <w:spacing w:after="0" w:line="200" w:lineRule="exact"/>
        <w:rPr>
          <w:sz w:val="20"/>
          <w:szCs w:val="20"/>
          <w:color w:val="auto"/>
        </w:rPr>
      </w:pPr>
    </w:p>
    <w:p>
      <w:pPr>
        <w:spacing w:after="0" w:line="34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4"/>
          </w:cols>
          <w:pgMar w:left="236" w:top="1195" w:right="139" w:bottom="1440" w:gutter="0" w:footer="0" w:header="0"/>
        </w:sectPr>
      </w:pPr>
    </w:p>
    <w:bookmarkStart w:id="2" w:name="page3"/>
    <w:bookmarkEnd w:id="2"/>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selling securityholders may be identified at a later date.</w:t>
      </w:r>
    </w:p>
    <w:p>
      <w:pPr>
        <w:spacing w:after="0" w:line="185" w:lineRule="exact"/>
        <w:rPr>
          <w:sz w:val="20"/>
          <w:szCs w:val="20"/>
          <w:color w:val="auto"/>
        </w:rPr>
      </w:pPr>
    </w:p>
    <w:p>
      <w:pPr>
        <w:ind w:left="564" w:right="2819"/>
        <w:spacing w:after="0" w:line="238" w:lineRule="auto"/>
        <w:rPr>
          <w:sz w:val="20"/>
          <w:szCs w:val="20"/>
          <w:color w:val="auto"/>
        </w:rPr>
      </w:pPr>
      <w:r>
        <w:rPr>
          <w:rFonts w:ascii="Courier New" w:cs="Courier New" w:eastAsia="Courier New" w:hAnsi="Courier New"/>
          <w:sz w:val="16"/>
          <w:szCs w:val="16"/>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187" w:lineRule="exact"/>
        <w:rPr>
          <w:sz w:val="20"/>
          <w:szCs w:val="20"/>
          <w:color w:val="auto"/>
        </w:rPr>
      </w:pPr>
    </w:p>
    <w:p>
      <w:pPr>
        <w:ind w:left="564" w:right="3379" w:hanging="564"/>
        <w:spacing w:after="0" w:line="236" w:lineRule="auto"/>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none of these selling securityholders would beneficially own 1% or more of the outstanding Notes.</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186" w:lineRule="exact"/>
        <w:rPr>
          <w:rFonts w:ascii="Courier New" w:cs="Courier New" w:eastAsia="Courier New" w:hAnsi="Courier New"/>
          <w:sz w:val="16"/>
          <w:szCs w:val="16"/>
          <w:color w:val="auto"/>
        </w:rPr>
      </w:pPr>
    </w:p>
    <w:p>
      <w:pPr>
        <w:jc w:val="both"/>
        <w:ind w:left="564" w:right="2719" w:hanging="564"/>
        <w:spacing w:after="0" w:line="259" w:lineRule="auto"/>
        <w:tabs>
          <w:tab w:leader="none" w:pos="5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35,073,153 outstanding shares of CMRG as of January 31, 2004, none of these selling securityholders would beneficially own 1% or more of the outstanding shares following the sale of securities in the offering.</w:t>
      </w:r>
    </w:p>
    <w:p>
      <w:pPr>
        <w:spacing w:after="0" w:line="200" w:lineRule="exact"/>
        <w:rPr>
          <w:sz w:val="20"/>
          <w:szCs w:val="20"/>
          <w:color w:val="auto"/>
        </w:rPr>
      </w:pPr>
    </w:p>
    <w:p>
      <w:pPr>
        <w:spacing w:after="0" w:line="327"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23"/>
      </w:cols>
      <w:pgMar w:left="236" w:top="6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2019-12-20T00:57:30Z</dcterms:created>
  <dcterms:modified xsi:type="dcterms:W3CDTF">2019-12-20T00:57:30Z</dcterms:modified>
</cp:coreProperties>
</file>