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13G/A</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0" w:lineRule="exact"/>
        <w:rPr>
          <w:sz w:val="24"/>
          <w:szCs w:val="24"/>
          <w:color w:val="auto"/>
        </w:rPr>
      </w:pP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Casual Male Retail Group, Inc.</w:t>
      </w:r>
    </w:p>
    <w:p>
      <w:pPr>
        <w:spacing w:after="0" w:line="13"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3"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148711302</w:t>
      </w:r>
    </w:p>
    <w:p>
      <w:pPr>
        <w:spacing w:after="0" w:line="23"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2009</w:t>
      </w:r>
    </w:p>
    <w:p>
      <w:pPr>
        <w:spacing w:after="0" w:line="23"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spacing w:after="0"/>
        <w:tabs>
          <w:tab w:leader="none" w:pos="7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Rule 13d-1(b)</w:t>
      </w:r>
    </w:p>
    <w:p>
      <w:pPr>
        <w:spacing w:after="0" w:line="252" w:lineRule="exact"/>
        <w:rPr>
          <w:sz w:val="24"/>
          <w:szCs w:val="24"/>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Rule 13d-1(d)</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Persons who respond to the collection of information contained in this form are not required to respond unless the form displays a currently valid OMD control number.</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7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CUSIP No. 148711302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20" w:hanging="1112"/>
        <w:spacing w:after="0"/>
        <w:tabs>
          <w:tab w:leader="none" w:pos="1120" w:val="left"/>
        </w:tabs>
        <w:numPr>
          <w:ilvl w:val="0"/>
          <w:numId w:val="2"/>
        </w:numPr>
        <w:rPr>
          <w:rFonts w:ascii="Arial" w:cs="Arial" w:eastAsia="Arial" w:hAnsi="Arial"/>
          <w:sz w:val="22"/>
          <w:szCs w:val="22"/>
          <w:b w:val="1"/>
          <w:bCs w:val="1"/>
          <w:color w:val="auto"/>
        </w:rPr>
      </w:pPr>
      <w:r>
        <w:rPr>
          <w:rFonts w:ascii="Arial" w:cs="Arial" w:eastAsia="Arial" w:hAnsi="Arial"/>
          <w:sz w:val="18"/>
          <w:szCs w:val="18"/>
          <w:b w:val="1"/>
          <w:bCs w:val="1"/>
          <w:color w:val="auto"/>
        </w:rPr>
        <w:t>Names of Reporting Persons</w:t>
      </w:r>
    </w:p>
    <w:p>
      <w:pPr>
        <w:spacing w:after="0" w:line="2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Glenhill Advisors,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20" w:hanging="1112"/>
        <w:spacing w:after="0"/>
        <w:tabs>
          <w:tab w:leader="none" w:pos="1120" w:val="left"/>
        </w:tabs>
        <w:numPr>
          <w:ilvl w:val="0"/>
          <w:numId w:val="3"/>
        </w:numPr>
        <w:rPr>
          <w:rFonts w:ascii="Arial" w:cs="Arial" w:eastAsia="Arial" w:hAnsi="Arial"/>
          <w:sz w:val="22"/>
          <w:szCs w:val="22"/>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15" w:lineRule="exact"/>
        <w:rPr>
          <w:rFonts w:ascii="Arial" w:cs="Arial" w:eastAsia="Arial" w:hAnsi="Arial"/>
          <w:sz w:val="22"/>
          <w:szCs w:val="22"/>
          <w:b w:val="1"/>
          <w:bCs w:val="1"/>
          <w:color w:val="auto"/>
        </w:rPr>
      </w:pPr>
    </w:p>
    <w:p>
      <w:pPr>
        <w:ind w:left="1420" w:hanging="291"/>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20" w:hanging="291"/>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 ]</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ind w:left="1120" w:hanging="1112"/>
        <w:spacing w:after="0" w:line="226" w:lineRule="auto"/>
        <w:tabs>
          <w:tab w:leader="none" w:pos="1120" w:val="left"/>
        </w:tabs>
        <w:numPr>
          <w:ilvl w:val="0"/>
          <w:numId w:val="4"/>
        </w:numPr>
        <w:rPr>
          <w:rFonts w:ascii="Arial" w:cs="Arial" w:eastAsia="Arial" w:hAnsi="Arial"/>
          <w:sz w:val="22"/>
          <w:szCs w:val="22"/>
          <w:b w:val="1"/>
          <w:bCs w:val="1"/>
          <w:color w:val="auto"/>
        </w:rPr>
      </w:pPr>
      <w:r>
        <w:rPr>
          <w:rFonts w:ascii="Arial" w:cs="Arial" w:eastAsia="Arial" w:hAnsi="Arial"/>
          <w:sz w:val="18"/>
          <w:szCs w:val="18"/>
          <w:b w:val="1"/>
          <w:bCs w:val="1"/>
          <w:color w:val="auto"/>
        </w:rPr>
        <w:t>SEC Use Only</w:t>
      </w:r>
    </w:p>
    <w:p>
      <w:pPr>
        <w:spacing w:after="0" w:line="15"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18"/>
          <w:szCs w:val="18"/>
          <w:color w:val="auto"/>
        </w:rPr>
        <w:t>---------------------------------------------------------------------------------------------------------------------------------</w:t>
      </w:r>
    </w:p>
    <w:p>
      <w:pPr>
        <w:ind w:left="1120" w:hanging="1112"/>
        <w:spacing w:after="0" w:line="224" w:lineRule="auto"/>
        <w:tabs>
          <w:tab w:leader="none" w:pos="1120" w:val="left"/>
        </w:tabs>
        <w:numPr>
          <w:ilvl w:val="0"/>
          <w:numId w:val="5"/>
        </w:numPr>
        <w:rPr>
          <w:rFonts w:ascii="Arial" w:cs="Arial" w:eastAsia="Arial" w:hAnsi="Arial"/>
          <w:sz w:val="22"/>
          <w:szCs w:val="22"/>
          <w:b w:val="1"/>
          <w:bCs w:val="1"/>
          <w:color w:val="auto"/>
        </w:rPr>
      </w:pPr>
      <w:r>
        <w:rPr>
          <w:rFonts w:ascii="Arial" w:cs="Arial" w:eastAsia="Arial" w:hAnsi="Arial"/>
          <w:sz w:val="18"/>
          <w:szCs w:val="18"/>
          <w:b w:val="1"/>
          <w:bCs w:val="1"/>
          <w:color w:val="auto"/>
        </w:rPr>
        <w:t>Citizenship or Place of Organization</w:t>
      </w:r>
    </w:p>
    <w:p>
      <w:pPr>
        <w:spacing w:after="0" w:line="21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2060" w:val="left"/>
          <w:tab w:leader="none" w:pos="2520" w:val="left"/>
          <w:tab w:leader="none" w:pos="4780" w:val="left"/>
        </w:tabs>
        <w:rPr>
          <w:sz w:val="20"/>
          <w:szCs w:val="20"/>
          <w:color w:val="auto"/>
        </w:rPr>
      </w:pPr>
      <w:r>
        <w:rPr>
          <w:rFonts w:ascii="Arial" w:cs="Arial" w:eastAsia="Arial" w:hAnsi="Arial"/>
          <w:sz w:val="18"/>
          <w:szCs w:val="18"/>
          <w:b w:val="1"/>
          <w:bCs w:val="1"/>
          <w:color w:val="auto"/>
        </w:rPr>
        <w:t>Number of</w:t>
      </w:r>
      <w:r>
        <w:rPr>
          <w:sz w:val="20"/>
          <w:szCs w:val="20"/>
          <w:color w:val="auto"/>
        </w:rPr>
        <w:tab/>
      </w:r>
      <w:r>
        <w:rPr>
          <w:rFonts w:ascii="Arial" w:cs="Arial" w:eastAsia="Arial" w:hAnsi="Arial"/>
          <w:sz w:val="22"/>
          <w:szCs w:val="22"/>
          <w:b w:val="1"/>
          <w:bCs w:val="1"/>
          <w:color w:val="auto"/>
        </w:rPr>
        <w:t>5</w:t>
      </w:r>
      <w:r>
        <w:rPr>
          <w:sz w:val="20"/>
          <w:szCs w:val="20"/>
          <w:color w:val="auto"/>
        </w:rPr>
        <w:tab/>
      </w:r>
      <w:r>
        <w:rPr>
          <w:rFonts w:ascii="Arial" w:cs="Arial" w:eastAsia="Arial" w:hAnsi="Arial"/>
          <w:sz w:val="18"/>
          <w:szCs w:val="18"/>
          <w:b w:val="1"/>
          <w:bCs w:val="1"/>
          <w:color w:val="auto"/>
        </w:rPr>
        <w:t>Sole Voting Power</w:t>
      </w:r>
      <w:r>
        <w:rPr>
          <w:sz w:val="20"/>
          <w:szCs w:val="20"/>
          <w:color w:val="auto"/>
        </w:rPr>
        <w:tab/>
      </w:r>
      <w:r>
        <w:rPr>
          <w:rFonts w:ascii="Arial" w:cs="Arial" w:eastAsia="Arial" w:hAnsi="Arial"/>
          <w:sz w:val="16"/>
          <w:szCs w:val="16"/>
          <w:color w:val="auto"/>
        </w:rPr>
        <w:t>4,099,190</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w:t>
      </w:r>
    </w:p>
    <w:p>
      <w:pPr>
        <w:spacing w:after="0" w:line="198" w:lineRule="exact"/>
        <w:rPr>
          <w:sz w:val="20"/>
          <w:szCs w:val="20"/>
          <w:color w:val="auto"/>
        </w:rPr>
      </w:pPr>
    </w:p>
    <w:p>
      <w:pPr>
        <w:spacing w:after="0"/>
        <w:tabs>
          <w:tab w:leader="none" w:pos="2060" w:val="left"/>
          <w:tab w:leader="none" w:pos="2520" w:val="left"/>
          <w:tab w:leader="none" w:pos="5060" w:val="left"/>
        </w:tabs>
        <w:rPr>
          <w:sz w:val="20"/>
          <w:szCs w:val="20"/>
          <w:color w:val="auto"/>
        </w:rPr>
      </w:pPr>
      <w:r>
        <w:rPr>
          <w:rFonts w:ascii="Arial" w:cs="Arial" w:eastAsia="Arial" w:hAnsi="Arial"/>
          <w:sz w:val="18"/>
          <w:szCs w:val="18"/>
          <w:b w:val="1"/>
          <w:bCs w:val="1"/>
          <w:color w:val="auto"/>
        </w:rPr>
        <w:t>Beneficially</w:t>
      </w:r>
      <w:r>
        <w:rPr>
          <w:sz w:val="20"/>
          <w:szCs w:val="20"/>
          <w:color w:val="auto"/>
        </w:rPr>
        <w:tab/>
      </w:r>
      <w:r>
        <w:rPr>
          <w:rFonts w:ascii="Arial" w:cs="Arial" w:eastAsia="Arial" w:hAnsi="Arial"/>
          <w:sz w:val="22"/>
          <w:szCs w:val="22"/>
          <w:b w:val="1"/>
          <w:bCs w:val="1"/>
          <w:color w:val="auto"/>
        </w:rPr>
        <w:t>6</w:t>
      </w:r>
      <w:r>
        <w:rPr>
          <w:sz w:val="20"/>
          <w:szCs w:val="20"/>
          <w:color w:val="auto"/>
        </w:rPr>
        <w:tab/>
      </w:r>
      <w:r>
        <w:rPr>
          <w:rFonts w:ascii="Arial" w:cs="Arial" w:eastAsia="Arial" w:hAnsi="Arial"/>
          <w:sz w:val="18"/>
          <w:szCs w:val="18"/>
          <w:b w:val="1"/>
          <w:bCs w:val="1"/>
          <w:color w:val="auto"/>
        </w:rPr>
        <w:t>Shared Voting Power</w:t>
      </w:r>
      <w:r>
        <w:rPr>
          <w:sz w:val="20"/>
          <w:szCs w:val="20"/>
          <w:color w:val="auto"/>
        </w:rPr>
        <w:tab/>
      </w:r>
      <w:r>
        <w:rPr>
          <w:rFonts w:ascii="Arial" w:cs="Arial" w:eastAsia="Arial" w:hAnsi="Arial"/>
          <w:sz w:val="14"/>
          <w:szCs w:val="14"/>
          <w:color w:val="auto"/>
        </w:rPr>
        <w:t>0</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Owned by</w:t>
      </w:r>
    </w:p>
    <w:p>
      <w:pPr>
        <w:spacing w:after="0" w:line="198" w:lineRule="exact"/>
        <w:rPr>
          <w:sz w:val="20"/>
          <w:szCs w:val="20"/>
          <w:color w:val="auto"/>
        </w:rPr>
      </w:pPr>
    </w:p>
    <w:p>
      <w:pPr>
        <w:spacing w:after="0"/>
        <w:tabs>
          <w:tab w:leader="none" w:pos="2060" w:val="left"/>
          <w:tab w:leader="none" w:pos="2520" w:val="left"/>
          <w:tab w:leader="none" w:pos="4800" w:val="left"/>
        </w:tabs>
        <w:rPr>
          <w:sz w:val="20"/>
          <w:szCs w:val="20"/>
          <w:color w:val="auto"/>
        </w:rPr>
      </w:pPr>
      <w:r>
        <w:rPr>
          <w:rFonts w:ascii="Arial" w:cs="Arial" w:eastAsia="Arial" w:hAnsi="Arial"/>
          <w:sz w:val="18"/>
          <w:szCs w:val="18"/>
          <w:b w:val="1"/>
          <w:bCs w:val="1"/>
          <w:color w:val="auto"/>
        </w:rPr>
        <w:t>Each</w:t>
      </w:r>
      <w:r>
        <w:rPr>
          <w:sz w:val="20"/>
          <w:szCs w:val="20"/>
          <w:color w:val="auto"/>
        </w:rPr>
        <w:tab/>
      </w:r>
      <w:r>
        <w:rPr>
          <w:rFonts w:ascii="Arial" w:cs="Arial" w:eastAsia="Arial" w:hAnsi="Arial"/>
          <w:sz w:val="22"/>
          <w:szCs w:val="22"/>
          <w:b w:val="1"/>
          <w:bCs w:val="1"/>
          <w:color w:val="auto"/>
        </w:rPr>
        <w:t>7</w:t>
      </w:r>
      <w:r>
        <w:rPr>
          <w:sz w:val="20"/>
          <w:szCs w:val="20"/>
          <w:color w:val="auto"/>
        </w:rPr>
        <w:tab/>
      </w:r>
      <w:r>
        <w:rPr>
          <w:rFonts w:ascii="Arial" w:cs="Arial" w:eastAsia="Arial" w:hAnsi="Arial"/>
          <w:sz w:val="18"/>
          <w:szCs w:val="18"/>
          <w:b w:val="1"/>
          <w:bCs w:val="1"/>
          <w:color w:val="auto"/>
        </w:rPr>
        <w:t>Sole Dispositive Power</w:t>
      </w:r>
      <w:r>
        <w:rPr>
          <w:sz w:val="20"/>
          <w:szCs w:val="20"/>
          <w:color w:val="auto"/>
        </w:rPr>
        <w:tab/>
      </w:r>
      <w:r>
        <w:rPr>
          <w:rFonts w:ascii="Arial" w:cs="Arial" w:eastAsia="Arial" w:hAnsi="Arial"/>
          <w:sz w:val="16"/>
          <w:szCs w:val="16"/>
          <w:color w:val="auto"/>
        </w:rPr>
        <w:t>4,099,190</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w:t>
      </w:r>
    </w:p>
    <w:p>
      <w:pPr>
        <w:spacing w:after="0" w:line="198" w:lineRule="exact"/>
        <w:rPr>
          <w:sz w:val="20"/>
          <w:szCs w:val="20"/>
          <w:color w:val="auto"/>
        </w:rPr>
      </w:pPr>
    </w:p>
    <w:p>
      <w:pPr>
        <w:spacing w:after="0"/>
        <w:tabs>
          <w:tab w:leader="none" w:pos="2060" w:val="left"/>
          <w:tab w:leader="none" w:pos="2520" w:val="left"/>
          <w:tab w:leader="none" w:pos="5080" w:val="left"/>
        </w:tabs>
        <w:rPr>
          <w:sz w:val="20"/>
          <w:szCs w:val="20"/>
          <w:color w:val="auto"/>
        </w:rPr>
      </w:pPr>
      <w:r>
        <w:rPr>
          <w:rFonts w:ascii="Arial" w:cs="Arial" w:eastAsia="Arial" w:hAnsi="Arial"/>
          <w:sz w:val="18"/>
          <w:szCs w:val="18"/>
          <w:b w:val="1"/>
          <w:bCs w:val="1"/>
          <w:color w:val="auto"/>
        </w:rPr>
        <w:t>Person With:</w:t>
      </w:r>
      <w:r>
        <w:rPr>
          <w:sz w:val="20"/>
          <w:szCs w:val="20"/>
          <w:color w:val="auto"/>
        </w:rPr>
        <w:tab/>
      </w:r>
      <w:r>
        <w:rPr>
          <w:rFonts w:ascii="Arial" w:cs="Arial" w:eastAsia="Arial" w:hAnsi="Arial"/>
          <w:sz w:val="22"/>
          <w:szCs w:val="22"/>
          <w:b w:val="1"/>
          <w:bCs w:val="1"/>
          <w:color w:val="auto"/>
        </w:rPr>
        <w:t>8</w:t>
      </w:r>
      <w:r>
        <w:rPr>
          <w:sz w:val="20"/>
          <w:szCs w:val="20"/>
          <w:color w:val="auto"/>
        </w:rPr>
        <w:tab/>
      </w:r>
      <w:r>
        <w:rPr>
          <w:rFonts w:ascii="Arial" w:cs="Arial" w:eastAsia="Arial" w:hAnsi="Arial"/>
          <w:sz w:val="18"/>
          <w:szCs w:val="18"/>
          <w:b w:val="1"/>
          <w:bCs w:val="1"/>
          <w:color w:val="auto"/>
        </w:rPr>
        <w:t>Shared Dispositive Power</w:t>
      </w:r>
      <w:r>
        <w:rPr>
          <w:sz w:val="20"/>
          <w:szCs w:val="20"/>
          <w:color w:val="auto"/>
        </w:rPr>
        <w:tab/>
      </w:r>
      <w:r>
        <w:rPr>
          <w:rFonts w:ascii="Arial" w:cs="Arial" w:eastAsia="Arial" w:hAnsi="Arial"/>
          <w:sz w:val="14"/>
          <w:szCs w:val="14"/>
          <w:color w:val="auto"/>
        </w:rPr>
        <w:t>0</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20" w:hanging="1112"/>
        <w:spacing w:after="0" w:line="224" w:lineRule="auto"/>
        <w:tabs>
          <w:tab w:leader="none" w:pos="1120" w:val="left"/>
        </w:tabs>
        <w:numPr>
          <w:ilvl w:val="0"/>
          <w:numId w:val="6"/>
        </w:numPr>
        <w:rPr>
          <w:rFonts w:ascii="Arial" w:cs="Arial" w:eastAsia="Arial" w:hAnsi="Arial"/>
          <w:sz w:val="22"/>
          <w:szCs w:val="22"/>
          <w:b w:val="1"/>
          <w:bCs w:val="1"/>
          <w:color w:val="auto"/>
        </w:rPr>
      </w:pPr>
      <w:r>
        <w:rPr>
          <w:rFonts w:ascii="Arial" w:cs="Arial" w:eastAsia="Arial" w:hAnsi="Arial"/>
          <w:sz w:val="18"/>
          <w:szCs w:val="18"/>
          <w:b w:val="1"/>
          <w:bCs w:val="1"/>
          <w:color w:val="auto"/>
        </w:rPr>
        <w:t>Aggregate Amount Beneficially Owned by Each Reporting Person</w:t>
      </w:r>
    </w:p>
    <w:p>
      <w:pPr>
        <w:spacing w:after="0" w:line="21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4,099,190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tabs>
          <w:tab w:leader="none" w:pos="1100" w:val="left"/>
          <w:tab w:leader="none" w:pos="8000" w:val="left"/>
        </w:tabs>
        <w:rPr>
          <w:sz w:val="20"/>
          <w:szCs w:val="20"/>
          <w:color w:val="auto"/>
        </w:rPr>
      </w:pPr>
      <w:r>
        <w:rPr>
          <w:rFonts w:ascii="Arial" w:cs="Arial" w:eastAsia="Arial" w:hAnsi="Arial"/>
          <w:sz w:val="21"/>
          <w:szCs w:val="21"/>
          <w:b w:val="1"/>
          <w:bCs w:val="1"/>
          <w:color w:val="auto"/>
        </w:rPr>
        <w:t>10</w:t>
      </w:r>
      <w:r>
        <w:rPr>
          <w:sz w:val="20"/>
          <w:szCs w:val="20"/>
          <w:color w:val="auto"/>
        </w:rPr>
        <w:tab/>
      </w:r>
      <w:r>
        <w:rPr>
          <w:rFonts w:ascii="Arial" w:cs="Arial" w:eastAsia="Arial" w:hAnsi="Arial"/>
          <w:sz w:val="17"/>
          <w:szCs w:val="17"/>
          <w:b w:val="1"/>
          <w:bCs w:val="1"/>
          <w:color w:val="auto"/>
        </w:rPr>
        <w:t>Check if the Aggregate Amount in Row (9) Excludes Certain Shares (See Instructions)</w:t>
      </w:r>
      <w:r>
        <w:rPr>
          <w:sz w:val="20"/>
          <w:szCs w:val="20"/>
          <w:color w:val="auto"/>
        </w:rPr>
        <w:tab/>
      </w:r>
      <w:r>
        <w:rPr>
          <w:rFonts w:ascii="Arial" w:cs="Arial" w:eastAsia="Arial" w:hAnsi="Arial"/>
          <w:sz w:val="18"/>
          <w:szCs w:val="18"/>
          <w:b w:val="1"/>
          <w:bCs w:val="1"/>
          <w:color w:val="auto"/>
        </w:rPr>
        <w:t>[ ]</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20" w:hanging="1112"/>
        <w:spacing w:after="0"/>
        <w:tabs>
          <w:tab w:leader="none" w:pos="1120" w:val="left"/>
        </w:tabs>
        <w:numPr>
          <w:ilvl w:val="0"/>
          <w:numId w:val="7"/>
        </w:numPr>
        <w:rPr>
          <w:rFonts w:ascii="Arial" w:cs="Arial" w:eastAsia="Arial" w:hAnsi="Arial"/>
          <w:sz w:val="22"/>
          <w:szCs w:val="22"/>
          <w:b w:val="1"/>
          <w:bCs w:val="1"/>
          <w:color w:val="auto"/>
        </w:rPr>
      </w:pPr>
      <w:r>
        <w:rPr>
          <w:rFonts w:ascii="Arial" w:cs="Arial" w:eastAsia="Arial" w:hAnsi="Arial"/>
          <w:sz w:val="18"/>
          <w:szCs w:val="18"/>
          <w:b w:val="1"/>
          <w:bCs w:val="1"/>
          <w:color w:val="auto"/>
        </w:rPr>
        <w:t>Percent of Class Represented by Amount in Row (9)-</w:t>
      </w:r>
    </w:p>
    <w:p>
      <w:pPr>
        <w:spacing w:after="0" w:line="2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8.69%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20" w:hanging="1112"/>
        <w:spacing w:after="0" w:line="226" w:lineRule="auto"/>
        <w:tabs>
          <w:tab w:leader="none" w:pos="1120" w:val="left"/>
        </w:tabs>
        <w:numPr>
          <w:ilvl w:val="0"/>
          <w:numId w:val="8"/>
        </w:numPr>
        <w:rPr>
          <w:rFonts w:ascii="Arial" w:cs="Arial" w:eastAsia="Arial" w:hAnsi="Arial"/>
          <w:sz w:val="22"/>
          <w:szCs w:val="22"/>
          <w:b w:val="1"/>
          <w:bCs w:val="1"/>
          <w:color w:val="auto"/>
        </w:rPr>
      </w:pPr>
      <w:r>
        <w:rPr>
          <w:rFonts w:ascii="Arial" w:cs="Arial" w:eastAsia="Arial" w:hAnsi="Arial"/>
          <w:sz w:val="18"/>
          <w:szCs w:val="18"/>
          <w:b w:val="1"/>
          <w:bCs w:val="1"/>
          <w:color w:val="auto"/>
        </w:rPr>
        <w:t>Type of Reporting Person (See Instructions)</w:t>
      </w:r>
    </w:p>
    <w:p>
      <w:pPr>
        <w:spacing w:after="0" w:line="21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IA, HC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861060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6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CUSIP No. 148711302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00" w:hanging="1092"/>
        <w:spacing w:after="0"/>
        <w:tabs>
          <w:tab w:leader="none" w:pos="1100" w:val="left"/>
        </w:tabs>
        <w:numPr>
          <w:ilvl w:val="0"/>
          <w:numId w:val="9"/>
        </w:numPr>
        <w:rPr>
          <w:rFonts w:ascii="Arial" w:cs="Arial" w:eastAsia="Arial" w:hAnsi="Arial"/>
          <w:sz w:val="22"/>
          <w:szCs w:val="22"/>
          <w:b w:val="1"/>
          <w:bCs w:val="1"/>
          <w:color w:val="auto"/>
        </w:rPr>
      </w:pPr>
      <w:r>
        <w:rPr>
          <w:rFonts w:ascii="Arial" w:cs="Arial" w:eastAsia="Arial" w:hAnsi="Arial"/>
          <w:sz w:val="18"/>
          <w:szCs w:val="18"/>
          <w:b w:val="1"/>
          <w:bCs w:val="1"/>
          <w:color w:val="auto"/>
        </w:rPr>
        <w:t>Names of Reporting Persons</w:t>
      </w:r>
    </w:p>
    <w:p>
      <w:pPr>
        <w:spacing w:after="0" w:line="21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Glenn J. Krevlin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00" w:hanging="1092"/>
        <w:spacing w:after="0" w:line="226" w:lineRule="auto"/>
        <w:tabs>
          <w:tab w:leader="none" w:pos="1100" w:val="left"/>
        </w:tabs>
        <w:numPr>
          <w:ilvl w:val="0"/>
          <w:numId w:val="10"/>
        </w:numPr>
        <w:rPr>
          <w:rFonts w:ascii="Arial" w:cs="Arial" w:eastAsia="Arial" w:hAnsi="Arial"/>
          <w:sz w:val="22"/>
          <w:szCs w:val="22"/>
          <w:b w:val="1"/>
          <w:bCs w:val="1"/>
          <w:color w:val="auto"/>
        </w:rPr>
      </w:pPr>
      <w:r>
        <w:rPr>
          <w:rFonts w:ascii="Arial" w:cs="Arial" w:eastAsia="Arial" w:hAnsi="Arial"/>
          <w:sz w:val="18"/>
          <w:szCs w:val="18"/>
          <w:b w:val="1"/>
          <w:bCs w:val="1"/>
          <w:color w:val="auto"/>
        </w:rPr>
        <w:t>Check the Appropriate Box if a Member of a Group(See Instructions)</w:t>
      </w:r>
    </w:p>
    <w:p>
      <w:pPr>
        <w:spacing w:after="0" w:line="215" w:lineRule="exact"/>
        <w:rPr>
          <w:rFonts w:ascii="Arial" w:cs="Arial" w:eastAsia="Arial" w:hAnsi="Arial"/>
          <w:sz w:val="22"/>
          <w:szCs w:val="22"/>
          <w:b w:val="1"/>
          <w:bCs w:val="1"/>
          <w:color w:val="auto"/>
        </w:rPr>
      </w:pPr>
    </w:p>
    <w:p>
      <w:pPr>
        <w:ind w:left="1400" w:hanging="298"/>
        <w:spacing w:after="0"/>
        <w:tabs>
          <w:tab w:leader="none" w:pos="14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00" w:hanging="298"/>
        <w:spacing w:after="0"/>
        <w:tabs>
          <w:tab w:leader="none" w:pos="14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 ]</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ind w:left="1100" w:hanging="1092"/>
        <w:spacing w:after="0" w:line="226" w:lineRule="auto"/>
        <w:tabs>
          <w:tab w:leader="none" w:pos="1100" w:val="left"/>
        </w:tabs>
        <w:numPr>
          <w:ilvl w:val="0"/>
          <w:numId w:val="11"/>
        </w:numPr>
        <w:rPr>
          <w:rFonts w:ascii="Arial" w:cs="Arial" w:eastAsia="Arial" w:hAnsi="Arial"/>
          <w:sz w:val="22"/>
          <w:szCs w:val="22"/>
          <w:b w:val="1"/>
          <w:bCs w:val="1"/>
          <w:color w:val="auto"/>
        </w:rPr>
      </w:pPr>
      <w:r>
        <w:rPr>
          <w:rFonts w:ascii="Arial" w:cs="Arial" w:eastAsia="Arial" w:hAnsi="Arial"/>
          <w:sz w:val="18"/>
          <w:szCs w:val="18"/>
          <w:b w:val="1"/>
          <w:bCs w:val="1"/>
          <w:color w:val="auto"/>
        </w:rPr>
        <w:t>SEC Use Only</w:t>
      </w:r>
    </w:p>
    <w:p>
      <w:pPr>
        <w:spacing w:after="0" w:line="15"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18"/>
          <w:szCs w:val="18"/>
          <w:color w:val="auto"/>
        </w:rPr>
        <w:t>---------------------------------------------------------------------------------------------------------------------------------</w:t>
      </w:r>
    </w:p>
    <w:p>
      <w:pPr>
        <w:ind w:left="1100" w:hanging="1092"/>
        <w:spacing w:after="0" w:line="224" w:lineRule="auto"/>
        <w:tabs>
          <w:tab w:leader="none" w:pos="1100" w:val="left"/>
        </w:tabs>
        <w:numPr>
          <w:ilvl w:val="0"/>
          <w:numId w:val="12"/>
        </w:numPr>
        <w:rPr>
          <w:rFonts w:ascii="Arial" w:cs="Arial" w:eastAsia="Arial" w:hAnsi="Arial"/>
          <w:sz w:val="22"/>
          <w:szCs w:val="22"/>
          <w:b w:val="1"/>
          <w:bCs w:val="1"/>
          <w:color w:val="auto"/>
        </w:rPr>
      </w:pPr>
      <w:r>
        <w:rPr>
          <w:rFonts w:ascii="Arial" w:cs="Arial" w:eastAsia="Arial" w:hAnsi="Arial"/>
          <w:sz w:val="18"/>
          <w:szCs w:val="18"/>
          <w:b w:val="1"/>
          <w:bCs w:val="1"/>
          <w:color w:val="auto"/>
        </w:rPr>
        <w:t>Citizenship or Place of Organization</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2000" w:val="left"/>
          <w:tab w:leader="none" w:pos="2600" w:val="left"/>
          <w:tab w:leader="none" w:pos="4780" w:val="left"/>
        </w:tabs>
        <w:rPr>
          <w:sz w:val="20"/>
          <w:szCs w:val="20"/>
          <w:color w:val="auto"/>
        </w:rPr>
      </w:pPr>
      <w:r>
        <w:rPr>
          <w:rFonts w:ascii="Arial" w:cs="Arial" w:eastAsia="Arial" w:hAnsi="Arial"/>
          <w:sz w:val="18"/>
          <w:szCs w:val="18"/>
          <w:b w:val="1"/>
          <w:bCs w:val="1"/>
          <w:color w:val="auto"/>
        </w:rPr>
        <w:t>Number of</w:t>
      </w:r>
      <w:r>
        <w:rPr>
          <w:sz w:val="20"/>
          <w:szCs w:val="20"/>
          <w:color w:val="auto"/>
        </w:rPr>
        <w:tab/>
      </w:r>
      <w:r>
        <w:rPr>
          <w:rFonts w:ascii="Arial" w:cs="Arial" w:eastAsia="Arial" w:hAnsi="Arial"/>
          <w:sz w:val="22"/>
          <w:szCs w:val="22"/>
          <w:b w:val="1"/>
          <w:bCs w:val="1"/>
          <w:color w:val="auto"/>
        </w:rPr>
        <w:t>5</w:t>
      </w:r>
      <w:r>
        <w:rPr>
          <w:sz w:val="20"/>
          <w:szCs w:val="20"/>
          <w:color w:val="auto"/>
        </w:rPr>
        <w:tab/>
      </w:r>
      <w:r>
        <w:rPr>
          <w:rFonts w:ascii="Arial" w:cs="Arial" w:eastAsia="Arial" w:hAnsi="Arial"/>
          <w:sz w:val="18"/>
          <w:szCs w:val="18"/>
          <w:b w:val="1"/>
          <w:bCs w:val="1"/>
          <w:color w:val="auto"/>
        </w:rPr>
        <w:t>Sole Voting Power</w:t>
      </w:r>
      <w:r>
        <w:rPr>
          <w:sz w:val="20"/>
          <w:szCs w:val="20"/>
          <w:color w:val="auto"/>
        </w:rPr>
        <w:tab/>
      </w:r>
      <w:r>
        <w:rPr>
          <w:rFonts w:ascii="Arial" w:cs="Arial" w:eastAsia="Arial" w:hAnsi="Arial"/>
          <w:sz w:val="16"/>
          <w:szCs w:val="16"/>
          <w:color w:val="auto"/>
        </w:rPr>
        <w:t>4,099,190</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9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43"/>
        </w:trPr>
        <w:tc>
          <w:tcPr>
            <w:tcW w:w="146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920" w:type="dxa"/>
            <w:vAlign w:val="bottom"/>
          </w:tcPr>
          <w:p>
            <w:pPr>
              <w:jc w:val="right"/>
              <w:ind w:right="152"/>
              <w:spacing w:after="0"/>
              <w:rPr>
                <w:sz w:val="20"/>
                <w:szCs w:val="20"/>
                <w:color w:val="auto"/>
              </w:rPr>
            </w:pPr>
            <w:r>
              <w:rPr>
                <w:rFonts w:ascii="Arial" w:cs="Arial" w:eastAsia="Arial" w:hAnsi="Arial"/>
                <w:sz w:val="22"/>
                <w:szCs w:val="22"/>
                <w:b w:val="1"/>
                <w:bCs w:val="1"/>
                <w:color w:val="auto"/>
              </w:rPr>
              <w:t>6</w:t>
            </w:r>
          </w:p>
        </w:tc>
        <w:tc>
          <w:tcPr>
            <w:tcW w:w="228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r>
    </w:tbl>
    <w:p>
      <w:pPr>
        <w:ind w:left="10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43"/>
        </w:trPr>
        <w:tc>
          <w:tcPr>
            <w:tcW w:w="140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980" w:type="dxa"/>
            <w:vAlign w:val="bottom"/>
          </w:tcPr>
          <w:p>
            <w:pPr>
              <w:jc w:val="right"/>
              <w:ind w:right="152"/>
              <w:spacing w:after="0"/>
              <w:rPr>
                <w:sz w:val="20"/>
                <w:szCs w:val="20"/>
                <w:color w:val="auto"/>
              </w:rPr>
            </w:pPr>
            <w:r>
              <w:rPr>
                <w:rFonts w:ascii="Arial" w:cs="Arial" w:eastAsia="Arial" w:hAnsi="Arial"/>
                <w:sz w:val="22"/>
                <w:szCs w:val="22"/>
                <w:b w:val="1"/>
                <w:bCs w:val="1"/>
                <w:color w:val="auto"/>
              </w:rPr>
              <w:t>7</w:t>
            </w:r>
          </w:p>
        </w:tc>
        <w:tc>
          <w:tcPr>
            <w:tcW w:w="2220" w:type="dxa"/>
            <w:vAlign w:val="bottom"/>
          </w:tcPr>
          <w:p>
            <w:pPr>
              <w:ind w:left="240"/>
              <w:spacing w:after="0"/>
              <w:rPr>
                <w:sz w:val="20"/>
                <w:szCs w:val="20"/>
                <w:color w:val="auto"/>
              </w:rPr>
            </w:pPr>
            <w:r>
              <w:rPr>
                <w:rFonts w:ascii="Arial" w:cs="Arial" w:eastAsia="Arial" w:hAnsi="Arial"/>
                <w:sz w:val="18"/>
                <w:szCs w:val="18"/>
                <w:b w:val="1"/>
                <w:bCs w:val="1"/>
                <w:color w:val="auto"/>
                <w:w w:val="98"/>
              </w:rPr>
              <w:t>Sole Dispositive Power</w:t>
            </w:r>
          </w:p>
        </w:tc>
        <w:tc>
          <w:tcPr>
            <w:tcW w:w="940" w:type="dxa"/>
            <w:vAlign w:val="bottom"/>
          </w:tcPr>
          <w:p>
            <w:pPr>
              <w:jc w:val="right"/>
              <w:spacing w:after="0"/>
              <w:rPr>
                <w:sz w:val="20"/>
                <w:szCs w:val="20"/>
                <w:color w:val="auto"/>
              </w:rPr>
            </w:pPr>
            <w:r>
              <w:rPr>
                <w:rFonts w:ascii="Arial" w:cs="Arial" w:eastAsia="Arial" w:hAnsi="Arial"/>
                <w:sz w:val="18"/>
                <w:szCs w:val="18"/>
                <w:color w:val="auto"/>
              </w:rPr>
              <w:t>4,099,190</w:t>
            </w:r>
          </w:p>
        </w:tc>
      </w:tr>
    </w:tbl>
    <w:p>
      <w:pPr>
        <w:ind w:left="10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8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43"/>
        </w:trPr>
        <w:tc>
          <w:tcPr>
            <w:tcW w:w="152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860" w:type="dxa"/>
            <w:vAlign w:val="bottom"/>
          </w:tcPr>
          <w:p>
            <w:pPr>
              <w:jc w:val="right"/>
              <w:ind w:right="152"/>
              <w:spacing w:after="0"/>
              <w:rPr>
                <w:sz w:val="20"/>
                <w:szCs w:val="20"/>
                <w:color w:val="auto"/>
              </w:rPr>
            </w:pPr>
            <w:r>
              <w:rPr>
                <w:rFonts w:ascii="Arial" w:cs="Arial" w:eastAsia="Arial" w:hAnsi="Arial"/>
                <w:sz w:val="22"/>
                <w:szCs w:val="22"/>
                <w:b w:val="1"/>
                <w:bCs w:val="1"/>
                <w:color w:val="auto"/>
              </w:rPr>
              <w:t>8</w:t>
            </w:r>
          </w:p>
        </w:tc>
        <w:tc>
          <w:tcPr>
            <w:tcW w:w="2460" w:type="dxa"/>
            <w:vAlign w:val="bottom"/>
          </w:tcPr>
          <w:p>
            <w:pPr>
              <w:ind w:left="240"/>
              <w:spacing w:after="0"/>
              <w:rPr>
                <w:sz w:val="20"/>
                <w:szCs w:val="20"/>
                <w:color w:val="auto"/>
              </w:rPr>
            </w:pPr>
            <w:r>
              <w:rPr>
                <w:rFonts w:ascii="Arial" w:cs="Arial" w:eastAsia="Arial" w:hAnsi="Arial"/>
                <w:sz w:val="18"/>
                <w:szCs w:val="18"/>
                <w:b w:val="1"/>
                <w:bCs w:val="1"/>
                <w:color w:val="auto"/>
                <w:w w:val="99"/>
              </w:rPr>
              <w:t>Shared Dispositive Power</w:t>
            </w: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rPr>
          <w:sz w:val="20"/>
          <w:szCs w:val="20"/>
          <w:color w:val="auto"/>
        </w:rPr>
      </w:pPr>
      <w:r>
        <w:rPr>
          <w:rFonts w:ascii="Arial" w:cs="Arial" w:eastAsia="Arial" w:hAnsi="Arial"/>
          <w:sz w:val="18"/>
          <w:szCs w:val="18"/>
          <w:color w:val="auto"/>
        </w:rPr>
        <w:t>--------------------------------------------------------------------------------------------------------------------------------------------------------------</w:t>
      </w:r>
    </w:p>
    <w:p>
      <w:pPr>
        <w:ind w:left="1100" w:hanging="1092"/>
        <w:spacing w:after="0" w:line="224" w:lineRule="auto"/>
        <w:tabs>
          <w:tab w:leader="none" w:pos="1100" w:val="left"/>
        </w:tabs>
        <w:numPr>
          <w:ilvl w:val="0"/>
          <w:numId w:val="13"/>
        </w:numPr>
        <w:rPr>
          <w:rFonts w:ascii="Arial" w:cs="Arial" w:eastAsia="Arial" w:hAnsi="Arial"/>
          <w:sz w:val="22"/>
          <w:szCs w:val="22"/>
          <w:b w:val="1"/>
          <w:bCs w:val="1"/>
          <w:color w:val="auto"/>
        </w:rPr>
      </w:pPr>
      <w:r>
        <w:rPr>
          <w:rFonts w:ascii="Arial" w:cs="Arial" w:eastAsia="Arial" w:hAnsi="Arial"/>
          <w:sz w:val="18"/>
          <w:szCs w:val="18"/>
          <w:b w:val="1"/>
          <w:bCs w:val="1"/>
          <w:color w:val="auto"/>
        </w:rPr>
        <w:t>Aggregate Amount Beneficially Owned by Each Reporting Person</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4,099,190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00" w:hanging="1092"/>
        <w:spacing w:after="0" w:line="226" w:lineRule="auto"/>
        <w:tabs>
          <w:tab w:leader="none" w:pos="1100" w:val="left"/>
        </w:tabs>
        <w:numPr>
          <w:ilvl w:val="0"/>
          <w:numId w:val="14"/>
        </w:numPr>
        <w:rPr>
          <w:rFonts w:ascii="Arial" w:cs="Arial" w:eastAsia="Arial" w:hAnsi="Arial"/>
          <w:sz w:val="22"/>
          <w:szCs w:val="22"/>
          <w:b w:val="1"/>
          <w:bCs w:val="1"/>
          <w:color w:val="auto"/>
        </w:rPr>
      </w:pPr>
      <w:r>
        <w:rPr>
          <w:rFonts w:ascii="Arial" w:cs="Arial" w:eastAsia="Arial" w:hAnsi="Arial"/>
          <w:sz w:val="18"/>
          <w:szCs w:val="18"/>
          <w:b w:val="1"/>
          <w:bCs w:val="1"/>
          <w:color w:val="auto"/>
        </w:rPr>
        <w:t>Check if the Aggregate Amount in Row (9) Excludes Certain Shares (See Instructions) [ ]</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00" w:hanging="1092"/>
        <w:spacing w:after="0"/>
        <w:tabs>
          <w:tab w:leader="none" w:pos="1100" w:val="left"/>
        </w:tabs>
        <w:numPr>
          <w:ilvl w:val="0"/>
          <w:numId w:val="15"/>
        </w:numPr>
        <w:rPr>
          <w:rFonts w:ascii="Arial" w:cs="Arial" w:eastAsia="Arial" w:hAnsi="Arial"/>
          <w:sz w:val="22"/>
          <w:szCs w:val="22"/>
          <w:b w:val="1"/>
          <w:bCs w:val="1"/>
          <w:color w:val="auto"/>
        </w:rPr>
      </w:pPr>
      <w:r>
        <w:rPr>
          <w:rFonts w:ascii="Arial" w:cs="Arial" w:eastAsia="Arial" w:hAnsi="Arial"/>
          <w:sz w:val="18"/>
          <w:szCs w:val="18"/>
          <w:b w:val="1"/>
          <w:bCs w:val="1"/>
          <w:color w:val="auto"/>
        </w:rPr>
        <w:t>Percent of Class Represented by Amount in Row (9)</w:t>
      </w:r>
    </w:p>
    <w:p>
      <w:pPr>
        <w:spacing w:after="0" w:line="21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8.69%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00" w:hanging="1092"/>
        <w:spacing w:after="0" w:line="226" w:lineRule="auto"/>
        <w:tabs>
          <w:tab w:leader="none" w:pos="1100" w:val="left"/>
        </w:tabs>
        <w:numPr>
          <w:ilvl w:val="0"/>
          <w:numId w:val="16"/>
        </w:numPr>
        <w:rPr>
          <w:rFonts w:ascii="Arial" w:cs="Arial" w:eastAsia="Arial" w:hAnsi="Arial"/>
          <w:sz w:val="22"/>
          <w:szCs w:val="22"/>
          <w:b w:val="1"/>
          <w:bCs w:val="1"/>
          <w:color w:val="auto"/>
        </w:rPr>
      </w:pPr>
      <w:r>
        <w:rPr>
          <w:rFonts w:ascii="Arial" w:cs="Arial" w:eastAsia="Arial" w:hAnsi="Arial"/>
          <w:sz w:val="18"/>
          <w:szCs w:val="18"/>
          <w:b w:val="1"/>
          <w:bCs w:val="1"/>
          <w:color w:val="auto"/>
        </w:rPr>
        <w:t>Type of Reporting Person (See Instructions)</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 HC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706755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60"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CUSIP No. 148711302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00" w:hanging="1092"/>
        <w:spacing w:after="0"/>
        <w:tabs>
          <w:tab w:leader="none" w:pos="1100" w:val="left"/>
        </w:tabs>
        <w:numPr>
          <w:ilvl w:val="0"/>
          <w:numId w:val="17"/>
        </w:numPr>
        <w:rPr>
          <w:rFonts w:ascii="Arial" w:cs="Arial" w:eastAsia="Arial" w:hAnsi="Arial"/>
          <w:sz w:val="22"/>
          <w:szCs w:val="22"/>
          <w:b w:val="1"/>
          <w:bCs w:val="1"/>
          <w:color w:val="auto"/>
        </w:rPr>
      </w:pPr>
      <w:r>
        <w:rPr>
          <w:rFonts w:ascii="Arial" w:cs="Arial" w:eastAsia="Arial" w:hAnsi="Arial"/>
          <w:sz w:val="18"/>
          <w:szCs w:val="18"/>
          <w:b w:val="1"/>
          <w:bCs w:val="1"/>
          <w:color w:val="auto"/>
        </w:rPr>
        <w:t>Names of Reporting Persons</w:t>
      </w:r>
    </w:p>
    <w:p>
      <w:pPr>
        <w:spacing w:after="0" w:line="21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Glenhill Capital Management,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00" w:hanging="1092"/>
        <w:spacing w:after="0"/>
        <w:tabs>
          <w:tab w:leader="none" w:pos="1100" w:val="left"/>
        </w:tabs>
        <w:numPr>
          <w:ilvl w:val="0"/>
          <w:numId w:val="18"/>
        </w:numPr>
        <w:rPr>
          <w:rFonts w:ascii="Arial" w:cs="Arial" w:eastAsia="Arial" w:hAnsi="Arial"/>
          <w:sz w:val="22"/>
          <w:szCs w:val="22"/>
          <w:b w:val="1"/>
          <w:bCs w:val="1"/>
          <w:color w:val="auto"/>
        </w:rPr>
      </w:pPr>
      <w:r>
        <w:rPr>
          <w:rFonts w:ascii="Arial" w:cs="Arial" w:eastAsia="Arial" w:hAnsi="Arial"/>
          <w:sz w:val="18"/>
          <w:szCs w:val="18"/>
          <w:b w:val="1"/>
          <w:bCs w:val="1"/>
          <w:color w:val="auto"/>
        </w:rPr>
        <w:t>Check the Appropriate Box if a Member of a Group(See Instructions)</w:t>
      </w:r>
    </w:p>
    <w:p>
      <w:pPr>
        <w:spacing w:after="0" w:line="215" w:lineRule="exact"/>
        <w:rPr>
          <w:rFonts w:ascii="Arial" w:cs="Arial" w:eastAsia="Arial" w:hAnsi="Arial"/>
          <w:sz w:val="22"/>
          <w:szCs w:val="22"/>
          <w:b w:val="1"/>
          <w:bCs w:val="1"/>
          <w:color w:val="auto"/>
        </w:rPr>
      </w:pPr>
    </w:p>
    <w:p>
      <w:pPr>
        <w:ind w:left="1400" w:hanging="298"/>
        <w:spacing w:after="0"/>
        <w:tabs>
          <w:tab w:leader="none" w:pos="14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00" w:hanging="298"/>
        <w:spacing w:after="0"/>
        <w:tabs>
          <w:tab w:leader="none" w:pos="14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 ]</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ind w:left="1100" w:hanging="1092"/>
        <w:spacing w:after="0" w:line="226" w:lineRule="auto"/>
        <w:tabs>
          <w:tab w:leader="none" w:pos="1100" w:val="left"/>
        </w:tabs>
        <w:numPr>
          <w:ilvl w:val="0"/>
          <w:numId w:val="19"/>
        </w:numPr>
        <w:rPr>
          <w:rFonts w:ascii="Arial" w:cs="Arial" w:eastAsia="Arial" w:hAnsi="Arial"/>
          <w:sz w:val="22"/>
          <w:szCs w:val="22"/>
          <w:b w:val="1"/>
          <w:bCs w:val="1"/>
          <w:color w:val="auto"/>
        </w:rPr>
      </w:pPr>
      <w:r>
        <w:rPr>
          <w:rFonts w:ascii="Arial" w:cs="Arial" w:eastAsia="Arial" w:hAnsi="Arial"/>
          <w:sz w:val="18"/>
          <w:szCs w:val="18"/>
          <w:b w:val="1"/>
          <w:bCs w:val="1"/>
          <w:color w:val="auto"/>
        </w:rPr>
        <w:t>SEC Use Only</w:t>
      </w:r>
    </w:p>
    <w:p>
      <w:pPr>
        <w:spacing w:after="0" w:line="15"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18"/>
          <w:szCs w:val="18"/>
          <w:color w:val="auto"/>
        </w:rPr>
        <w:t>---------------------------------------------------------------------------------------------------------------------------------</w:t>
      </w:r>
    </w:p>
    <w:p>
      <w:pPr>
        <w:ind w:left="1100" w:hanging="1092"/>
        <w:spacing w:after="0" w:line="224" w:lineRule="auto"/>
        <w:tabs>
          <w:tab w:leader="none" w:pos="1100" w:val="left"/>
        </w:tabs>
        <w:numPr>
          <w:ilvl w:val="0"/>
          <w:numId w:val="20"/>
        </w:numPr>
        <w:rPr>
          <w:rFonts w:ascii="Arial" w:cs="Arial" w:eastAsia="Arial" w:hAnsi="Arial"/>
          <w:sz w:val="22"/>
          <w:szCs w:val="22"/>
          <w:b w:val="1"/>
          <w:bCs w:val="1"/>
          <w:color w:val="auto"/>
        </w:rPr>
      </w:pPr>
      <w:r>
        <w:rPr>
          <w:rFonts w:ascii="Arial" w:cs="Arial" w:eastAsia="Arial" w:hAnsi="Arial"/>
          <w:sz w:val="18"/>
          <w:szCs w:val="18"/>
          <w:b w:val="1"/>
          <w:bCs w:val="1"/>
          <w:color w:val="auto"/>
        </w:rPr>
        <w:t>Citizenship or Place of Organization</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2000" w:val="left"/>
          <w:tab w:leader="none" w:pos="2600" w:val="left"/>
          <w:tab w:leader="none" w:pos="5220" w:val="left"/>
        </w:tabs>
        <w:rPr>
          <w:sz w:val="20"/>
          <w:szCs w:val="20"/>
          <w:color w:val="auto"/>
        </w:rPr>
      </w:pPr>
      <w:r>
        <w:rPr>
          <w:rFonts w:ascii="Arial" w:cs="Arial" w:eastAsia="Arial" w:hAnsi="Arial"/>
          <w:sz w:val="18"/>
          <w:szCs w:val="18"/>
          <w:b w:val="1"/>
          <w:bCs w:val="1"/>
          <w:color w:val="auto"/>
        </w:rPr>
        <w:t>Number of</w:t>
      </w:r>
      <w:r>
        <w:rPr>
          <w:sz w:val="20"/>
          <w:szCs w:val="20"/>
          <w:color w:val="auto"/>
        </w:rPr>
        <w:tab/>
      </w:r>
      <w:r>
        <w:rPr>
          <w:rFonts w:ascii="Arial" w:cs="Arial" w:eastAsia="Arial" w:hAnsi="Arial"/>
          <w:sz w:val="22"/>
          <w:szCs w:val="22"/>
          <w:b w:val="1"/>
          <w:bCs w:val="1"/>
          <w:color w:val="auto"/>
        </w:rPr>
        <w:t>5</w:t>
      </w:r>
      <w:r>
        <w:rPr>
          <w:sz w:val="20"/>
          <w:szCs w:val="20"/>
          <w:color w:val="auto"/>
        </w:rPr>
        <w:tab/>
      </w:r>
      <w:r>
        <w:rPr>
          <w:rFonts w:ascii="Arial" w:cs="Arial" w:eastAsia="Arial" w:hAnsi="Arial"/>
          <w:sz w:val="18"/>
          <w:szCs w:val="18"/>
          <w:b w:val="1"/>
          <w:bCs w:val="1"/>
          <w:color w:val="auto"/>
        </w:rPr>
        <w:t>Sole Voting Power</w:t>
      </w:r>
      <w:r>
        <w:rPr>
          <w:sz w:val="20"/>
          <w:szCs w:val="20"/>
          <w:color w:val="auto"/>
        </w:rPr>
        <w:tab/>
      </w:r>
      <w:r>
        <w:rPr>
          <w:rFonts w:ascii="Arial" w:cs="Arial" w:eastAsia="Arial" w:hAnsi="Arial"/>
          <w:sz w:val="17"/>
          <w:szCs w:val="17"/>
          <w:color w:val="auto"/>
        </w:rPr>
        <w:t>0</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9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43"/>
        </w:trPr>
        <w:tc>
          <w:tcPr>
            <w:tcW w:w="146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920" w:type="dxa"/>
            <w:vAlign w:val="bottom"/>
          </w:tcPr>
          <w:p>
            <w:pPr>
              <w:jc w:val="right"/>
              <w:ind w:right="152"/>
              <w:spacing w:after="0"/>
              <w:rPr>
                <w:sz w:val="20"/>
                <w:szCs w:val="20"/>
                <w:color w:val="auto"/>
              </w:rPr>
            </w:pPr>
            <w:r>
              <w:rPr>
                <w:rFonts w:ascii="Arial" w:cs="Arial" w:eastAsia="Arial" w:hAnsi="Arial"/>
                <w:sz w:val="22"/>
                <w:szCs w:val="22"/>
                <w:b w:val="1"/>
                <w:bCs w:val="1"/>
                <w:color w:val="auto"/>
              </w:rPr>
              <w:t>6</w:t>
            </w:r>
          </w:p>
        </w:tc>
        <w:tc>
          <w:tcPr>
            <w:tcW w:w="224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1080" w:type="dxa"/>
            <w:vAlign w:val="bottom"/>
          </w:tcPr>
          <w:p>
            <w:pPr>
              <w:jc w:val="right"/>
              <w:spacing w:after="0"/>
              <w:rPr>
                <w:sz w:val="20"/>
                <w:szCs w:val="20"/>
                <w:color w:val="auto"/>
              </w:rPr>
            </w:pPr>
            <w:r>
              <w:rPr>
                <w:rFonts w:ascii="Arial" w:cs="Arial" w:eastAsia="Arial" w:hAnsi="Arial"/>
                <w:sz w:val="18"/>
                <w:szCs w:val="18"/>
                <w:color w:val="auto"/>
              </w:rPr>
              <w:t>4,099,190</w:t>
            </w:r>
          </w:p>
        </w:tc>
      </w:tr>
    </w:tbl>
    <w:p>
      <w:pPr>
        <w:ind w:left="10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9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43"/>
        </w:trPr>
        <w:tc>
          <w:tcPr>
            <w:tcW w:w="140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980" w:type="dxa"/>
            <w:vAlign w:val="bottom"/>
          </w:tcPr>
          <w:p>
            <w:pPr>
              <w:jc w:val="right"/>
              <w:ind w:right="152"/>
              <w:spacing w:after="0"/>
              <w:rPr>
                <w:sz w:val="20"/>
                <w:szCs w:val="20"/>
                <w:color w:val="auto"/>
              </w:rPr>
            </w:pPr>
            <w:r>
              <w:rPr>
                <w:rFonts w:ascii="Arial" w:cs="Arial" w:eastAsia="Arial" w:hAnsi="Arial"/>
                <w:sz w:val="22"/>
                <w:szCs w:val="22"/>
                <w:b w:val="1"/>
                <w:bCs w:val="1"/>
                <w:color w:val="auto"/>
              </w:rPr>
              <w:t>7</w:t>
            </w:r>
          </w:p>
        </w:tc>
        <w:tc>
          <w:tcPr>
            <w:tcW w:w="2440" w:type="dxa"/>
            <w:vAlign w:val="bottom"/>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r>
    </w:tbl>
    <w:p>
      <w:pPr>
        <w:ind w:left="10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8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43"/>
        </w:trPr>
        <w:tc>
          <w:tcPr>
            <w:tcW w:w="152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860" w:type="dxa"/>
            <w:vAlign w:val="bottom"/>
          </w:tcPr>
          <w:p>
            <w:pPr>
              <w:jc w:val="right"/>
              <w:ind w:right="152"/>
              <w:spacing w:after="0"/>
              <w:rPr>
                <w:sz w:val="20"/>
                <w:szCs w:val="20"/>
                <w:color w:val="auto"/>
              </w:rPr>
            </w:pPr>
            <w:r>
              <w:rPr>
                <w:rFonts w:ascii="Arial" w:cs="Arial" w:eastAsia="Arial" w:hAnsi="Arial"/>
                <w:sz w:val="22"/>
                <w:szCs w:val="22"/>
                <w:b w:val="1"/>
                <w:bCs w:val="1"/>
                <w:color w:val="auto"/>
              </w:rPr>
              <w:t>8</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w w:val="97"/>
              </w:rPr>
              <w:t>Shared Dispositive Power</w:t>
            </w:r>
          </w:p>
        </w:tc>
        <w:tc>
          <w:tcPr>
            <w:tcW w:w="920" w:type="dxa"/>
            <w:vAlign w:val="bottom"/>
          </w:tcPr>
          <w:p>
            <w:pPr>
              <w:jc w:val="right"/>
              <w:spacing w:after="0"/>
              <w:rPr>
                <w:sz w:val="20"/>
                <w:szCs w:val="20"/>
                <w:color w:val="auto"/>
              </w:rPr>
            </w:pPr>
            <w:r>
              <w:rPr>
                <w:rFonts w:ascii="Arial" w:cs="Arial" w:eastAsia="Arial" w:hAnsi="Arial"/>
                <w:sz w:val="18"/>
                <w:szCs w:val="18"/>
                <w:color w:val="auto"/>
              </w:rPr>
              <w:t>4,099,190</w:t>
            </w:r>
          </w:p>
        </w:tc>
      </w:tr>
    </w:tbl>
    <w:p>
      <w:pPr>
        <w:spacing w:after="0"/>
        <w:rPr>
          <w:sz w:val="20"/>
          <w:szCs w:val="20"/>
          <w:color w:val="auto"/>
        </w:rPr>
      </w:pPr>
      <w:r>
        <w:rPr>
          <w:rFonts w:ascii="Arial" w:cs="Arial" w:eastAsia="Arial" w:hAnsi="Arial"/>
          <w:sz w:val="18"/>
          <w:szCs w:val="18"/>
          <w:color w:val="auto"/>
        </w:rPr>
        <w:t>------------------------------------------------------------------------------------------------------------------------------------------------------------</w:t>
      </w:r>
    </w:p>
    <w:p>
      <w:pPr>
        <w:ind w:left="1100" w:hanging="1092"/>
        <w:spacing w:after="0" w:line="224" w:lineRule="auto"/>
        <w:tabs>
          <w:tab w:leader="none" w:pos="1100" w:val="left"/>
        </w:tabs>
        <w:numPr>
          <w:ilvl w:val="0"/>
          <w:numId w:val="21"/>
        </w:numPr>
        <w:rPr>
          <w:rFonts w:ascii="Arial" w:cs="Arial" w:eastAsia="Arial" w:hAnsi="Arial"/>
          <w:sz w:val="22"/>
          <w:szCs w:val="22"/>
          <w:b w:val="1"/>
          <w:bCs w:val="1"/>
          <w:color w:val="auto"/>
        </w:rPr>
      </w:pPr>
      <w:r>
        <w:rPr>
          <w:rFonts w:ascii="Arial" w:cs="Arial" w:eastAsia="Arial" w:hAnsi="Arial"/>
          <w:sz w:val="18"/>
          <w:szCs w:val="18"/>
          <w:b w:val="1"/>
          <w:bCs w:val="1"/>
          <w:color w:val="auto"/>
        </w:rPr>
        <w:t>Aggregate Amount Beneficially Owned by Each Reporting Person</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2,169,043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00" w:hanging="1092"/>
        <w:spacing w:after="0" w:line="226" w:lineRule="auto"/>
        <w:tabs>
          <w:tab w:leader="none" w:pos="1100" w:val="left"/>
        </w:tabs>
        <w:numPr>
          <w:ilvl w:val="0"/>
          <w:numId w:val="22"/>
        </w:numPr>
        <w:rPr>
          <w:rFonts w:ascii="Arial" w:cs="Arial" w:eastAsia="Arial" w:hAnsi="Arial"/>
          <w:sz w:val="22"/>
          <w:szCs w:val="22"/>
          <w:b w:val="1"/>
          <w:bCs w:val="1"/>
          <w:color w:val="auto"/>
        </w:rPr>
      </w:pPr>
      <w:r>
        <w:rPr>
          <w:rFonts w:ascii="Arial" w:cs="Arial" w:eastAsia="Arial" w:hAnsi="Arial"/>
          <w:sz w:val="18"/>
          <w:szCs w:val="18"/>
          <w:b w:val="1"/>
          <w:bCs w:val="1"/>
          <w:color w:val="auto"/>
        </w:rPr>
        <w:t>Check if the Aggregate Amount in Row (9) Excludes Certain Shares (See Instructions) [ ]</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00" w:hanging="1092"/>
        <w:spacing w:after="0"/>
        <w:tabs>
          <w:tab w:leader="none" w:pos="1100" w:val="left"/>
        </w:tabs>
        <w:numPr>
          <w:ilvl w:val="0"/>
          <w:numId w:val="23"/>
        </w:numPr>
        <w:rPr>
          <w:rFonts w:ascii="Arial" w:cs="Arial" w:eastAsia="Arial" w:hAnsi="Arial"/>
          <w:sz w:val="22"/>
          <w:szCs w:val="22"/>
          <w:b w:val="1"/>
          <w:bCs w:val="1"/>
          <w:color w:val="auto"/>
        </w:rPr>
      </w:pPr>
      <w:r>
        <w:rPr>
          <w:rFonts w:ascii="Arial" w:cs="Arial" w:eastAsia="Arial" w:hAnsi="Arial"/>
          <w:sz w:val="18"/>
          <w:szCs w:val="18"/>
          <w:b w:val="1"/>
          <w:bCs w:val="1"/>
          <w:color w:val="auto"/>
        </w:rPr>
        <w:t>Percent of Class Represented by Amount in Row (9)</w:t>
      </w:r>
    </w:p>
    <w:p>
      <w:pPr>
        <w:spacing w:after="0" w:line="21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8.69%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00" w:hanging="1092"/>
        <w:spacing w:after="0" w:line="226" w:lineRule="auto"/>
        <w:tabs>
          <w:tab w:leader="none" w:pos="1100" w:val="left"/>
        </w:tabs>
        <w:numPr>
          <w:ilvl w:val="0"/>
          <w:numId w:val="24"/>
        </w:numPr>
        <w:rPr>
          <w:rFonts w:ascii="Arial" w:cs="Arial" w:eastAsia="Arial" w:hAnsi="Arial"/>
          <w:sz w:val="22"/>
          <w:szCs w:val="22"/>
          <w:b w:val="1"/>
          <w:bCs w:val="1"/>
          <w:color w:val="auto"/>
        </w:rPr>
      </w:pPr>
      <w:r>
        <w:rPr>
          <w:rFonts w:ascii="Arial" w:cs="Arial" w:eastAsia="Arial" w:hAnsi="Arial"/>
          <w:sz w:val="18"/>
          <w:szCs w:val="18"/>
          <w:b w:val="1"/>
          <w:bCs w:val="1"/>
          <w:color w:val="auto"/>
        </w:rPr>
        <w:t>Type of Reporting Person (See Instructions)</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IA, HC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6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0"/>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380" w:type="dxa"/>
            <w:vAlign w:val="bottom"/>
          </w:tcPr>
          <w:p>
            <w:pPr>
              <w:ind w:left="260"/>
              <w:spacing w:after="0"/>
              <w:rPr>
                <w:sz w:val="20"/>
                <w:szCs w:val="20"/>
                <w:color w:val="auto"/>
              </w:rPr>
            </w:pPr>
            <w:r>
              <w:rPr>
                <w:rFonts w:ascii="Arial" w:cs="Arial" w:eastAsia="Arial" w:hAnsi="Arial"/>
                <w:sz w:val="18"/>
                <w:szCs w:val="18"/>
                <w:b w:val="1"/>
                <w:bCs w:val="1"/>
                <w:color w:val="auto"/>
              </w:rPr>
              <w:t>Name of Issuer:</w:t>
            </w:r>
          </w:p>
        </w:tc>
      </w:tr>
      <w:tr>
        <w:trPr>
          <w:trHeight w:val="230"/>
        </w:trPr>
        <w:tc>
          <w:tcPr>
            <w:tcW w:w="1040" w:type="dxa"/>
            <w:vAlign w:val="bottom"/>
          </w:tcPr>
          <w:p>
            <w:pPr>
              <w:spacing w:after="0"/>
              <w:rPr>
                <w:sz w:val="20"/>
                <w:szCs w:val="20"/>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Casual Male Retail Group, Inc.</w:t>
            </w:r>
          </w:p>
        </w:tc>
      </w:tr>
      <w:tr>
        <w:trPr>
          <w:trHeight w:val="418"/>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380" w:type="dxa"/>
            <w:vAlign w:val="bottom"/>
          </w:tcPr>
          <w:p>
            <w:pPr>
              <w:ind w:left="26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216"/>
        </w:trPr>
        <w:tc>
          <w:tcPr>
            <w:tcW w:w="104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555 Turnpike Street</w:t>
            </w:r>
          </w:p>
        </w:tc>
      </w:tr>
      <w:tr>
        <w:trPr>
          <w:trHeight w:val="230"/>
        </w:trPr>
        <w:tc>
          <w:tcPr>
            <w:tcW w:w="1040" w:type="dxa"/>
            <w:vAlign w:val="bottom"/>
          </w:tcPr>
          <w:p>
            <w:pPr>
              <w:spacing w:after="0"/>
              <w:rPr>
                <w:sz w:val="20"/>
                <w:szCs w:val="20"/>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Canton, MA 02021</w:t>
            </w:r>
          </w:p>
        </w:tc>
      </w:tr>
      <w:tr>
        <w:trPr>
          <w:trHeight w:val="418"/>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380" w:type="dxa"/>
            <w:vAlign w:val="bottom"/>
          </w:tcPr>
          <w:p>
            <w:pPr>
              <w:ind w:left="260"/>
              <w:spacing w:after="0"/>
              <w:rPr>
                <w:sz w:val="20"/>
                <w:szCs w:val="20"/>
                <w:color w:val="auto"/>
              </w:rPr>
            </w:pPr>
            <w:r>
              <w:rPr>
                <w:rFonts w:ascii="Arial" w:cs="Arial" w:eastAsia="Arial" w:hAnsi="Arial"/>
                <w:sz w:val="18"/>
                <w:szCs w:val="18"/>
                <w:b w:val="1"/>
                <w:bCs w:val="1"/>
                <w:color w:val="auto"/>
              </w:rPr>
              <w:t>Name of Person Filing:</w:t>
            </w:r>
          </w:p>
        </w:tc>
      </w:tr>
      <w:tr>
        <w:trPr>
          <w:trHeight w:val="216"/>
        </w:trPr>
        <w:tc>
          <w:tcPr>
            <w:tcW w:w="104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Glenhill Advisors, LLC, Glenn J. Krevlin and Glenhill Capital Management, LLC.</w:t>
            </w:r>
          </w:p>
        </w:tc>
      </w:tr>
      <w:tr>
        <w:trPr>
          <w:trHeight w:val="216"/>
        </w:trPr>
        <w:tc>
          <w:tcPr>
            <w:tcW w:w="104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w w:val="93"/>
              </w:rPr>
              <w:t>Glenn J. Krevlin is the managing member and control person of Glenhill Advisors, LLC. Glenhill Advisors, LLC is the managing member</w:t>
            </w:r>
          </w:p>
        </w:tc>
      </w:tr>
      <w:tr>
        <w:trPr>
          <w:trHeight w:val="216"/>
        </w:trPr>
        <w:tc>
          <w:tcPr>
            <w:tcW w:w="104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of</w:t>
            </w:r>
          </w:p>
        </w:tc>
      </w:tr>
      <w:tr>
        <w:trPr>
          <w:trHeight w:val="216"/>
        </w:trPr>
        <w:tc>
          <w:tcPr>
            <w:tcW w:w="104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w w:val="94"/>
              </w:rPr>
              <w:t>Glenhill Capital Management, LLC. Glenhill Capital Management, LLC is the general partner and investment advisor of Glenhill Capital</w:t>
            </w:r>
          </w:p>
        </w:tc>
      </w:tr>
      <w:tr>
        <w:trPr>
          <w:trHeight w:val="216"/>
        </w:trPr>
        <w:tc>
          <w:tcPr>
            <w:tcW w:w="104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LP,</w:t>
            </w:r>
          </w:p>
        </w:tc>
      </w:tr>
      <w:tr>
        <w:trPr>
          <w:trHeight w:val="216"/>
        </w:trPr>
        <w:tc>
          <w:tcPr>
            <w:tcW w:w="104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w w:val="90"/>
              </w:rPr>
              <w:t>a security holder of the issuer, managing member of Glenhill Concentrated Long Master Fund, LLC, a security holder of the issuer, and sole</w:t>
            </w:r>
          </w:p>
        </w:tc>
      </w:tr>
      <w:tr>
        <w:trPr>
          <w:trHeight w:val="216"/>
        </w:trPr>
        <w:tc>
          <w:tcPr>
            <w:tcW w:w="104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w w:val="91"/>
              </w:rPr>
              <w:t>shareholder of Glenhill Capital Overseas GP, Ltd. Glenhill Capital Overseas GP, Ltd. is general partner of Glenhill Capital Overseas Master</w:t>
            </w:r>
          </w:p>
        </w:tc>
      </w:tr>
      <w:tr>
        <w:trPr>
          <w:trHeight w:val="216"/>
        </w:trPr>
        <w:tc>
          <w:tcPr>
            <w:tcW w:w="104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Fund, LP,</w:t>
            </w:r>
          </w:p>
        </w:tc>
      </w:tr>
      <w:tr>
        <w:trPr>
          <w:trHeight w:val="230"/>
        </w:trPr>
        <w:tc>
          <w:tcPr>
            <w:tcW w:w="1040" w:type="dxa"/>
            <w:vAlign w:val="bottom"/>
          </w:tcPr>
          <w:p>
            <w:pPr>
              <w:spacing w:after="0"/>
              <w:rPr>
                <w:sz w:val="20"/>
                <w:szCs w:val="20"/>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a security holder of the issuer.</w:t>
            </w:r>
          </w:p>
        </w:tc>
      </w:tr>
      <w:tr>
        <w:trPr>
          <w:trHeight w:val="6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380" w:type="dxa"/>
            <w:vAlign w:val="bottom"/>
          </w:tcPr>
          <w:p>
            <w:pPr>
              <w:ind w:left="26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216"/>
        </w:trPr>
        <w:tc>
          <w:tcPr>
            <w:tcW w:w="1040" w:type="dxa"/>
            <w:vAlign w:val="bottom"/>
          </w:tcPr>
          <w:p>
            <w:pPr>
              <w:spacing w:after="0"/>
              <w:rPr>
                <w:sz w:val="18"/>
                <w:szCs w:val="18"/>
                <w:color w:val="auto"/>
              </w:rPr>
            </w:pPr>
          </w:p>
        </w:tc>
        <w:tc>
          <w:tcPr>
            <w:tcW w:w="10380" w:type="dxa"/>
            <w:vAlign w:val="bottom"/>
          </w:tcPr>
          <w:p>
            <w:pPr>
              <w:ind w:left="260"/>
              <w:spacing w:after="0" w:line="216" w:lineRule="exact"/>
              <w:rPr>
                <w:sz w:val="20"/>
                <w:szCs w:val="20"/>
                <w:color w:val="auto"/>
              </w:rPr>
            </w:pPr>
            <w:r>
              <w:rPr>
                <w:rFonts w:ascii="Arial" w:cs="Arial" w:eastAsia="Arial" w:hAnsi="Arial"/>
                <w:sz w:val="18"/>
                <w:szCs w:val="18"/>
                <w:color w:val="auto"/>
              </w:rPr>
              <w:t>156 West 56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17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r>
      <w:tr>
        <w:trPr>
          <w:trHeight w:val="230"/>
        </w:trPr>
        <w:tc>
          <w:tcPr>
            <w:tcW w:w="1040" w:type="dxa"/>
            <w:vAlign w:val="bottom"/>
          </w:tcPr>
          <w:p>
            <w:pPr>
              <w:spacing w:after="0"/>
              <w:rPr>
                <w:sz w:val="20"/>
                <w:szCs w:val="20"/>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New York, NY 10019</w:t>
            </w:r>
          </w:p>
        </w:tc>
      </w:tr>
      <w:tr>
        <w:trPr>
          <w:trHeight w:val="418"/>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380" w:type="dxa"/>
            <w:vAlign w:val="bottom"/>
          </w:tcPr>
          <w:p>
            <w:pPr>
              <w:ind w:left="260"/>
              <w:spacing w:after="0"/>
              <w:rPr>
                <w:sz w:val="20"/>
                <w:szCs w:val="20"/>
                <w:color w:val="auto"/>
              </w:rPr>
            </w:pPr>
            <w:r>
              <w:rPr>
                <w:rFonts w:ascii="Arial" w:cs="Arial" w:eastAsia="Arial" w:hAnsi="Arial"/>
                <w:sz w:val="18"/>
                <w:szCs w:val="18"/>
                <w:b w:val="1"/>
                <w:bCs w:val="1"/>
                <w:color w:val="auto"/>
              </w:rPr>
              <w:t>Citizenship:</w:t>
            </w:r>
          </w:p>
        </w:tc>
      </w:tr>
      <w:tr>
        <w:trPr>
          <w:trHeight w:val="230"/>
        </w:trPr>
        <w:tc>
          <w:tcPr>
            <w:tcW w:w="1040" w:type="dxa"/>
            <w:vAlign w:val="bottom"/>
          </w:tcPr>
          <w:p>
            <w:pPr>
              <w:spacing w:after="0"/>
              <w:rPr>
                <w:sz w:val="20"/>
                <w:szCs w:val="20"/>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See the response(s) to Item 4 on the attached cover page(s).</w:t>
            </w:r>
          </w:p>
        </w:tc>
      </w:tr>
      <w:tr>
        <w:trPr>
          <w:trHeight w:val="418"/>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380" w:type="dxa"/>
            <w:vAlign w:val="bottom"/>
          </w:tcPr>
          <w:p>
            <w:pPr>
              <w:ind w:left="26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1040" w:type="dxa"/>
            <w:vAlign w:val="bottom"/>
          </w:tcPr>
          <w:p>
            <w:pPr>
              <w:spacing w:after="0"/>
              <w:rPr>
                <w:sz w:val="20"/>
                <w:szCs w:val="20"/>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Common Stock</w:t>
            </w:r>
          </w:p>
        </w:tc>
      </w:tr>
      <w:tr>
        <w:trPr>
          <w:trHeight w:val="418"/>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380" w:type="dxa"/>
            <w:vAlign w:val="bottom"/>
          </w:tcPr>
          <w:p>
            <w:pPr>
              <w:ind w:left="260"/>
              <w:spacing w:after="0"/>
              <w:rPr>
                <w:sz w:val="20"/>
                <w:szCs w:val="20"/>
                <w:color w:val="auto"/>
              </w:rPr>
            </w:pPr>
            <w:r>
              <w:rPr>
                <w:rFonts w:ascii="Arial" w:cs="Arial" w:eastAsia="Arial" w:hAnsi="Arial"/>
                <w:sz w:val="18"/>
                <w:szCs w:val="18"/>
                <w:b w:val="1"/>
                <w:bCs w:val="1"/>
                <w:color w:val="auto"/>
              </w:rPr>
              <w:t>CUSIP Number:</w:t>
            </w:r>
          </w:p>
        </w:tc>
      </w:tr>
      <w:tr>
        <w:trPr>
          <w:trHeight w:val="230"/>
        </w:trPr>
        <w:tc>
          <w:tcPr>
            <w:tcW w:w="1040" w:type="dxa"/>
            <w:vAlign w:val="bottom"/>
          </w:tcPr>
          <w:p>
            <w:pPr>
              <w:spacing w:after="0"/>
              <w:rPr>
                <w:sz w:val="20"/>
                <w:szCs w:val="20"/>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148711302</w:t>
            </w:r>
          </w:p>
        </w:tc>
      </w:tr>
      <w:tr>
        <w:trPr>
          <w:trHeight w:val="418"/>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380" w:type="dxa"/>
            <w:vAlign w:val="bottom"/>
          </w:tcPr>
          <w:p>
            <w:pPr>
              <w:ind w:left="260"/>
              <w:spacing w:after="0"/>
              <w:rPr>
                <w:sz w:val="20"/>
                <w:szCs w:val="20"/>
                <w:color w:val="auto"/>
              </w:rPr>
            </w:pPr>
            <w:r>
              <w:rPr>
                <w:rFonts w:ascii="Arial" w:cs="Arial" w:eastAsia="Arial" w:hAnsi="Arial"/>
                <w:sz w:val="18"/>
                <w:szCs w:val="18"/>
                <w:b w:val="1"/>
                <w:bCs w:val="1"/>
                <w:color w:val="auto"/>
              </w:rPr>
              <w:t>If this statement is filed pursuant to §§240.13d-1(b) or 240.13d-2(b) or (c), check whether the person filing is a:</w:t>
            </w:r>
          </w:p>
        </w:tc>
      </w:tr>
      <w:tr>
        <w:trPr>
          <w:trHeight w:val="230"/>
        </w:trPr>
        <w:tc>
          <w:tcPr>
            <w:tcW w:w="1040" w:type="dxa"/>
            <w:vAlign w:val="bottom"/>
          </w:tcPr>
          <w:p>
            <w:pPr>
              <w:spacing w:after="0"/>
              <w:rPr>
                <w:sz w:val="20"/>
                <w:szCs w:val="20"/>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902"/>
        </w:trPr>
        <w:tc>
          <w:tcPr>
            <w:tcW w:w="1040" w:type="dxa"/>
            <w:vAlign w:val="bottom"/>
            <w:tcBorders>
              <w:bottom w:val="single" w:sz="8" w:color="808080"/>
            </w:tcBorders>
          </w:tcPr>
          <w:p>
            <w:pPr>
              <w:spacing w:after="0"/>
              <w:rPr>
                <w:sz w:val="24"/>
                <w:szCs w:val="24"/>
                <w:color w:val="auto"/>
              </w:rPr>
            </w:pPr>
          </w:p>
        </w:tc>
        <w:tc>
          <w:tcPr>
            <w:tcW w:w="10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 w:name="page6"/>
    <w:bookmarkEnd w:id="5"/>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7"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identified in Item 1:</w:t>
      </w:r>
    </w:p>
    <w:p>
      <w:pPr>
        <w:spacing w:after="0" w:line="211" w:lineRule="exact"/>
        <w:rPr>
          <w:sz w:val="20"/>
          <w:szCs w:val="20"/>
          <w:color w:val="auto"/>
        </w:rPr>
      </w:pPr>
    </w:p>
    <w:p>
      <w:pPr>
        <w:ind w:left="1620" w:hanging="419"/>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210" w:lineRule="exact"/>
        <w:rPr>
          <w:rFonts w:ascii="Arial" w:cs="Arial" w:eastAsia="Arial" w:hAnsi="Arial"/>
          <w:sz w:val="18"/>
          <w:szCs w:val="18"/>
          <w:color w:val="auto"/>
        </w:rPr>
      </w:pPr>
    </w:p>
    <w:p>
      <w:pPr>
        <w:ind w:left="1620" w:hanging="419"/>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620" w:right="100"/>
        <w:spacing w:after="0" w:line="250" w:lineRule="auto"/>
        <w:rPr>
          <w:rFonts w:ascii="Arial" w:cs="Arial" w:eastAsia="Arial" w:hAnsi="Arial"/>
          <w:sz w:val="18"/>
          <w:szCs w:val="18"/>
          <w:color w:val="auto"/>
        </w:rPr>
      </w:pPr>
      <w:r>
        <w:rPr>
          <w:rFonts w:ascii="Arial" w:cs="Arial" w:eastAsia="Arial" w:hAnsi="Arial"/>
          <w:sz w:val="18"/>
          <w:szCs w:val="18"/>
          <w:color w:val="auto"/>
        </w:rPr>
        <w:t>See the response(s) to Item 11 on the attached cover page(s), which was determined by dividing the number of shares beneficially held by the Reporting</w:t>
      </w:r>
    </w:p>
    <w:p>
      <w:pPr>
        <w:ind w:left="1620" w:right="180"/>
        <w:spacing w:after="0" w:line="250" w:lineRule="auto"/>
        <w:rPr>
          <w:rFonts w:ascii="Arial" w:cs="Arial" w:eastAsia="Arial" w:hAnsi="Arial"/>
          <w:sz w:val="18"/>
          <w:szCs w:val="18"/>
          <w:color w:val="auto"/>
        </w:rPr>
      </w:pPr>
      <w:r>
        <w:rPr>
          <w:rFonts w:ascii="Arial" w:cs="Arial" w:eastAsia="Arial" w:hAnsi="Arial"/>
          <w:sz w:val="18"/>
          <w:szCs w:val="18"/>
          <w:color w:val="auto"/>
        </w:rPr>
        <w:t>Person by 47,165,004, the number of shares of common stock issued and outstanding as reported in the Issuer’s Form 10-Q filed with the Securities and</w:t>
      </w:r>
    </w:p>
    <w:p>
      <w:pPr>
        <w:ind w:left="1620"/>
        <w:spacing w:after="0"/>
        <w:rPr>
          <w:rFonts w:ascii="Arial" w:cs="Arial" w:eastAsia="Arial" w:hAnsi="Arial"/>
          <w:sz w:val="18"/>
          <w:szCs w:val="18"/>
          <w:color w:val="auto"/>
        </w:rPr>
      </w:pPr>
      <w:r>
        <w:rPr>
          <w:rFonts w:ascii="Arial" w:cs="Arial" w:eastAsia="Arial" w:hAnsi="Arial"/>
          <w:sz w:val="18"/>
          <w:szCs w:val="18"/>
          <w:color w:val="auto"/>
        </w:rPr>
        <w:t>Exchange Commission on November 20, 2009.</w:t>
      </w:r>
    </w:p>
    <w:p>
      <w:pPr>
        <w:spacing w:after="0" w:line="210" w:lineRule="exact"/>
        <w:rPr>
          <w:rFonts w:ascii="Arial" w:cs="Arial" w:eastAsia="Arial" w:hAnsi="Arial"/>
          <w:sz w:val="18"/>
          <w:szCs w:val="18"/>
          <w:color w:val="auto"/>
        </w:rPr>
      </w:pPr>
    </w:p>
    <w:p>
      <w:pPr>
        <w:ind w:left="1620" w:hanging="419"/>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080" w:hanging="465"/>
        <w:spacing w:after="0"/>
        <w:tabs>
          <w:tab w:leader="none" w:pos="2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 w:lineRule="exact"/>
        <w:rPr>
          <w:rFonts w:ascii="Arial" w:cs="Arial" w:eastAsia="Arial" w:hAnsi="Arial"/>
          <w:sz w:val="18"/>
          <w:szCs w:val="18"/>
          <w:color w:val="auto"/>
        </w:rPr>
      </w:pPr>
    </w:p>
    <w:p>
      <w:pPr>
        <w:ind w:left="208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210" w:lineRule="exact"/>
        <w:rPr>
          <w:rFonts w:ascii="Arial" w:cs="Arial" w:eastAsia="Arial" w:hAnsi="Arial"/>
          <w:sz w:val="18"/>
          <w:szCs w:val="18"/>
          <w:color w:val="auto"/>
        </w:rPr>
      </w:pPr>
    </w:p>
    <w:p>
      <w:pPr>
        <w:ind w:left="2080" w:hanging="465"/>
        <w:spacing w:after="0"/>
        <w:tabs>
          <w:tab w:leader="none" w:pos="2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 w:lineRule="exact"/>
        <w:rPr>
          <w:rFonts w:ascii="Arial" w:cs="Arial" w:eastAsia="Arial" w:hAnsi="Arial"/>
          <w:sz w:val="18"/>
          <w:szCs w:val="18"/>
          <w:color w:val="auto"/>
        </w:rPr>
      </w:pPr>
    </w:p>
    <w:p>
      <w:pPr>
        <w:ind w:left="208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210" w:lineRule="exact"/>
        <w:rPr>
          <w:rFonts w:ascii="Arial" w:cs="Arial" w:eastAsia="Arial" w:hAnsi="Arial"/>
          <w:sz w:val="18"/>
          <w:szCs w:val="18"/>
          <w:color w:val="auto"/>
        </w:rPr>
      </w:pPr>
    </w:p>
    <w:p>
      <w:pPr>
        <w:ind w:left="2080" w:hanging="465"/>
        <w:spacing w:after="0"/>
        <w:tabs>
          <w:tab w:leader="none" w:pos="20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18"/>
          <w:szCs w:val="18"/>
          <w:color w:val="auto"/>
        </w:rPr>
      </w:pPr>
    </w:p>
    <w:p>
      <w:pPr>
        <w:ind w:left="2080"/>
        <w:spacing w:after="0"/>
        <w:rPr>
          <w:rFonts w:ascii="Arial" w:cs="Arial" w:eastAsia="Arial" w:hAnsi="Arial"/>
          <w:sz w:val="18"/>
          <w:szCs w:val="18"/>
          <w:color w:val="auto"/>
        </w:rPr>
      </w:pPr>
      <w:r>
        <w:rPr>
          <w:rFonts w:ascii="Arial" w:cs="Arial" w:eastAsia="Arial" w:hAnsi="Arial"/>
          <w:sz w:val="18"/>
          <w:szCs w:val="18"/>
          <w:color w:val="auto"/>
        </w:rPr>
        <w:t>See the response(s) to Item 7 on the attached cover page(s).</w:t>
      </w:r>
    </w:p>
    <w:p>
      <w:pPr>
        <w:spacing w:after="0" w:line="210" w:lineRule="exact"/>
        <w:rPr>
          <w:rFonts w:ascii="Arial" w:cs="Arial" w:eastAsia="Arial" w:hAnsi="Arial"/>
          <w:sz w:val="18"/>
          <w:szCs w:val="18"/>
          <w:color w:val="auto"/>
        </w:rPr>
      </w:pPr>
    </w:p>
    <w:p>
      <w:pPr>
        <w:ind w:left="2080" w:right="5060" w:hanging="465"/>
        <w:spacing w:after="0" w:line="342" w:lineRule="auto"/>
        <w:tabs>
          <w:tab w:leader="none" w:pos="20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the response(s) to Item 8 on the attached cover page(s).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230"/>
        </w:trPr>
        <w:tc>
          <w:tcPr>
            <w:tcW w:w="90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18"/>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230"/>
        </w:trPr>
        <w:tc>
          <w:tcPr>
            <w:tcW w:w="90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14"/>
        </w:trPr>
        <w:tc>
          <w:tcPr>
            <w:tcW w:w="9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w w:val="91"/>
              </w:rPr>
              <w:t>Identification and Classification of the Subsidiary Which Acquired the Security Being Reported on by the Parent Holding Company</w:t>
            </w:r>
          </w:p>
        </w:tc>
      </w:tr>
      <w:tr>
        <w:trPr>
          <w:trHeight w:val="220"/>
        </w:trPr>
        <w:tc>
          <w:tcPr>
            <w:tcW w:w="900" w:type="dxa"/>
            <w:vAlign w:val="bottom"/>
          </w:tcPr>
          <w:p>
            <w:pPr>
              <w:spacing w:after="0"/>
              <w:rPr>
                <w:sz w:val="19"/>
                <w:szCs w:val="19"/>
                <w:color w:val="auto"/>
              </w:rPr>
            </w:pP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rPr>
              <w:t>or Control Person.</w:t>
            </w:r>
          </w:p>
        </w:tc>
      </w:tr>
      <w:tr>
        <w:trPr>
          <w:trHeight w:val="230"/>
        </w:trPr>
        <w:tc>
          <w:tcPr>
            <w:tcW w:w="90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18"/>
        </w:trPr>
        <w:tc>
          <w:tcPr>
            <w:tcW w:w="9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230"/>
        </w:trPr>
        <w:tc>
          <w:tcPr>
            <w:tcW w:w="90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18"/>
        </w:trPr>
        <w:tc>
          <w:tcPr>
            <w:tcW w:w="90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rPr>
              <w:t>Notice of Dissolution of Group.</w:t>
            </w:r>
          </w:p>
        </w:tc>
      </w:tr>
      <w:tr>
        <w:trPr>
          <w:trHeight w:val="230"/>
        </w:trPr>
        <w:tc>
          <w:tcPr>
            <w:tcW w:w="90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418"/>
        </w:trPr>
        <w:tc>
          <w:tcPr>
            <w:tcW w:w="90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r>
      <w:tr>
        <w:trPr>
          <w:trHeight w:val="216"/>
        </w:trPr>
        <w:tc>
          <w:tcPr>
            <w:tcW w:w="90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1"/>
              </w:rPr>
              <w:t>By signing below I certify that, to the best of my knowledge and belief, the securities referred to above were not acquired and are not held for</w:t>
            </w:r>
          </w:p>
        </w:tc>
      </w:tr>
      <w:tr>
        <w:trPr>
          <w:trHeight w:val="216"/>
        </w:trPr>
        <w:tc>
          <w:tcPr>
            <w:tcW w:w="90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the purpose of or with</w:t>
            </w:r>
          </w:p>
        </w:tc>
      </w:tr>
      <w:tr>
        <w:trPr>
          <w:trHeight w:val="216"/>
        </w:trPr>
        <w:tc>
          <w:tcPr>
            <w:tcW w:w="90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1"/>
              </w:rPr>
              <w:t>the effect of changing or influencing the control of the issuer of the securities and were not acquired and are not held in connection with or as</w:t>
            </w:r>
          </w:p>
        </w:tc>
      </w:tr>
      <w:tr>
        <w:trPr>
          <w:trHeight w:val="216"/>
        </w:trPr>
        <w:tc>
          <w:tcPr>
            <w:tcW w:w="90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a participant in any</w:t>
            </w:r>
          </w:p>
        </w:tc>
      </w:tr>
      <w:tr>
        <w:trPr>
          <w:trHeight w:val="230"/>
        </w:trPr>
        <w:tc>
          <w:tcPr>
            <w:tcW w:w="90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transaction having that purpose or effect.</w:t>
            </w:r>
          </w:p>
        </w:tc>
      </w:tr>
      <w:tr>
        <w:trPr>
          <w:trHeight w:val="902"/>
        </w:trPr>
        <w:tc>
          <w:tcPr>
            <w:tcW w:w="900" w:type="dxa"/>
            <w:vAlign w:val="bottom"/>
            <w:tcBorders>
              <w:bottom w:val="single" w:sz="8" w:color="808080"/>
            </w:tcBorders>
          </w:tcPr>
          <w:p>
            <w:pPr>
              <w:spacing w:after="0"/>
              <w:rPr>
                <w:sz w:val="24"/>
                <w:szCs w:val="24"/>
                <w:color w:val="auto"/>
              </w:rPr>
            </w:pPr>
          </w:p>
        </w:tc>
        <w:tc>
          <w:tcPr>
            <w:tcW w:w="10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 w:name="page7"/>
    <w:bookmarkEnd w:id="6"/>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1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February 16, 2010</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GLENHILL ADVISORS, LLC</w:t>
      </w:r>
    </w:p>
    <w:p>
      <w:pPr>
        <w:spacing w:after="0" w:line="21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 /s/ GLENN J. KREVLIN</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Glenn J. Krevlin</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23"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/s/ GLENN J. KREVLIN</w:t>
      </w:r>
    </w:p>
    <w:p>
      <w:pPr>
        <w:spacing w:after="0" w:line="22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Glenn J. Krevlin</w:t>
      </w:r>
    </w:p>
    <w:p>
      <w:pPr>
        <w:spacing w:after="0" w:line="200" w:lineRule="exact"/>
        <w:rPr>
          <w:sz w:val="20"/>
          <w:szCs w:val="20"/>
          <w:color w:val="auto"/>
        </w:rPr>
      </w:pPr>
    </w:p>
    <w:p>
      <w:pPr>
        <w:spacing w:after="0" w:line="23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GLENHILL CAPITAL MANAGEMENT, LLC</w:t>
      </w:r>
    </w:p>
    <w:p>
      <w:pPr>
        <w:spacing w:after="0" w:line="22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 GLENHILL ADVISORS, LLC</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 /s/ GLENN J. KREVLIN</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Glenn J. Krevlin</w:t>
      </w:r>
    </w:p>
    <w:p>
      <w:pPr>
        <w:spacing w:after="0" w:line="23"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878205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513" w:right="59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upperLetter"/>
      <w:start w:val="24"/>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2"/>
      <w:numFmt w:val="bullet"/>
      <w:start w:val="1"/>
    </w:lvl>
    <w:lvl w:ilvl="1">
      <w:lvlJc w:val="left"/>
      <w:lvlText w:val="(%2)"/>
      <w:numFmt w:val="lowerLetter"/>
      <w:start w:val="1"/>
    </w:lvl>
  </w:abstractNum>
  <w:abstractNum w:abstractNumId="3">
    <w:nsid w:val="7FDCC233"/>
    <w:multiLevelType w:val="hybridMultilevel"/>
    <w:lvl w:ilvl="0">
      <w:lvlJc w:val="left"/>
      <w:lvlText w:val="3"/>
      <w:numFmt w:val="bullet"/>
      <w:start w:val="1"/>
    </w:lvl>
  </w:abstractNum>
  <w:abstractNum w:abstractNumId="4">
    <w:nsid w:val="1BEFD79F"/>
    <w:multiLevelType w:val="hybridMultilevel"/>
    <w:lvl w:ilvl="0">
      <w:lvlJc w:val="left"/>
      <w:lvlText w:val="4"/>
      <w:numFmt w:val="bullet"/>
      <w:start w:val="1"/>
    </w:lvl>
  </w:abstractNum>
  <w:abstractNum w:abstractNumId="5">
    <w:nsid w:val="41A7C4C9"/>
    <w:multiLevelType w:val="hybridMultilevel"/>
    <w:lvl w:ilvl="0">
      <w:lvlJc w:val="left"/>
      <w:lvlText w:val="9"/>
      <w:numFmt w:val="bullet"/>
      <w:start w:val="1"/>
    </w:lvl>
  </w:abstractNum>
  <w:abstractNum w:abstractNumId="6">
    <w:nsid w:val="6B68079A"/>
    <w:multiLevelType w:val="hybridMultilevel"/>
    <w:lvl w:ilvl="0">
      <w:lvlJc w:val="left"/>
      <w:lvlText w:val="%1"/>
      <w:numFmt w:val="decimal"/>
      <w:start w:val="11"/>
    </w:lvl>
  </w:abstractNum>
  <w:abstractNum w:abstractNumId="7">
    <w:nsid w:val="4E6AFB66"/>
    <w:multiLevelType w:val="hybridMultilevel"/>
    <w:lvl w:ilvl="0">
      <w:lvlJc w:val="left"/>
      <w:lvlText w:val="%1"/>
      <w:numFmt w:val="decimal"/>
      <w:start w:val="12"/>
    </w:lvl>
  </w:abstractNum>
  <w:abstractNum w:abstractNumId="8">
    <w:nsid w:val="25E45D32"/>
    <w:multiLevelType w:val="hybridMultilevel"/>
    <w:lvl w:ilvl="0">
      <w:lvlJc w:val="left"/>
      <w:lvlText w:val="1"/>
      <w:numFmt w:val="bullet"/>
      <w:start w:val="1"/>
    </w:lvl>
  </w:abstractNum>
  <w:abstractNum w:abstractNumId="9">
    <w:nsid w:val="519B500D"/>
    <w:multiLevelType w:val="hybridMultilevel"/>
    <w:lvl w:ilvl="0">
      <w:lvlJc w:val="left"/>
      <w:lvlText w:val="2"/>
      <w:numFmt w:val="bullet"/>
      <w:start w:val="1"/>
    </w:lvl>
    <w:lvl w:ilvl="1">
      <w:lvlJc w:val="left"/>
      <w:lvlText w:val="(%2)"/>
      <w:numFmt w:val="lowerLetter"/>
      <w:start w:val="1"/>
    </w:lvl>
  </w:abstractNum>
  <w:abstractNum w:abstractNumId="10">
    <w:nsid w:val="431BD7B7"/>
    <w:multiLevelType w:val="hybridMultilevel"/>
    <w:lvl w:ilvl="0">
      <w:lvlJc w:val="left"/>
      <w:lvlText w:val="3"/>
      <w:numFmt w:val="bullet"/>
      <w:start w:val="1"/>
    </w:lvl>
  </w:abstractNum>
  <w:abstractNum w:abstractNumId="11">
    <w:nsid w:val="3F2DBA31"/>
    <w:multiLevelType w:val="hybridMultilevel"/>
    <w:lvl w:ilvl="0">
      <w:lvlJc w:val="left"/>
      <w:lvlText w:val="4"/>
      <w:numFmt w:val="bullet"/>
      <w:start w:val="1"/>
    </w:lvl>
  </w:abstractNum>
  <w:abstractNum w:abstractNumId="12">
    <w:nsid w:val="7C83E458"/>
    <w:multiLevelType w:val="hybridMultilevel"/>
    <w:lvl w:ilvl="0">
      <w:lvlJc w:val="left"/>
      <w:lvlText w:val="9"/>
      <w:numFmt w:val="bullet"/>
      <w:start w:val="1"/>
    </w:lvl>
  </w:abstractNum>
  <w:abstractNum w:abstractNumId="13">
    <w:nsid w:val="257130A3"/>
    <w:multiLevelType w:val="hybridMultilevel"/>
    <w:lvl w:ilvl="0">
      <w:lvlJc w:val="left"/>
      <w:lvlText w:val="%1"/>
      <w:numFmt w:val="decimal"/>
      <w:start w:val="10"/>
    </w:lvl>
  </w:abstractNum>
  <w:abstractNum w:abstractNumId="14">
    <w:nsid w:val="62BBD95A"/>
    <w:multiLevelType w:val="hybridMultilevel"/>
    <w:lvl w:ilvl="0">
      <w:lvlJc w:val="left"/>
      <w:lvlText w:val="%1"/>
      <w:numFmt w:val="decimal"/>
      <w:start w:val="11"/>
    </w:lvl>
  </w:abstractNum>
  <w:abstractNum w:abstractNumId="15">
    <w:nsid w:val="436C6125"/>
    <w:multiLevelType w:val="hybridMultilevel"/>
    <w:lvl w:ilvl="0">
      <w:lvlJc w:val="left"/>
      <w:lvlText w:val="%1"/>
      <w:numFmt w:val="decimal"/>
      <w:start w:val="12"/>
    </w:lvl>
  </w:abstractNum>
  <w:abstractNum w:abstractNumId="16">
    <w:nsid w:val="628C895D"/>
    <w:multiLevelType w:val="hybridMultilevel"/>
    <w:lvl w:ilvl="0">
      <w:lvlJc w:val="left"/>
      <w:lvlText w:val="1"/>
      <w:numFmt w:val="bullet"/>
      <w:start w:val="1"/>
    </w:lvl>
  </w:abstractNum>
  <w:abstractNum w:abstractNumId="17">
    <w:nsid w:val="333AB105"/>
    <w:multiLevelType w:val="hybridMultilevel"/>
    <w:lvl w:ilvl="0">
      <w:lvlJc w:val="left"/>
      <w:lvlText w:val="2"/>
      <w:numFmt w:val="bullet"/>
      <w:start w:val="1"/>
    </w:lvl>
    <w:lvl w:ilvl="1">
      <w:lvlJc w:val="left"/>
      <w:lvlText w:val="(%2)"/>
      <w:numFmt w:val="lowerLetter"/>
      <w:start w:val="1"/>
    </w:lvl>
  </w:abstractNum>
  <w:abstractNum w:abstractNumId="18">
    <w:nsid w:val="721DA317"/>
    <w:multiLevelType w:val="hybridMultilevel"/>
    <w:lvl w:ilvl="0">
      <w:lvlJc w:val="left"/>
      <w:lvlText w:val="3"/>
      <w:numFmt w:val="bullet"/>
      <w:start w:val="1"/>
    </w:lvl>
  </w:abstractNum>
  <w:abstractNum w:abstractNumId="19">
    <w:nsid w:val="2443A858"/>
    <w:multiLevelType w:val="hybridMultilevel"/>
    <w:lvl w:ilvl="0">
      <w:lvlJc w:val="left"/>
      <w:lvlText w:val="4"/>
      <w:numFmt w:val="bullet"/>
      <w:start w:val="1"/>
    </w:lvl>
  </w:abstractNum>
  <w:abstractNum w:abstractNumId="20">
    <w:nsid w:val="2D1D5AE9"/>
    <w:multiLevelType w:val="hybridMultilevel"/>
    <w:lvl w:ilvl="0">
      <w:lvlJc w:val="left"/>
      <w:lvlText w:val="9"/>
      <w:numFmt w:val="bullet"/>
      <w:start w:val="1"/>
    </w:lvl>
  </w:abstractNum>
  <w:abstractNum w:abstractNumId="21">
    <w:nsid w:val="6763845E"/>
    <w:multiLevelType w:val="hybridMultilevel"/>
    <w:lvl w:ilvl="0">
      <w:lvlJc w:val="left"/>
      <w:lvlText w:val="%1"/>
      <w:numFmt w:val="decimal"/>
      <w:start w:val="10"/>
    </w:lvl>
  </w:abstractNum>
  <w:abstractNum w:abstractNumId="22">
    <w:nsid w:val="75A2A8D4"/>
    <w:multiLevelType w:val="hybridMultilevel"/>
    <w:lvl w:ilvl="0">
      <w:lvlJc w:val="left"/>
      <w:lvlText w:val="%1"/>
      <w:numFmt w:val="decimal"/>
      <w:start w:val="11"/>
    </w:lvl>
  </w:abstractNum>
  <w:abstractNum w:abstractNumId="23">
    <w:nsid w:val="8EDBDAB"/>
    <w:multiLevelType w:val="hybridMultilevel"/>
    <w:lvl w:ilvl="0">
      <w:lvlJc w:val="left"/>
      <w:lvlText w:val="%1"/>
      <w:numFmt w:val="decimal"/>
      <w:start w:val="12"/>
    </w:lvl>
  </w:abstractNum>
  <w:abstractNum w:abstractNumId="24">
    <w:nsid w:val="79838CB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2019-12-10T07:39:07Z</dcterms:created>
  <dcterms:modified xsi:type="dcterms:W3CDTF">2019-12-10T07:39:07Z</dcterms:modified>
</cp:coreProperties>
</file>