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8-K/A</w:t>
      </w:r>
    </w:p>
    <w:p>
      <w:pPr>
        <w:spacing w:after="0" w:line="17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CURRENT REPORT PURSUANT TO SECTION 13 OR 15(d)</w:t>
      </w:r>
    </w:p>
    <w:p>
      <w:pPr>
        <w:spacing w:after="0" w:line="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39"/>
          </w:cols>
          <w:pgMar w:left="220" w:top="225" w:right="1440" w:bottom="1440" w:gutter="0" w:footer="0" w:header="0"/>
        </w:sectPr>
      </w:pP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of Report: May 14, 2002</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0-15898</w:t>
      </w:r>
    </w:p>
    <w:p>
      <w:pPr>
        <w:spacing w:after="0" w:line="200" w:lineRule="exact"/>
        <w:rPr>
          <w:sz w:val="24"/>
          <w:szCs w:val="24"/>
          <w:color w:val="auto"/>
        </w:rPr>
      </w:pPr>
    </w:p>
    <w:p>
      <w:pPr>
        <w:sectPr>
          <w:pgSz w:w="11900" w:h="16838" w:orient="portrait"/>
          <w:cols w:equalWidth="0" w:num="2">
            <w:col w:w="3480" w:space="720"/>
            <w:col w:w="6039"/>
          </w:cols>
          <w:pgMar w:left="220" w:top="225" w:right="1440" w:bottom="1440" w:gutter="0" w:footer="0" w:header="0"/>
          <w:type w:val="continuous"/>
        </w:sectPr>
      </w:pPr>
    </w:p>
    <w:p>
      <w:pPr>
        <w:spacing w:after="0" w:line="30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DESIGNS,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440"/>
        <w:spacing w:after="0" w:line="237" w:lineRule="auto"/>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04-2623104</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8" w:lineRule="exact"/>
        <w:rPr>
          <w:sz w:val="24"/>
          <w:szCs w:val="24"/>
          <w:color w:val="auto"/>
        </w:rPr>
      </w:pPr>
    </w:p>
    <w:p>
      <w:pPr>
        <w:sectPr>
          <w:pgSz w:w="11900" w:h="16838" w:orient="portrait"/>
          <w:cols w:equalWidth="0" w:num="2">
            <w:col w:w="3940" w:space="180"/>
            <w:col w:w="6119"/>
          </w:cols>
          <w:pgMar w:left="220" w:top="225" w:right="1440" w:bottom="1440" w:gutter="0" w:footer="0" w:header="0"/>
          <w:type w:val="continuous"/>
        </w:sectPr>
      </w:pPr>
    </w:p>
    <w:p>
      <w:pPr>
        <w:spacing w:after="0" w:line="146" w:lineRule="exact"/>
        <w:rPr>
          <w:sz w:val="24"/>
          <w:szCs w:val="24"/>
          <w:color w:val="auto"/>
        </w:rPr>
      </w:pPr>
    </w:p>
    <w:p>
      <w:pPr>
        <w:ind w:right="1040" w:firstLine="262"/>
        <w:spacing w:after="0" w:line="261" w:lineRule="auto"/>
        <w:rPr>
          <w:sz w:val="20"/>
          <w:szCs w:val="20"/>
          <w:color w:val="auto"/>
        </w:rPr>
      </w:pPr>
      <w:r>
        <w:rPr>
          <w:rFonts w:ascii="Courier New" w:cs="Courier New" w:eastAsia="Courier New" w:hAnsi="Courier New"/>
          <w:sz w:val="14"/>
          <w:szCs w:val="14"/>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02021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540" w:space="720"/>
            <w:col w:w="4979"/>
          </w:cols>
          <w:pgMar w:left="220" w:top="225" w:right="1440" w:bottom="1440" w:gutter="0" w:footer="0" w:header="0"/>
          <w:type w:val="continuous"/>
        </w:sectPr>
      </w:pPr>
    </w:p>
    <w:p>
      <w:pPr>
        <w:spacing w:after="0" w:line="12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(781) 828-9300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Common Stock, $0.01 par value</w:t>
      </w:r>
    </w:p>
    <w:p>
      <w:pPr>
        <w:jc w:val="center"/>
        <w:ind w:right="3139"/>
        <w:spacing w:after="0" w:line="237" w:lineRule="auto"/>
        <w:rPr>
          <w:sz w:val="20"/>
          <w:szCs w:val="20"/>
          <w:color w:val="auto"/>
        </w:rPr>
      </w:pPr>
      <w:r>
        <w:rPr>
          <w:rFonts w:ascii="Courier New" w:cs="Courier New" w:eastAsia="Courier New" w:hAnsi="Courier New"/>
          <w:sz w:val="15"/>
          <w:szCs w:val="15"/>
          <w:color w:val="auto"/>
        </w:rPr>
        <w:t>(Title of each Class)</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This report on Form 8-K/A amends and supplements</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the report</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w w:val="95"/>
              </w:rPr>
              <w:t>on Form 8-K filed by</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Designs, Inc. (the "Company") on May 23, 2002 in</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connection</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 the Company's</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acquisition on May 14, 2002 of substantially all</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 assets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of Casual Male Corp.</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 certain of its subsidiaries ("Casual Male"),</w:t>
            </w:r>
          </w:p>
        </w:tc>
        <w:tc>
          <w:tcPr>
            <w:tcW w:w="2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include the financial</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information required by Item 7(a) and Item 7(b).</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61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Financial Statements, Pro Forma Financial Information and Exhibits</w:t>
            </w:r>
          </w:p>
        </w:tc>
      </w:tr>
    </w:tbl>
    <w:p>
      <w:pPr>
        <w:spacing w:after="0" w:line="166" w:lineRule="exact"/>
        <w:rPr>
          <w:sz w:val="24"/>
          <w:szCs w:val="24"/>
          <w:color w:val="auto"/>
        </w:rPr>
      </w:pPr>
    </w:p>
    <w:p>
      <w:pPr>
        <w:ind w:left="540" w:hanging="530"/>
        <w:spacing w:after="0"/>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spacing w:after="0" w:line="173"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following historical audited consolidated financial statements of Casual Male Corp. and notes thereto are included herein:</w:t>
      </w:r>
    </w:p>
    <w:p>
      <w:pPr>
        <w:spacing w:after="0" w:line="167"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Independent Auditors' Report</w:t>
      </w:r>
    </w:p>
    <w:p>
      <w:pPr>
        <w:spacing w:after="0" w:line="5" w:lineRule="exact"/>
        <w:rPr>
          <w:sz w:val="24"/>
          <w:szCs w:val="24"/>
          <w:color w:val="auto"/>
        </w:rPr>
      </w:pPr>
    </w:p>
    <w:p>
      <w:pPr>
        <w:ind w:left="540" w:right="3499"/>
        <w:spacing w:after="0" w:line="254" w:lineRule="auto"/>
        <w:rPr>
          <w:sz w:val="20"/>
          <w:szCs w:val="20"/>
          <w:color w:val="auto"/>
        </w:rPr>
      </w:pPr>
      <w:r>
        <w:rPr>
          <w:rFonts w:ascii="Courier New" w:cs="Courier New" w:eastAsia="Courier New" w:hAnsi="Courier New"/>
          <w:sz w:val="14"/>
          <w:szCs w:val="14"/>
          <w:color w:val="auto"/>
        </w:rPr>
        <w:t>Consolidated Balance Sheets as of February 2, 2002 and February 3, 2001 Consolidated Statements of Operations for the years ended February 2,</w:t>
      </w:r>
    </w:p>
    <w:p>
      <w:pPr>
        <w:ind w:left="800"/>
        <w:spacing w:after="0" w:line="231" w:lineRule="auto"/>
        <w:rPr>
          <w:sz w:val="20"/>
          <w:szCs w:val="20"/>
          <w:color w:val="auto"/>
        </w:rPr>
      </w:pPr>
      <w:r>
        <w:rPr>
          <w:rFonts w:ascii="Courier New" w:cs="Courier New" w:eastAsia="Courier New" w:hAnsi="Courier New"/>
          <w:sz w:val="15"/>
          <w:szCs w:val="15"/>
          <w:color w:val="auto"/>
        </w:rPr>
        <w:t>2002, February 3, 2001 and January 29, 2000</w:t>
      </w:r>
    </w:p>
    <w:p>
      <w:pPr>
        <w:spacing w:after="0" w:line="5" w:lineRule="exact"/>
        <w:rPr>
          <w:sz w:val="24"/>
          <w:szCs w:val="24"/>
          <w:color w:val="auto"/>
        </w:rPr>
      </w:pPr>
    </w:p>
    <w:p>
      <w:pPr>
        <w:ind w:left="800" w:right="3499" w:hanging="261"/>
        <w:spacing w:after="0" w:line="254" w:lineRule="auto"/>
        <w:rPr>
          <w:sz w:val="20"/>
          <w:szCs w:val="20"/>
          <w:color w:val="auto"/>
        </w:rPr>
      </w:pPr>
      <w:r>
        <w:rPr>
          <w:rFonts w:ascii="Courier New" w:cs="Courier New" w:eastAsia="Courier New" w:hAnsi="Courier New"/>
          <w:sz w:val="14"/>
          <w:szCs w:val="14"/>
          <w:color w:val="auto"/>
        </w:rPr>
        <w:t>Consolidated Statements of Stockholders' Equity (Deficit) for the years ended February 2, 2002, February 3, 2001 and January 29, 2000</w:t>
      </w:r>
    </w:p>
    <w:p>
      <w:pPr>
        <w:spacing w:after="0" w:line="1" w:lineRule="exact"/>
        <w:rPr>
          <w:sz w:val="24"/>
          <w:szCs w:val="24"/>
          <w:color w:val="auto"/>
        </w:rPr>
      </w:pPr>
    </w:p>
    <w:p>
      <w:pPr>
        <w:ind w:left="800" w:right="3679" w:hanging="261"/>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February 2, 2002, February 3, 2001 and January 29, 2000</w:t>
      </w:r>
    </w:p>
    <w:p>
      <w:pPr>
        <w:ind w:left="5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Casual Male Corp., Debtor-in-Possession:</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Casual Male Corp. and subsidiaries, Debtor-in-Possession, as of February 2, 2002 and February 3, 2001, and the related consolidated statements of operations, stockholders' equity (deficit), and cash flows for the 52 week period ended February 2, 2002, the 53 week period ended February 3, 2001, and the 52 week period ended January 29, 2000. These consolidated financial statements are the responsibility of the Company's management. Our responsibility is to express an opinion on these consolidated financial statements based on our audits.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Casual Male Corp. and subsidiaries as of February 2, 2002 and February 3, 2001, and the results of their operations and their cash flows for the 52 week period ended February 2, 2002, the 53 week period ended February 3, 2001, and the 52 week period ended January 29, 2000, in conformity with accounting principles generally accepted in the United States of America.</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As discussed in note 1 to the consolidated financial statements, the Company filed a petition for reorganization under Chapter 11 of the U.S. Bankruptcy Code on May 18, 2001. As of May 15, 2002, most of the assets of the Company have been sold. The Company will continue operations primarily to liquidate any remaining assets and settle the Company's remaining liabilities, including liabilities subject to compromise, to the extent possible. After the settlements have occurred, it is expected that the Company will cease operations. The financial statements do not include any adjustments that might result from the outcome of this uncertainty.</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18,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373" w:lineRule="exact"/>
        <w:rPr>
          <w:sz w:val="20"/>
          <w:szCs w:val="20"/>
          <w:color w:val="auto"/>
        </w:rPr>
      </w:pPr>
    </w:p>
    <w:p>
      <w:pPr>
        <w:sectPr>
          <w:pgSz w:w="11900" w:h="16838" w:orient="portrait"/>
          <w:cols w:equalWidth="0" w:num="2">
            <w:col w:w="3840" w:space="720"/>
            <w:col w:w="567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617" w:right="1440" w:bottom="1440" w:gutter="0" w:footer="0" w:header="0"/>
          <w:type w:val="continuous"/>
        </w:sectPr>
      </w:pPr>
    </w:p>
    <w:bookmarkStart w:id="2" w:name="page3"/>
    <w:bookmarkEnd w:id="2"/>
    <w:p>
      <w:pPr>
        <w:jc w:val="center"/>
        <w:ind w:right="1819"/>
        <w:spacing w:after="0"/>
        <w:rPr>
          <w:sz w:val="20"/>
          <w:szCs w:val="20"/>
          <w:color w:val="auto"/>
        </w:rPr>
      </w:pPr>
      <w:r>
        <w:rPr>
          <w:rFonts w:ascii="Courier New" w:cs="Courier New" w:eastAsia="Courier New" w:hAnsi="Courier New"/>
          <w:sz w:val="15"/>
          <w:szCs w:val="15"/>
          <w:color w:val="auto"/>
        </w:rPr>
        <w:t>CASUAL MALE CORP. AND SUBSIDIARIES</w:t>
      </w:r>
    </w:p>
    <w:p>
      <w:pPr>
        <w:jc w:val="center"/>
        <w:ind w:right="1819"/>
        <w:spacing w:after="0" w:line="237" w:lineRule="auto"/>
        <w:rPr>
          <w:sz w:val="20"/>
          <w:szCs w:val="20"/>
          <w:color w:val="auto"/>
        </w:rPr>
      </w:pPr>
      <w:r>
        <w:rPr>
          <w:rFonts w:ascii="Courier New" w:cs="Courier New" w:eastAsia="Courier New" w:hAnsi="Courier New"/>
          <w:sz w:val="15"/>
          <w:szCs w:val="15"/>
          <w:color w:val="auto"/>
        </w:rPr>
        <w:t>(Debtor-in-Possession)</w:t>
      </w:r>
    </w:p>
    <w:p>
      <w:pPr>
        <w:jc w:val="center"/>
        <w:ind w:right="1739"/>
        <w:spacing w:after="0" w:line="238" w:lineRule="auto"/>
        <w:rPr>
          <w:sz w:val="20"/>
          <w:szCs w:val="20"/>
          <w:color w:val="auto"/>
        </w:rPr>
      </w:pPr>
      <w:r>
        <w:rPr>
          <w:rFonts w:ascii="Courier New" w:cs="Courier New" w:eastAsia="Courier New" w:hAnsi="Courier New"/>
          <w:sz w:val="15"/>
          <w:szCs w:val="15"/>
          <w:color w:val="auto"/>
        </w:rPr>
        <w:t>Consolidated Balance Sheets</w:t>
      </w:r>
    </w:p>
    <w:p>
      <w:pPr>
        <w:jc w:val="center"/>
        <w:ind w:right="1739"/>
        <w:spacing w:after="0" w:line="237" w:lineRule="auto"/>
        <w:rPr>
          <w:sz w:val="20"/>
          <w:szCs w:val="20"/>
          <w:color w:val="auto"/>
        </w:rPr>
      </w:pPr>
      <w:r>
        <w:rPr>
          <w:rFonts w:ascii="Courier New" w:cs="Courier New" w:eastAsia="Courier New" w:hAnsi="Courier New"/>
          <w:sz w:val="15"/>
          <w:szCs w:val="15"/>
          <w:color w:val="auto"/>
        </w:rPr>
        <w:t>February 2, 2002 and February 3, 2001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ind w:left="2380"/>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5,056,039</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5,619,983</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net</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1,330,020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2,453,460</w:t>
            </w: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4,126,700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3,112,402</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5,456,720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5,565,862</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136,200,960</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655,104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3,902,692</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assets held for sale (notes 1(q) and 4)</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113,902,849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 of discontinued operations (note 2)</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13,462,139</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125,070,712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164,751,636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at cost: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 and buildings</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20,041,636</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Furniture, fixtures, and equipment</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56,464,492</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36,664,206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113,170,334</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47,778,229</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65,392,105</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at cost, less accumulated amortization</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20,557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14,939,857</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$ 125,091,269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245,083,598</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Liabilities not subject to compromise: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 portion of long-term debt (note 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65,640,543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12,328,921</w:t>
            </w: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653,531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64,459,990</w:t>
            </w: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7,432,138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15,216,423</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73,726,212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92,005,334</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1,926,660</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net of current portion (note 4)</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93,788,679</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Convertible subordinated debt (note 4)</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70,300,000</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subject to compromise (note 1(r)):</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148,243,643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221,969,855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258,020,673</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deficit: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par value $0.50 per share. Authorized 40,000,000 shares;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issued and outstanding 14,208,260 shares in 2002 and 14,069,185 in 2001</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7,104,131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7,034,593</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121,533,712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120,902,446</w:t>
            </w: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(225,516,429)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(140,874,114)</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Total stockholders' deficit</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(96,878,586)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(12,937,075)</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$ 125,091,269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245,083,598</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122" w:right="1440" w:bottom="1440" w:gutter="0" w:footer="0" w:header="0"/>
        </w:sectPr>
      </w:pPr>
    </w:p>
    <w:bookmarkStart w:id="3" w:name="page4"/>
    <w:bookmarkEnd w:id="3"/>
    <w:p>
      <w:pPr>
        <w:jc w:val="center"/>
        <w:ind w:right="1119"/>
        <w:spacing w:after="0"/>
        <w:rPr>
          <w:sz w:val="20"/>
          <w:szCs w:val="20"/>
          <w:color w:val="auto"/>
        </w:rPr>
      </w:pPr>
      <w:r>
        <w:rPr>
          <w:rFonts w:ascii="Courier New" w:cs="Courier New" w:eastAsia="Courier New" w:hAnsi="Courier New"/>
          <w:sz w:val="15"/>
          <w:szCs w:val="15"/>
          <w:color w:val="auto"/>
        </w:rPr>
        <w:t>CASUAL MALE CORP. AND SUBSIDIARIES</w:t>
      </w:r>
    </w:p>
    <w:p>
      <w:pPr>
        <w:ind w:left="3600"/>
        <w:spacing w:after="0" w:line="237" w:lineRule="auto"/>
        <w:rPr>
          <w:sz w:val="20"/>
          <w:szCs w:val="20"/>
          <w:color w:val="auto"/>
        </w:rPr>
      </w:pPr>
      <w:r>
        <w:rPr>
          <w:rFonts w:ascii="Courier New" w:cs="Courier New" w:eastAsia="Courier New" w:hAnsi="Courier New"/>
          <w:sz w:val="15"/>
          <w:szCs w:val="15"/>
          <w:color w:val="auto"/>
        </w:rPr>
        <w:t>(Debtor-in-Possession)</w:t>
      </w:r>
    </w:p>
    <w:p>
      <w:pPr>
        <w:ind w:left="3160"/>
        <w:spacing w:after="0" w:line="238" w:lineRule="auto"/>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8"/>
        </w:trPr>
        <w:tc>
          <w:tcPr>
            <w:tcW w:w="8880" w:type="dxa"/>
            <w:vAlign w:val="bottom"/>
            <w:gridSpan w:val="4"/>
          </w:tcPr>
          <w:p>
            <w:pPr>
              <w:jc w:val="right"/>
              <w:ind w:right="1107"/>
              <w:spacing w:after="0" w:line="168" w:lineRule="exact"/>
              <w:rPr>
                <w:sz w:val="20"/>
                <w:szCs w:val="20"/>
                <w:color w:val="auto"/>
              </w:rPr>
            </w:pPr>
            <w:r>
              <w:rPr>
                <w:rFonts w:ascii="Courier New" w:cs="Courier New" w:eastAsia="Courier New" w:hAnsi="Courier New"/>
                <w:sz w:val="15"/>
                <w:szCs w:val="15"/>
                <w:color w:val="auto"/>
              </w:rPr>
              <w:t>Years ended February 2, 2002, February 3, 2001, and January 29, 2000</w:t>
            </w:r>
          </w:p>
        </w:tc>
        <w:tc>
          <w:tcPr>
            <w:tcW w:w="1280" w:type="dxa"/>
            <w:vAlign w:val="bottom"/>
          </w:tcPr>
          <w:p>
            <w:pPr>
              <w:spacing w:after="0"/>
              <w:rPr>
                <w:sz w:val="14"/>
                <w:szCs w:val="14"/>
                <w:color w:val="auto"/>
              </w:rPr>
            </w:pPr>
          </w:p>
        </w:tc>
      </w:tr>
      <w:tr>
        <w:trPr>
          <w:trHeight w:val="336"/>
        </w:trPr>
        <w:tc>
          <w:tcPr>
            <w:tcW w:w="5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 Weeks)</w:t>
            </w:r>
          </w:p>
        </w:tc>
        <w:tc>
          <w:tcPr>
            <w:tcW w:w="1280" w:type="dxa"/>
            <w:vAlign w:val="bottom"/>
          </w:tcPr>
          <w:p>
            <w:pPr>
              <w:spacing w:after="0"/>
              <w:rPr>
                <w:sz w:val="14"/>
                <w:szCs w:val="14"/>
                <w:color w:val="auto"/>
              </w:rPr>
            </w:pP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$ 430,807,393</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473,333,156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411,706,993</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246,468,480</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247,199,104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212,866,012</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184,338,913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226,134,052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198,840,981</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Selling, administrative, and general expenses</w:t>
            </w:r>
          </w:p>
        </w:tc>
        <w:tc>
          <w:tcPr>
            <w:tcW w:w="4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190,585,217</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188,017,371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164,488,528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Reorganization costs (note 1(a))</w:t>
            </w:r>
          </w:p>
        </w:tc>
        <w:tc>
          <w:tcPr>
            <w:tcW w:w="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37,973,531</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of Work 'n Gear assets (note 1(a))</w:t>
            </w:r>
          </w:p>
        </w:tc>
        <w:tc>
          <w:tcPr>
            <w:tcW w:w="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12,292,462</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12,632,574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11,973,599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12,012,716</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(69,144,871)</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26,143,082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22,339,737</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4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13,671,562</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11,971,995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10,075,227</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40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(82,816,433)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14,171,087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12,264,510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tax expense (note 5)</w:t>
            </w:r>
          </w:p>
        </w:tc>
        <w:tc>
          <w:tcPr>
            <w:tcW w:w="4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303,500</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57,216,000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4,047,000</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Earnings (loss) from continuing operations</w:t>
            </w:r>
          </w:p>
        </w:tc>
        <w:tc>
          <w:tcPr>
            <w:tcW w:w="4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(83,119,933)</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(43,044,913)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8,217,510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Discontinued operations (note 2):</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Earnings (loss) from discontinued operations, net of</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 expense of $0, $574,000, and $322,000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fiscal 2002, 2001 and 2000, respectively</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1,594,940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655,100</w:t>
            </w:r>
          </w:p>
        </w:tc>
      </w:tr>
      <w:tr>
        <w:trPr>
          <w:trHeight w:val="336"/>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discontinued operations</w:t>
            </w:r>
          </w:p>
        </w:tc>
        <w:tc>
          <w:tcPr>
            <w:tcW w:w="4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(1,309,264)</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(60,405,902)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Earnings (loss) from discontinued operations</w:t>
            </w:r>
          </w:p>
        </w:tc>
        <w:tc>
          <w:tcPr>
            <w:tcW w:w="4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(1,309,264)</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(58,810,962)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655,100</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Net earnings (loss)</w:t>
            </w:r>
          </w:p>
        </w:tc>
        <w:tc>
          <w:tcPr>
            <w:tcW w:w="16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(84,429,197)</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(101,855,875)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8,872,610</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common share:</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0.58</w:t>
            </w: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Net earnings (loss) per common share, basic</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(5.94)</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0.63</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w:t>
            </w: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1580"/>
              <w:spacing w:after="0"/>
              <w:rPr>
                <w:sz w:val="20"/>
                <w:szCs w:val="20"/>
                <w:color w:val="auto"/>
              </w:rPr>
            </w:pPr>
            <w:r>
              <w:rPr>
                <w:rFonts w:ascii="Courier New" w:cs="Courier New" w:eastAsia="Courier New" w:hAnsi="Courier New"/>
                <w:sz w:val="15"/>
                <w:szCs w:val="15"/>
                <w:color w:val="auto"/>
              </w:rPr>
              <w:t>Net earnings (loss) per common share, diluted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(5.94)</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0.62</w:t>
            </w: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 used to compute earnings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per common share:</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14,205,976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14,067,998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14,065,734</w:t>
            </w:r>
          </w:p>
        </w:tc>
      </w:tr>
      <w:tr>
        <w:trPr>
          <w:trHeight w:val="336"/>
        </w:trPr>
        <w:tc>
          <w:tcPr>
            <w:tcW w:w="5780" w:type="dxa"/>
            <w:vAlign w:val="bottom"/>
          </w:tcPr>
          <w:p>
            <w:pPr>
              <w:ind w:left="70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14,205,976</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14,067,998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14,373,272</w:t>
            </w: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122" w:right="1440" w:bottom="1440" w:gutter="0" w:footer="0" w:header="0"/>
        </w:sectPr>
      </w:pPr>
    </w:p>
    <w:bookmarkStart w:id="4" w:name="page5"/>
    <w:bookmarkEnd w:id="4"/>
    <w:p>
      <w:pPr>
        <w:jc w:val="center"/>
        <w:ind w:right="3220"/>
        <w:spacing w:after="0"/>
        <w:rPr>
          <w:sz w:val="20"/>
          <w:szCs w:val="20"/>
          <w:color w:val="auto"/>
        </w:rPr>
      </w:pPr>
      <w:r>
        <w:rPr>
          <w:rFonts w:ascii="Courier New" w:cs="Courier New" w:eastAsia="Courier New" w:hAnsi="Courier New"/>
          <w:sz w:val="15"/>
          <w:szCs w:val="15"/>
          <w:color w:val="auto"/>
        </w:rPr>
        <w:t>CASUAL MALE CORP. AND SUBSIDIARIES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(Debtor-in-Possession)</w:t>
      </w:r>
    </w:p>
    <w:p>
      <w:pPr>
        <w:jc w:val="center"/>
        <w:ind w:right="3220"/>
        <w:spacing w:after="0" w:line="238" w:lineRule="auto"/>
        <w:rPr>
          <w:sz w:val="20"/>
          <w:szCs w:val="20"/>
          <w:color w:val="auto"/>
        </w:rPr>
      </w:pPr>
      <w:r>
        <w:rPr>
          <w:rFonts w:ascii="Courier New" w:cs="Courier New" w:eastAsia="Courier New" w:hAnsi="Courier New"/>
          <w:sz w:val="15"/>
          <w:szCs w:val="15"/>
          <w:color w:val="auto"/>
        </w:rPr>
        <w:t>Consolidated Statements of</w:t>
      </w:r>
    </w:p>
    <w:p>
      <w:pPr>
        <w:jc w:val="center"/>
        <w:ind w:right="3220"/>
        <w:spacing w:after="0" w:line="237" w:lineRule="auto"/>
        <w:rPr>
          <w:sz w:val="20"/>
          <w:szCs w:val="20"/>
          <w:color w:val="auto"/>
        </w:rPr>
      </w:pPr>
      <w:r>
        <w:rPr>
          <w:rFonts w:ascii="Courier New" w:cs="Courier New" w:eastAsia="Courier New" w:hAnsi="Courier New"/>
          <w:sz w:val="15"/>
          <w:szCs w:val="15"/>
          <w:color w:val="auto"/>
        </w:rPr>
        <w:t>Stockholders' Equity (Deficit) Years ended</w:t>
      </w:r>
    </w:p>
    <w:p>
      <w:pPr>
        <w:jc w:val="center"/>
        <w:ind w:right="3220"/>
        <w:spacing w:after="0" w:line="238" w:lineRule="auto"/>
        <w:rPr>
          <w:sz w:val="20"/>
          <w:szCs w:val="20"/>
          <w:color w:val="auto"/>
        </w:rPr>
      </w:pPr>
      <w:r>
        <w:rPr>
          <w:rFonts w:ascii="Courier New" w:cs="Courier New" w:eastAsia="Courier New" w:hAnsi="Courier New"/>
          <w:sz w:val="15"/>
          <w:szCs w:val="15"/>
          <w:color w:val="auto"/>
        </w:rPr>
        <w:t>February 2, 2002, February 3, 2001, and January 29,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68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Additional</w:t>
            </w:r>
          </w:p>
        </w:tc>
        <w:tc>
          <w:tcPr>
            <w:tcW w:w="1400" w:type="dxa"/>
            <w:vAlign w:val="bottom"/>
          </w:tcPr>
          <w:p>
            <w:pPr>
              <w:spacing w:after="0"/>
              <w:rPr>
                <w:sz w:val="14"/>
                <w:szCs w:val="1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280" w:type="dxa"/>
            <w:vAlign w:val="bottom"/>
          </w:tcPr>
          <w:p>
            <w:pPr>
              <w:spacing w:after="0"/>
              <w:rPr>
                <w:sz w:val="14"/>
                <w:szCs w:val="14"/>
                <w:color w:val="auto"/>
              </w:rPr>
            </w:pPr>
          </w:p>
        </w:tc>
        <w:tc>
          <w:tcPr>
            <w:tcW w:w="26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deficit</w:t>
            </w:r>
          </w:p>
        </w:tc>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 (deficit)</w:t>
            </w:r>
          </w:p>
        </w:tc>
      </w:tr>
      <w:tr>
        <w:trPr>
          <w:trHeight w:val="168"/>
        </w:trPr>
        <w:tc>
          <w:tcPr>
            <w:tcW w:w="3280" w:type="dxa"/>
            <w:vAlign w:val="bottom"/>
          </w:tcPr>
          <w:p>
            <w:pPr>
              <w:spacing w:after="0"/>
              <w:rPr>
                <w:sz w:val="14"/>
                <w:szCs w:val="14"/>
                <w:color w:val="auto"/>
              </w:rPr>
            </w:pP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January 30, 1999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14,064,526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7,032,263</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117,353,846</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(46,202,794)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78,183,315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8,872,610</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8,872,610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Warrants issued on subordinated debt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3,300,000</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212,814</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214,314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 ($0.06 per share)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(843,949)</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(843,949)</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January 29, 2000</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14,067,526</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7,033,763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120,866,660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(38,174,133)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89,726,290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(101,855,875)</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(101,855,875)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1,659</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35,786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36,616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 ($0.06 per share)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(844,106)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(844,106)</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February 3, 2001</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14,069,185</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7,034,593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120,902,446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(140,874,114)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(12,937,075)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(84,429,197)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(84,429,197)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139,075</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69,538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631,266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700,804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 ($0.015 per share)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(213,118)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(213,118)</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February 2, 2002</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14,208,260</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7,104,131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121,533,712</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(225,516,429)</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(96,878,586)</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220" w:top="1122" w:right="1439" w:bottom="1440" w:gutter="0" w:footer="0" w:header="0"/>
        </w:sectPr>
      </w:pPr>
    </w:p>
    <w:bookmarkStart w:id="5" w:name="page6"/>
    <w:bookmarkEnd w:id="5"/>
    <w:p>
      <w:pPr>
        <w:ind w:left="3860"/>
        <w:spacing w:after="0"/>
        <w:rPr>
          <w:sz w:val="20"/>
          <w:szCs w:val="20"/>
          <w:color w:val="auto"/>
        </w:rPr>
      </w:pPr>
      <w:r>
        <w:rPr>
          <w:rFonts w:ascii="Courier New" w:cs="Courier New" w:eastAsia="Courier New" w:hAnsi="Courier New"/>
          <w:sz w:val="15"/>
          <w:szCs w:val="15"/>
          <w:color w:val="auto"/>
        </w:rPr>
        <w:t>CASUAL MALE CORP. AND SUBSIDIARIES</w:t>
      </w:r>
    </w:p>
    <w:p>
      <w:pPr>
        <w:ind w:left="4480"/>
        <w:spacing w:after="0" w:line="237" w:lineRule="auto"/>
        <w:rPr>
          <w:sz w:val="20"/>
          <w:szCs w:val="20"/>
          <w:color w:val="auto"/>
        </w:rPr>
      </w:pPr>
      <w:r>
        <w:rPr>
          <w:rFonts w:ascii="Courier New" w:cs="Courier New" w:eastAsia="Courier New" w:hAnsi="Courier New"/>
          <w:sz w:val="15"/>
          <w:szCs w:val="15"/>
          <w:color w:val="auto"/>
        </w:rPr>
        <w:t>(Debtor-in-Possession)</w:t>
      </w:r>
    </w:p>
    <w:p>
      <w:pPr>
        <w:ind w:left="4200"/>
        <w:spacing w:after="0" w:line="238" w:lineRule="auto"/>
        <w:rPr>
          <w:sz w:val="20"/>
          <w:szCs w:val="20"/>
          <w:color w:val="auto"/>
        </w:rPr>
      </w:pPr>
      <w:r>
        <w:rPr>
          <w:rFonts w:ascii="Courier New" w:cs="Courier New" w:eastAsia="Courier New" w:hAnsi="Courier New"/>
          <w:sz w:val="15"/>
          <w:szCs w:val="15"/>
          <w:color w:val="auto"/>
        </w:rPr>
        <w:t>Consolidated Statements of</w:t>
      </w:r>
    </w:p>
    <w:p>
      <w:pPr>
        <w:jc w:val="center"/>
        <w:ind w:right="340"/>
        <w:spacing w:after="0" w:line="237" w:lineRule="auto"/>
        <w:rPr>
          <w:sz w:val="20"/>
          <w:szCs w:val="20"/>
          <w:color w:val="auto"/>
        </w:rPr>
      </w:pPr>
      <w:r>
        <w:rPr>
          <w:rFonts w:ascii="Courier New" w:cs="Courier New" w:eastAsia="Courier New" w:hAnsi="Courier New"/>
          <w:sz w:val="15"/>
          <w:szCs w:val="15"/>
          <w:color w:val="auto"/>
        </w:rPr>
        <w:t>Cash Flows Years ended February 2, 2002,</w:t>
      </w:r>
    </w:p>
    <w:p>
      <w:pPr>
        <w:jc w:val="center"/>
        <w:ind w:right="340"/>
        <w:spacing w:after="0" w:line="238" w:lineRule="auto"/>
        <w:rPr>
          <w:sz w:val="20"/>
          <w:szCs w:val="20"/>
          <w:color w:val="auto"/>
        </w:rPr>
      </w:pPr>
      <w:r>
        <w:rPr>
          <w:rFonts w:ascii="Courier New" w:cs="Courier New" w:eastAsia="Courier New" w:hAnsi="Courier New"/>
          <w:sz w:val="15"/>
          <w:szCs w:val="15"/>
          <w:color w:val="auto"/>
        </w:rPr>
        <w:t>February 3, 2001, and January 29,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$(83,119,933)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(43,044,913)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8,217,510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earnings (loss) from continuing</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operations to net cash provided by operating activities:</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Fixed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11,389,975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9,973,289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9,921,179</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Deferred charges, intangible assets, warrants and deferred</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financing costs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2,578,599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3,164,310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2,891,537</w:t>
            </w: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Reorganization items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37,973,531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Impairment of Work 'n Gear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12,292,462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Deferred income taxes, net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56,347,000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3,592,641</w:t>
            </w: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Change in:</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(1,509,297)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270,384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(1,717,710)</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35,023,883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(16,878,762)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(14,824,425)</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(814,340)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84,462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(208,071)</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1,053,790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(3,009,735)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(2,534,280)</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15,248,424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1,194,531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29,831,089</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(3,970,933)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3,163,817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3,280,458</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Income taxes payable/receivable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416,698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(1,459,399)</w:t>
            </w:r>
          </w:p>
        </w:tc>
      </w:tr>
      <w:tr>
        <w:trPr>
          <w:trHeight w:val="168"/>
        </w:trPr>
        <w:tc>
          <w:tcPr>
            <w:tcW w:w="6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(968,173)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(428,216)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(147,387)</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cash provided by operating activities before</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reorganization items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25,177,988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11,252,865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36,843,142</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cash flows from reorganization items:</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Professional fees paid</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(12,278,948)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by reorganization items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(12,278,948)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12,899,040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11,252,865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36,843,142</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 Capital expenditures for:</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(6,495,606)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(15,424,938)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(10,747,218)</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paid in acquisition of Repp Ltd.</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Big &amp; Tall businesses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(27,021,980)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received from sale of footwear business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53,007,456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(495,606)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37,582,518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(37,769,198)</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senior debt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revolving credit facilities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94,957,430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revolving credit facilities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(30,993,655)</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(1,497,749)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(122,114,352)</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(repayment of) senior</w:t>
            </w: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subordinated debt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term loans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15,000,000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34,000,000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chattel loans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(2,675,526)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(9,292,630)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(994,470)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mortgage payable</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(733,348)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(670,456)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(612,954)</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 reduction of mortgage escrow, net</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71,145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(28,966)</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700,804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36,616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214,314</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 of dividends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(213,118)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(844,106)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(843,949)</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(18,910,653)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(12,250,180)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13,077,053</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discontinued operations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6,152,875</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(36,295,685)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(10,333,501)</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(354,344)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289,518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1,817,496</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5,619,983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5,330,465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3,512,969</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5,265,639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5,619,983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5,330,465</w:t>
            </w:r>
          </w:p>
        </w:tc>
      </w:tr>
      <w:tr>
        <w:trPr>
          <w:trHeight w:val="168"/>
        </w:trPr>
        <w:tc>
          <w:tcPr>
            <w:tcW w:w="67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ind w:left="360"/>
              <w:spacing w:after="0"/>
              <w:rPr>
                <w:sz w:val="20"/>
                <w:szCs w:val="20"/>
                <w:color w:val="auto"/>
              </w:rPr>
            </w:pPr>
            <w:r>
              <w:rPr>
                <w:rFonts w:ascii="Courier New" w:cs="Courier New" w:eastAsia="Courier New" w:hAnsi="Courier New"/>
                <w:sz w:val="15"/>
                <w:szCs w:val="15"/>
                <w:color w:val="auto"/>
              </w:rPr>
              <w:t>less: Cash included in Assets held for sale</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(209,600)</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740" w:type="dxa"/>
            <w:vAlign w:val="bottom"/>
          </w:tcPr>
          <w:p>
            <w:pPr>
              <w:spacing w:after="0"/>
              <w:rPr>
                <w:sz w:val="14"/>
                <w:szCs w:val="14"/>
                <w:color w:val="auto"/>
              </w:rPr>
            </w:pP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available at end of year</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$ 5,056,039</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740" w:type="dxa"/>
            <w:vAlign w:val="bottom"/>
          </w:tcPr>
          <w:p>
            <w:pPr>
              <w:spacing w:after="0"/>
              <w:rPr>
                <w:sz w:val="14"/>
                <w:szCs w:val="14"/>
                <w:color w:val="auto"/>
              </w:rPr>
            </w:pP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200"/>
          </w:cols>
          <w:pgMar w:left="220" w:top="1122" w:right="479"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CASUAL MALE CORP.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(Debtor-in-Possession)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February 2, 2002, February 3, 2001, and January 29, 2000</w:t>
      </w:r>
    </w:p>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Operations and Summary of Significant Accounting Policies</w:t>
      </w:r>
    </w:p>
    <w:p>
      <w:pPr>
        <w:spacing w:after="0" w:line="166"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Casual Male Corp. and subsidiaries (the Company), formerly J. Baker, Inc., are primarily engaged in the retail sale of apparel. As of February 2, 2002, the Company's Casual Male Big &amp; Tall, Repp Big &amp; Tall and Work `n Gear businesses operated a total of 529 stores throughout the United States. The Company operated the 431 store chain of Casual Male Big &amp; Tall stores (including 63 outlet stores) and the 42 store chain of Repp Big &amp; Tall stores, selling fashion, casual and dress clothing, and footwear to the big and tall man. In the first quarter of fiscal 2003, all of the Repp Big &amp; Tall stores were converted to Casual Male Big &amp; Tall stores. The Company also operated the Work `n Gear chain, comprised of 56 stores that sell utility workwear, healthcare apparel, and custom uniforms for industry and service businesses. As discussed below, the Company decided to close 49 stores during the fourth quarter of 2002, and at February 2, 2002, a liquidator was conducting closing sales at these 49 additional stores. The Company also operated catalog, e-commerce and other direct selling and marketing businesses, as well as security businesses under the names of LPI and Securex. Through February 3, 2001, the Company also operated self-service licensed footwear departments in discount department stores (see note 2).</w:t>
      </w:r>
    </w:p>
    <w:p>
      <w:pPr>
        <w:spacing w:after="0" w:line="17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Chapter 11 Bankruptcy Filing</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On May 18, 2001 (the Filing Date), Casual Male Corp. and 15 of its direct and indirect subsidiaries (collectively, the Debtors) filed voluntary petitions to reorganize their businesses under Chapter 11 of the United States Bankruptcy Code (Chapter 11) in the United States Bankruptcy Court for the Southern District of New York (the Bankruptcy Court). JBAK Holding and JBAK Realty, a direct and indirect subsidiary of Casual Male Corp., respectively, did not file petitions to reorganize under Chapter 11 (the Chapter 11 Case). The Debtors continue to operate their businesses and manage their properties as debtors-in-possession pursuant to sections 1107(a) and 1108 of the Bankruptcy Code, subject to the jurisdiction of the Bankruptcy Court. On May 24, 2001, the United States Trustee for the Southern District of New York appointed an Official Committee of Unsecured Creditors (the Creditors' Committee) pursuant to Section 1102 of the Bankruptcy Code.</w:t>
      </w:r>
    </w:p>
    <w:p>
      <w:pPr>
        <w:spacing w:after="0" w:line="164"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As of the Filing Date, actions to collect pre-petition indebtedness are stayed, and other pre-petition contractual obligations may not be enforced against the Company. In addition, the Company may reject executory contracts and lease obligations, and parties affected by these rejections may file claims with the Bankruptcy Court in accordance with the reorganization process. The Company's liabilities at the Filing Date are subject to allowance in the Chapter 11 case and the creditors shall receive the distribution, if any, provided for under one or more plans of reorganization. All unsecured claims are reflected in the accompanying consolidated balance sheet as "Liabilities subject to compromise". The Debtors received approval as of the Filing Date to pay or otherwise honor certain of their pre-petition obligations, including employee wages and related taxes, employee benefits, travel expenses, insurance premiums, utilities and certain customer programs.</w:t>
      </w:r>
    </w:p>
    <w:p>
      <w:pPr>
        <w:spacing w:after="0" w:line="174"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The Company filed schedules of assets and liabilities on or about August 1, 2001, which were amended in October 2001. Pursuant to an order of the Bankruptcy Court, the last date for filing claims against the Company as of the Filing Date was established as December 17, 2001.</w:t>
      </w:r>
    </w:p>
    <w:p>
      <w:pPr>
        <w:spacing w:after="0" w:line="164"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Under Section 1121(b) of the Bankruptcy Code, a debtor has the exclusive right to file a plan of reorganization during the initial 120 days after the date of the commencement of a Chapter 11 case. On October 10, 2001, the Bankruptcy Court granted an extension of approximately six months. On March 7, 2002, the Bankruptcy Court entered an order extending the Debtors' exclusive time to file a plan of reorganization through August 26, 2002.</w:t>
      </w:r>
    </w:p>
    <w:p>
      <w:pPr>
        <w:spacing w:after="0" w:line="176"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During fiscal 2002, the Company made key modifications to its business to enhance profitability. On July 11, 2001, the Company, after consulting with the Creditors' Committee, filed a motion with the Bankruptcy Court requesting authorization to close certain of its locations which no longer contributed to the Company's overall business objectives. The Company requested approval to commence store closing sales at 80 of its locations, consisting of 21 Casual Male Big &amp; Tall stores, 43 Repp Big &amp; Tall stores and 16 outlet stores. On August 22, 2001, the Bankruptcy Court authorized the Company's store closings. Store closing sales commenced at the end of August and all 80 stores were closed as of December 26, 2001.</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517" w:gutter="0" w:footer="0" w:header="0"/>
        </w:sectPr>
      </w:pPr>
    </w:p>
    <w:bookmarkStart w:id="7" w:name="page8"/>
    <w:bookmarkEnd w:id="7"/>
    <w:p>
      <w:pPr>
        <w:ind w:left="800" w:right="3239"/>
        <w:spacing w:after="0" w:line="237" w:lineRule="auto"/>
        <w:rPr>
          <w:sz w:val="20"/>
          <w:szCs w:val="20"/>
          <w:color w:val="auto"/>
        </w:rPr>
      </w:pPr>
      <w:r>
        <w:rPr>
          <w:rFonts w:ascii="Courier New" w:cs="Courier New" w:eastAsia="Courier New" w:hAnsi="Courier New"/>
          <w:sz w:val="15"/>
          <w:szCs w:val="15"/>
          <w:color w:val="auto"/>
        </w:rPr>
        <w:t>The Company decided to close an additional 49 stores during the fourth quarter of its fiscal year ended February 2, 2002. Commencing on January 17, 2002, the Company engaged a liquidator to conduct store closing sales at 12 Casual Male Big &amp; Tall stores, 23 Repp Big &amp; Tall stores, and 14 Work `n Gear stores. The store closing sales ended on or before April 14, 2002. Other stores were closed without the use of a liquidator and all remaining stores operating under the Repp Big &amp; Tall format were converted to stores operating in the Casual Male Big &amp; Tall format during the first quarter of fiscal 2003. As a result of this decision, it was determined that the goodwill associated with the Repp acquisition no longer had value, and the unamortized balance of $6.0 million was entirely written off as of February 2, 2002. See further discussion in note 3.</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Additionally, the Company consolidated the catalog and e-commerce operations previously located in its facility in Alpharetta, Georgia into its facility in Canton, Massachusetts. This consolidation allowed the Company to utilize space in the Canton facility made available as a result of the disposal of the footwear business (see note 2). It also eliminated occupancy and related expenses associated with the Alpharetta facility. In order to ensure an efficient transition of the Company's catalog and e-commerce business from Alpharetta to Canton, the Company received authorization from the Bankruptcy Court to establish a retention program that provided economic incentives to its former Alpharetta-based employees to remain with the Company through the transition period. Consolidation activities were concluded by the end of February 2002. The expenses associated with this consolidation, including retention and severance expenses, moving costs and capital costs for improvements to the Canton facility, were $2.4 million, of which $1.2 million was accrued at February 2, 2002.</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Reorganization costs during fiscal 2002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3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Utilized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Utilized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 2,</w:t>
            </w:r>
          </w:p>
        </w:tc>
      </w:tr>
      <w:tr>
        <w:trPr>
          <w:trHeight w:val="168"/>
        </w:trPr>
        <w:tc>
          <w:tcPr>
            <w:tcW w:w="32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Cost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Cash</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cash</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200" w:type="dxa"/>
            <w:vAlign w:val="bottom"/>
          </w:tcPr>
          <w:p>
            <w:pPr>
              <w:spacing w:after="0"/>
              <w:rPr>
                <w:sz w:val="14"/>
                <w:szCs w:val="14"/>
                <w:color w:val="auto"/>
              </w:rPr>
            </w:pPr>
          </w:p>
        </w:tc>
        <w:tc>
          <w:tcPr>
            <w:tcW w:w="51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Professional fees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$ 5,375,737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(3,954,679)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1,421,058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fees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6,523,436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(6,510,188)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13,248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write offs for closed stores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9,399,724</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(9,399,724)</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 off of Repp goodwill (note 3)</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6,006,072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(6,006,072)</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rejection claims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8,277,285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8,277,285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2,391,277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(1,814,081)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577,196</w:t>
            </w:r>
          </w:p>
        </w:tc>
      </w:tr>
      <w:tr>
        <w:trPr>
          <w:trHeight w:val="168"/>
        </w:trPr>
        <w:tc>
          <w:tcPr>
            <w:tcW w:w="32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Total reorganization costs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$37,973,531</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(12,278,948)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(15,405,796)</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10,288,787</w:t>
            </w:r>
          </w:p>
        </w:tc>
      </w:tr>
      <w:tr>
        <w:trPr>
          <w:trHeight w:val="168"/>
        </w:trPr>
        <w:tc>
          <w:tcPr>
            <w:tcW w:w="32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00" w:right="3499"/>
        <w:spacing w:after="0" w:line="236" w:lineRule="auto"/>
        <w:rPr>
          <w:sz w:val="20"/>
          <w:szCs w:val="20"/>
          <w:color w:val="auto"/>
        </w:rPr>
      </w:pPr>
      <w:r>
        <w:rPr>
          <w:rFonts w:ascii="Courier New" w:cs="Courier New" w:eastAsia="Courier New" w:hAnsi="Courier New"/>
          <w:sz w:val="15"/>
          <w:szCs w:val="15"/>
          <w:color w:val="auto"/>
        </w:rPr>
        <w:t>At February 2, 2002, the Company has accrued $10,288,787 related to reorganization costs. Of that balance, $8,277,285 is lease rejection claims, included in "Liabilities subject to compromise" on the consolidated balance sheet. The remaining $2,011,502 is included in accrued expenses.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Sale of Work `n Gear Assets</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As of March 11, 2002, the Company agreed to sell substantially all of the assets of the Work `n Gear business to Sandy Point, LLC (Sandy Point). The assets sold include property and equipment at stores; rights to real estate and equipment leases; inventory; and licenses, permits and intellectual property. Sandy Point assumed accounts payable on in-transit inventory, but no other accounts payable arising prior to the closing. The adjusted Purchase Price was $9,750,000. The sale was approved by order of the Bankruptcy Court on April 17, 2002, and closed on May 4, 2002.</w:t>
      </w:r>
    </w:p>
    <w:p>
      <w:pPr>
        <w:spacing w:after="0" w:line="178"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carrying value of the assets being sold was greater than the net proceeds received. Therefore, the Company wrote down the assets to their fair value less costs to sell as of February 2, 2002, recording an impairment charge of $12,292,462. The assets sold are classified under "Net assets held for sale" on the accompanying consolidated balance sheet. See also note 1(q).</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8" w:name="page9"/>
    <w:bookmarkEnd w:id="8"/>
    <w:p>
      <w:pPr>
        <w:ind w:left="353"/>
        <w:spacing w:after="0"/>
        <w:rPr>
          <w:sz w:val="20"/>
          <w:szCs w:val="20"/>
          <w:color w:val="auto"/>
        </w:rPr>
      </w:pPr>
      <w:r>
        <w:rPr>
          <w:rFonts w:ascii="Courier New" w:cs="Courier New" w:eastAsia="Courier New" w:hAnsi="Courier New"/>
          <w:sz w:val="15"/>
          <w:szCs w:val="15"/>
          <w:color w:val="auto"/>
        </w:rPr>
        <w:t>Sale of Big &amp; Tall and Security Business Assets</w:t>
      </w:r>
    </w:p>
    <w:p>
      <w:pPr>
        <w:spacing w:after="0" w:line="173" w:lineRule="exact"/>
        <w:rPr>
          <w:sz w:val="20"/>
          <w:szCs w:val="20"/>
          <w:color w:val="auto"/>
        </w:rPr>
      </w:pPr>
    </w:p>
    <w:p>
      <w:pPr>
        <w:ind w:left="353" w:right="3239"/>
        <w:spacing w:after="0" w:line="255" w:lineRule="auto"/>
        <w:rPr>
          <w:sz w:val="20"/>
          <w:szCs w:val="20"/>
          <w:color w:val="auto"/>
        </w:rPr>
      </w:pPr>
      <w:r>
        <w:rPr>
          <w:rFonts w:ascii="Courier New" w:cs="Courier New" w:eastAsia="Courier New" w:hAnsi="Courier New"/>
          <w:sz w:val="14"/>
          <w:szCs w:val="14"/>
          <w:color w:val="auto"/>
        </w:rPr>
        <w:t>As of May 2, 2002, the Company agreed to sell substantially all of the operating assets of the big and tall and security businesses to Designs, Inc. (Designs). The assets sold include the Company's office and warehouse facility in Canton, Massachusetts; property and equipment both at the office and warehouse facility and at stores; rights to real estate and equipment leases; inventory; licenses, permits and intellectual property; and the Company's loss prevention businesses. Designs did not acquire certain accounts receivable. Designs assumed post-petition accounts payable relating to the businesses acquired, certain employee costs, the mortgage on the Canton facility, and liabilities relating to prepayment penalties under Tranche A and Tranche B of the DIP facility. Designs did not assume the liabilities subject to compromise, or certain other post-petition reorganization related obligations, such as professional fees. See further discussion of the DIP facility in note 4. The Purchase Price was $170,000,000. The sale was approved by order of the Bankruptcy Court on May 7, 2002, and closed effective May 14, 2002.</w:t>
      </w:r>
    </w:p>
    <w:p>
      <w:pPr>
        <w:spacing w:after="0" w:line="331" w:lineRule="exact"/>
        <w:rPr>
          <w:sz w:val="20"/>
          <w:szCs w:val="20"/>
          <w:color w:val="auto"/>
        </w:rPr>
      </w:pPr>
    </w:p>
    <w:p>
      <w:pPr>
        <w:ind w:left="353" w:right="3239"/>
        <w:spacing w:after="0" w:line="235" w:lineRule="auto"/>
        <w:rPr>
          <w:sz w:val="20"/>
          <w:szCs w:val="20"/>
          <w:color w:val="auto"/>
        </w:rPr>
      </w:pPr>
      <w:r>
        <w:rPr>
          <w:rFonts w:ascii="Courier New" w:cs="Courier New" w:eastAsia="Courier New" w:hAnsi="Courier New"/>
          <w:sz w:val="15"/>
          <w:szCs w:val="15"/>
          <w:color w:val="auto"/>
        </w:rPr>
        <w:t>The carrying value of the assets being sold was less than the net proceeds received. The net assets sold are classified under "Net assets held for sale" on the accompanying consolidated balance sheet. See also note 1(q).</w:t>
      </w:r>
    </w:p>
    <w:p>
      <w:pPr>
        <w:spacing w:after="0" w:line="169"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(b) Basis of Presentation and Principles of Consolidation</w:t>
      </w:r>
    </w:p>
    <w:p>
      <w:pPr>
        <w:spacing w:after="0" w:line="173" w:lineRule="exact"/>
        <w:rPr>
          <w:sz w:val="20"/>
          <w:szCs w:val="20"/>
          <w:color w:val="auto"/>
        </w:rPr>
      </w:pPr>
    </w:p>
    <w:p>
      <w:pPr>
        <w:ind w:left="353" w:right="3239"/>
        <w:spacing w:after="0" w:line="237" w:lineRule="auto"/>
        <w:rPr>
          <w:sz w:val="20"/>
          <w:szCs w:val="20"/>
          <w:color w:val="auto"/>
        </w:rPr>
      </w:pPr>
      <w:r>
        <w:rPr>
          <w:rFonts w:ascii="Courier New" w:cs="Courier New" w:eastAsia="Courier New" w:hAnsi="Courier New"/>
          <w:sz w:val="15"/>
          <w:szCs w:val="15"/>
          <w:color w:val="auto"/>
        </w:rPr>
        <w:t>The consolidated financial statements have been prepared in accordance with the American Institute of Certified Public Accountants Statement of Position 90-7 (SOP 90-7), Financial Reporting by Entities in Reorganization under the Bankruptcy Code, and accounting principles generally accepted in the United States of America applicable to a going concern, which principles assume that assets will be realized and liabilities will be discharged in the normal course of business. As of May 15, 2002, most of the assets of the Company have been sold. The Company will continue operations primarily to liquidate any remaining assets and settle the Company's remaining liabilities, including liabilities subject to compromise, to the extent possible. After the settlements have occurred, it is expected that the Company will cease operations.</w:t>
      </w:r>
    </w:p>
    <w:p>
      <w:pPr>
        <w:spacing w:after="0" w:line="173" w:lineRule="exact"/>
        <w:rPr>
          <w:sz w:val="20"/>
          <w:szCs w:val="20"/>
          <w:color w:val="auto"/>
        </w:rPr>
      </w:pPr>
    </w:p>
    <w:p>
      <w:pPr>
        <w:ind w:left="353" w:right="3239"/>
        <w:spacing w:after="0" w:line="258"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 owned subsidiaries. All significant intercompany accounts and transactions have been eliminated in consolidation.</w:t>
      </w:r>
    </w:p>
    <w:p>
      <w:pPr>
        <w:spacing w:after="0" w:line="155" w:lineRule="exact"/>
        <w:rPr>
          <w:sz w:val="20"/>
          <w:szCs w:val="20"/>
          <w:color w:val="auto"/>
        </w:rPr>
      </w:pPr>
    </w:p>
    <w:p>
      <w:pPr>
        <w:ind w:left="433" w:hanging="433"/>
        <w:spacing w:after="0"/>
        <w:tabs>
          <w:tab w:leader="none" w:pos="43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353" w:right="3319"/>
        <w:spacing w:after="0" w:line="256"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reported amounts in the consolidated financial statements and accompanying notes. Actual results could differ from those estimates.</w:t>
      </w:r>
    </w:p>
    <w:p>
      <w:pPr>
        <w:spacing w:after="0" w:line="157" w:lineRule="exact"/>
        <w:rPr>
          <w:sz w:val="20"/>
          <w:szCs w:val="20"/>
          <w:color w:val="auto"/>
        </w:rPr>
      </w:pPr>
    </w:p>
    <w:p>
      <w:pPr>
        <w:ind w:left="433" w:hanging="433"/>
        <w:spacing w:after="0"/>
        <w:tabs>
          <w:tab w:leader="none" w:pos="4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w:t>
      </w:r>
    </w:p>
    <w:p>
      <w:pPr>
        <w:spacing w:after="0" w:line="172" w:lineRule="exact"/>
        <w:rPr>
          <w:rFonts w:ascii="Courier New" w:cs="Courier New" w:eastAsia="Courier New" w:hAnsi="Courier New"/>
          <w:sz w:val="15"/>
          <w:szCs w:val="15"/>
          <w:color w:val="auto"/>
        </w:rPr>
      </w:pPr>
    </w:p>
    <w:p>
      <w:pPr>
        <w:ind w:left="433"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fiscal year ends the Saturday closest to January 31. Fiscal years 2002, 2001, and 2000 ended on February 2, 2002, February 3, 2001, and January 29, 2000, respectively. Fiscal 2002 included 52 weeks, fiscal 2001 included 53 weeks, and fiscal 2000 included 52 weeks. References to years in these financial statements and notes relate to fiscal years rather than calendar years.</w:t>
      </w:r>
    </w:p>
    <w:p>
      <w:pPr>
        <w:spacing w:after="0" w:line="159" w:lineRule="exact"/>
        <w:rPr>
          <w:rFonts w:ascii="Courier New" w:cs="Courier New" w:eastAsia="Courier New" w:hAnsi="Courier New"/>
          <w:sz w:val="15"/>
          <w:szCs w:val="15"/>
          <w:color w:val="auto"/>
        </w:rPr>
      </w:pPr>
    </w:p>
    <w:p>
      <w:pPr>
        <w:ind w:left="433" w:hanging="346"/>
        <w:spacing w:after="0"/>
        <w:tabs>
          <w:tab w:leader="none" w:pos="433"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left="353" w:right="3579"/>
        <w:spacing w:after="0" w:line="236" w:lineRule="auto"/>
        <w:rPr>
          <w:sz w:val="20"/>
          <w:szCs w:val="20"/>
          <w:color w:val="auto"/>
        </w:rPr>
      </w:pPr>
      <w:r>
        <w:rPr>
          <w:rFonts w:ascii="Courier New" w:cs="Courier New" w:eastAsia="Courier New" w:hAnsi="Courier New"/>
          <w:sz w:val="15"/>
          <w:szCs w:val="15"/>
          <w:color w:val="auto"/>
        </w:rPr>
        <w:t>Statement of Financial Accounting Standards No. 107 (SFAS No. 107), Disclosures About Fair Value of Financial Instruments, requires disclosure of the fair value of certain financial instruments. The estimated fair values of the Company's financial instruments as of February 2, 2002 are summarized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53"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Carrying</w:t>
            </w:r>
          </w:p>
        </w:tc>
        <w:tc>
          <w:tcPr>
            <w:tcW w:w="1180" w:type="dxa"/>
            <w:vAlign w:val="bottom"/>
          </w:tcPr>
          <w:p>
            <w:pPr>
              <w:spacing w:after="0"/>
              <w:rPr>
                <w:sz w:val="14"/>
                <w:szCs w:val="14"/>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DIP revolving</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credit facility (Tranche A)</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29,603,169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29,603,169</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DIP term loan</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(Tranche B)</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DIP term loan</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(Tranche C)</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Chattel loan</w:t>
            </w:r>
          </w:p>
        </w:tc>
        <w:tc>
          <w:tcPr>
            <w:tcW w:w="258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1,037,374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1,037,374</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Mortgage note</w:t>
            </w:r>
          </w:p>
        </w:tc>
        <w:tc>
          <w:tcPr>
            <w:tcW w:w="258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12,410,527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13,164,835</w:t>
            </w:r>
          </w:p>
        </w:tc>
      </w:tr>
      <w:tr>
        <w:trPr>
          <w:trHeight w:val="505"/>
        </w:trPr>
        <w:tc>
          <w:tcPr>
            <w:tcW w:w="1180" w:type="dxa"/>
            <w:vAlign w:val="bottom"/>
          </w:tcPr>
          <w:p>
            <w:pPr>
              <w:spacing w:after="0"/>
              <w:rPr>
                <w:sz w:val="24"/>
                <w:szCs w:val="24"/>
                <w:color w:val="auto"/>
              </w:rPr>
            </w:pPr>
          </w:p>
        </w:tc>
        <w:tc>
          <w:tcPr>
            <w:tcW w:w="2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792"/>
          </w:cols>
          <w:pgMar w:left="667" w:top="617" w:right="1440" w:bottom="1440" w:gutter="0" w:footer="0" w:header="0"/>
        </w:sectPr>
      </w:pPr>
    </w:p>
    <w:bookmarkStart w:id="9" w:name="page10"/>
    <w:bookmarkEnd w:id="9"/>
    <w:p>
      <w:pPr>
        <w:ind w:left="353" w:right="3319"/>
        <w:spacing w:after="0" w:line="236" w:lineRule="auto"/>
        <w:rPr>
          <w:sz w:val="20"/>
          <w:szCs w:val="20"/>
          <w:color w:val="auto"/>
        </w:rPr>
      </w:pPr>
      <w:r>
        <w:rPr>
          <w:rFonts w:ascii="Courier New" w:cs="Courier New" w:eastAsia="Courier New" w:hAnsi="Courier New"/>
          <w:sz w:val="15"/>
          <w:szCs w:val="15"/>
          <w:color w:val="auto"/>
        </w:rPr>
        <w:t>The carrying amounts for cash and cash equivalents, accounts receivable, accounts payable (post-petition), accrued expenses, and short-term borrowings approximate fair value because of the short maturity of these instruments. Discounted cash flows are used to determine the fair value of the mortgage. The fair value of the Company's liabilities subject to compromise are not presently determinable as a result of the Chapter 11 proceedings. At February 2, 2002, the Company has no investments in derivative financial instruments.</w:t>
      </w:r>
    </w:p>
    <w:p>
      <w:pPr>
        <w:spacing w:after="0" w:line="172" w:lineRule="exact"/>
        <w:rPr>
          <w:sz w:val="20"/>
          <w:szCs w:val="20"/>
          <w:color w:val="auto"/>
        </w:rPr>
      </w:pPr>
    </w:p>
    <w:p>
      <w:pPr>
        <w:ind w:left="433" w:hanging="433"/>
        <w:spacing w:after="0"/>
        <w:tabs>
          <w:tab w:leader="none" w:pos="4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353" w:right="3399"/>
        <w:spacing w:after="0" w:line="235" w:lineRule="auto"/>
        <w:rPr>
          <w:sz w:val="20"/>
          <w:szCs w:val="20"/>
          <w:color w:val="auto"/>
        </w:rPr>
      </w:pPr>
      <w:r>
        <w:rPr>
          <w:rFonts w:ascii="Courier New" w:cs="Courier New" w:eastAsia="Courier New" w:hAnsi="Courier New"/>
          <w:sz w:val="15"/>
          <w:szCs w:val="15"/>
          <w:color w:val="auto"/>
        </w:rPr>
        <w:t>Cash equivalents consist of highly liquid instruments with maturities of three months or less and are stated at cost, which approximates market.</w:t>
      </w:r>
    </w:p>
    <w:p>
      <w:pPr>
        <w:spacing w:after="0" w:line="167" w:lineRule="exact"/>
        <w:rPr>
          <w:sz w:val="20"/>
          <w:szCs w:val="20"/>
          <w:color w:val="auto"/>
        </w:rPr>
      </w:pPr>
    </w:p>
    <w:p>
      <w:pPr>
        <w:ind w:left="433" w:hanging="433"/>
        <w:spacing w:after="0"/>
        <w:tabs>
          <w:tab w:leader="none" w:pos="43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Merchandise Inventories</w:t>
      </w:r>
    </w:p>
    <w:p>
      <w:pPr>
        <w:spacing w:after="0" w:line="173" w:lineRule="exact"/>
        <w:rPr>
          <w:sz w:val="20"/>
          <w:szCs w:val="20"/>
          <w:color w:val="auto"/>
        </w:rPr>
      </w:pPr>
    </w:p>
    <w:p>
      <w:pPr>
        <w:ind w:left="353" w:right="3319"/>
        <w:spacing w:after="0" w:line="235" w:lineRule="auto"/>
        <w:rPr>
          <w:sz w:val="20"/>
          <w:szCs w:val="20"/>
          <w:color w:val="auto"/>
        </w:rPr>
      </w:pPr>
      <w:r>
        <w:rPr>
          <w:rFonts w:ascii="Courier New" w:cs="Courier New" w:eastAsia="Courier New" w:hAnsi="Courier New"/>
          <w:sz w:val="15"/>
          <w:szCs w:val="15"/>
          <w:color w:val="auto"/>
        </w:rPr>
        <w:t>Except for the direct marketing business, which accounts for its inventory by the average cost method, merchandise inventories, which consist entirely of finished goods, are valued at the lower of cost or market, principally by the retail inventory method.</w:t>
      </w:r>
    </w:p>
    <w:p>
      <w:pPr>
        <w:spacing w:after="0" w:line="175" w:lineRule="exact"/>
        <w:rPr>
          <w:sz w:val="20"/>
          <w:szCs w:val="20"/>
          <w:color w:val="auto"/>
        </w:rPr>
      </w:pPr>
    </w:p>
    <w:p>
      <w:pPr>
        <w:ind w:left="433" w:right="3579" w:hanging="433"/>
        <w:spacing w:after="0" w:line="234" w:lineRule="auto"/>
        <w:tabs>
          <w:tab w:leader="none" w:pos="43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of Property, Plant and Equipment and Other Assets</w:t>
      </w:r>
    </w:p>
    <w:p>
      <w:pPr>
        <w:spacing w:after="0" w:line="173" w:lineRule="exact"/>
        <w:rPr>
          <w:sz w:val="20"/>
          <w:szCs w:val="20"/>
          <w:color w:val="auto"/>
        </w:rPr>
      </w:pPr>
    </w:p>
    <w:p>
      <w:pPr>
        <w:ind w:left="353" w:right="3499"/>
        <w:spacing w:after="0" w:line="235" w:lineRule="auto"/>
        <w:rPr>
          <w:sz w:val="20"/>
          <w:szCs w:val="20"/>
          <w:color w:val="auto"/>
        </w:rPr>
      </w:pPr>
      <w:r>
        <w:rPr>
          <w:rFonts w:ascii="Courier New" w:cs="Courier New" w:eastAsia="Courier New" w:hAnsi="Courier New"/>
          <w:sz w:val="15"/>
          <w:szCs w:val="15"/>
          <w:color w:val="auto"/>
        </w:rPr>
        <w:t>Depreciation and amortization of the Company's property, plant and equipment, and other assets are provided on the straight-line method over the following periods:</w:t>
      </w:r>
    </w:p>
    <w:p>
      <w:pPr>
        <w:spacing w:after="0" w:line="167" w:lineRule="exact"/>
        <w:rPr>
          <w:sz w:val="20"/>
          <w:szCs w:val="20"/>
          <w:color w:val="auto"/>
        </w:rPr>
      </w:pPr>
    </w:p>
    <w:tbl>
      <w:tblPr>
        <w:tblLayout w:type="fixed"/>
        <w:tblInd w:w="873"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Furniture and</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fixtures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Machinery and</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equipment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Building, building improvements, and land</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improvements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Systems development costs, goodwill, and other</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3 to 15 years</w:t>
            </w:r>
          </w:p>
        </w:tc>
      </w:tr>
      <w:tr>
        <w:trPr>
          <w:trHeight w:val="168"/>
        </w:trPr>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intangible</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left="353" w:right="3239"/>
        <w:spacing w:after="0" w:line="236" w:lineRule="auto"/>
        <w:rPr>
          <w:sz w:val="20"/>
          <w:szCs w:val="20"/>
          <w:color w:val="auto"/>
        </w:rPr>
      </w:pPr>
      <w:r>
        <w:rPr>
          <w:rFonts w:ascii="Courier New" w:cs="Courier New" w:eastAsia="Courier New" w:hAnsi="Courier New"/>
          <w:sz w:val="15"/>
          <w:szCs w:val="15"/>
          <w:color w:val="auto"/>
        </w:rPr>
        <w:t>Maintenance and repairs are charged to expense as incurred. Major renewals or replacements are capitalized. When properties are retired or otherwise disposed of, the asset and related reserve account are relieved and the resulting gain or loss, if any, is credited or charged to operations.</w:t>
      </w:r>
    </w:p>
    <w:p>
      <w:pPr>
        <w:spacing w:after="0" w:line="174" w:lineRule="exact"/>
        <w:rPr>
          <w:sz w:val="20"/>
          <w:szCs w:val="20"/>
          <w:color w:val="auto"/>
        </w:rPr>
      </w:pPr>
    </w:p>
    <w:p>
      <w:pPr>
        <w:ind w:left="433" w:right="4199" w:hanging="433"/>
        <w:spacing w:after="0" w:line="234"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 and Long-Lived Assets to Be Disposed Of</w:t>
      </w:r>
    </w:p>
    <w:p>
      <w:pPr>
        <w:spacing w:after="0" w:line="173" w:lineRule="exact"/>
        <w:rPr>
          <w:sz w:val="20"/>
          <w:szCs w:val="20"/>
          <w:color w:val="auto"/>
        </w:rPr>
      </w:pPr>
    </w:p>
    <w:p>
      <w:pPr>
        <w:ind w:left="353" w:right="3239"/>
        <w:spacing w:after="0" w:line="237" w:lineRule="auto"/>
        <w:rPr>
          <w:sz w:val="20"/>
          <w:szCs w:val="20"/>
          <w:color w:val="auto"/>
        </w:rPr>
      </w:pPr>
      <w:r>
        <w:rPr>
          <w:rFonts w:ascii="Courier New" w:cs="Courier New" w:eastAsia="Courier New" w:hAnsi="Courier New"/>
          <w:sz w:val="15"/>
          <w:szCs w:val="15"/>
          <w:color w:val="auto"/>
        </w:rPr>
        <w:t>SFAS No. 121, Accounting for the Impairment of Long-Lived Assets and for Long-Lived Assets to Be Disposed Of requires that long-lived assets and certain identifiable intangibles be reviewed for impairment whenever events or changes in circumstances indicate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67" w:lineRule="exact"/>
        <w:rPr>
          <w:sz w:val="20"/>
          <w:szCs w:val="20"/>
          <w:color w:val="auto"/>
        </w:rPr>
      </w:pPr>
    </w:p>
    <w:p>
      <w:pPr>
        <w:ind w:left="433" w:hanging="433"/>
        <w:spacing w:after="0"/>
        <w:tabs>
          <w:tab w:leader="none" w:pos="43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left="353" w:right="3319"/>
        <w:spacing w:after="0" w:line="236" w:lineRule="auto"/>
        <w:rPr>
          <w:sz w:val="20"/>
          <w:szCs w:val="20"/>
          <w:color w:val="auto"/>
        </w:rPr>
      </w:pPr>
      <w:r>
        <w:rPr>
          <w:rFonts w:ascii="Courier New" w:cs="Courier New" w:eastAsia="Courier New" w:hAnsi="Courier New"/>
          <w:sz w:val="15"/>
          <w:szCs w:val="15"/>
          <w:color w:val="auto"/>
        </w:rPr>
        <w:t>Goodwill, which represents the excess of the purchase price over the fair value of net assets acquired, is amortized on a straight-line basis over a period of 15 years. The Company evaluates goodwill for impairment whenever events or circumstances indicate that the carrying amount may not be recoverable. If the carrying amount of the goodwill exceeds the expected undiscounted future cash flows, the Company records an impairment loss.</w:t>
      </w:r>
    </w:p>
    <w:p>
      <w:pPr>
        <w:spacing w:after="0" w:line="176" w:lineRule="exact"/>
        <w:rPr>
          <w:sz w:val="20"/>
          <w:szCs w:val="20"/>
          <w:color w:val="auto"/>
        </w:rPr>
      </w:pPr>
    </w:p>
    <w:p>
      <w:pPr>
        <w:ind w:left="353" w:right="3399"/>
        <w:spacing w:after="0" w:line="235" w:lineRule="auto"/>
        <w:rPr>
          <w:sz w:val="20"/>
          <w:szCs w:val="20"/>
          <w:color w:val="auto"/>
        </w:rPr>
      </w:pPr>
      <w:r>
        <w:rPr>
          <w:rFonts w:ascii="Courier New" w:cs="Courier New" w:eastAsia="Courier New" w:hAnsi="Courier New"/>
          <w:sz w:val="15"/>
          <w:szCs w:val="15"/>
          <w:color w:val="auto"/>
        </w:rPr>
        <w:t>As discussed in note 3, the Company's goodwill relating to Repp was written off as an impairment loss during fiscal 2002. At February 2, 2002, the remaining balance of goodwill is $100,000, which relates to an acquisition of a security business in December 2000.</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2"/>
          </w:cols>
          <w:pgMar w:left="667" w:top="624" w:right="1440" w:bottom="1440" w:gutter="0" w:footer="0" w:header="0"/>
        </w:sectPr>
      </w:pPr>
    </w:p>
    <w:bookmarkStart w:id="10" w:name="page11"/>
    <w:bookmarkEnd w:id="10"/>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Basic Earnings Per Share (EPS) is computed by dividing income available to common shareholders by the weighted average number of common shares outstanding during the period. Diluted EPS is computed by dividing income available to common shareholders by the weighted average number of common shares, after giving effect to all potentially dilutive common shares outstanding during the period. All potentially dilutive securities were excluded from the calculations for fiscal 2002 and 2001 because their effect would be anti-dilutive. The number of total shares excluded from the calculation was 1,899,941 for both fiscal 2002 and fiscal 2001. The common stock issuable under the 7% convertible subordinated notes due 2002 and the convertible debentures were not included in the calculation for fiscal 2000 because their effects would be antidilutive.</w:t>
      </w:r>
    </w:p>
    <w:p>
      <w:pPr>
        <w:spacing w:after="0" w:line="333" w:lineRule="exact"/>
        <w:rPr>
          <w:sz w:val="20"/>
          <w:szCs w:val="20"/>
          <w:color w:val="auto"/>
        </w:rPr>
      </w:pPr>
    </w:p>
    <w:p>
      <w:pPr>
        <w:ind w:left="800" w:right="3399"/>
        <w:spacing w:after="0" w:line="261" w:lineRule="auto"/>
        <w:rPr>
          <w:sz w:val="20"/>
          <w:szCs w:val="20"/>
          <w:color w:val="auto"/>
        </w:rPr>
      </w:pPr>
      <w:r>
        <w:rPr>
          <w:rFonts w:ascii="Courier New" w:cs="Courier New" w:eastAsia="Courier New" w:hAnsi="Courier New"/>
          <w:sz w:val="14"/>
          <w:szCs w:val="14"/>
          <w:color w:val="auto"/>
        </w:rPr>
        <w:t>Earnings (loss) from continuing operations and shares used to compute earnings (loss) per share, basic and diluted, are reconciled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9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w:t>
            </w: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 basic and diluted</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$(83,119,933)</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(43,044,913)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8,217,510</w:t>
            </w:r>
          </w:p>
        </w:tc>
      </w:tr>
      <w:tr>
        <w:trPr>
          <w:trHeight w:val="168"/>
        </w:trPr>
        <w:tc>
          <w:tcPr>
            <w:tcW w:w="29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14,025,976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14,067,998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14,065,734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warrants, and</w:t>
            </w: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performance share awards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307,538</w:t>
            </w:r>
          </w:p>
        </w:tc>
      </w:tr>
      <w:tr>
        <w:trPr>
          <w:trHeight w:val="168"/>
        </w:trPr>
        <w:tc>
          <w:tcPr>
            <w:tcW w:w="29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ind w:left="800"/>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14,205,976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14,067,998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14,373,272</w:t>
            </w:r>
          </w:p>
        </w:tc>
      </w:tr>
      <w:tr>
        <w:trPr>
          <w:trHeight w:val="168"/>
        </w:trPr>
        <w:tc>
          <w:tcPr>
            <w:tcW w:w="29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The Company recognizes revenue in its retail stores at the time of sale and in its catalog and e-commerce business at the time orders are shipped.</w:t>
      </w:r>
    </w:p>
    <w:p>
      <w:pPr>
        <w:spacing w:after="0" w:line="167"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Store Opening and Closing Costs</w:t>
      </w:r>
    </w:p>
    <w:p>
      <w:pPr>
        <w:spacing w:after="0" w:line="173" w:lineRule="exact"/>
        <w:rPr>
          <w:sz w:val="20"/>
          <w:szCs w:val="20"/>
          <w:color w:val="auto"/>
        </w:rPr>
      </w:pPr>
    </w:p>
    <w:p>
      <w:pPr>
        <w:jc w:val="both"/>
        <w:ind w:left="800" w:right="3679"/>
        <w:spacing w:after="0" w:line="235" w:lineRule="auto"/>
        <w:rPr>
          <w:sz w:val="20"/>
          <w:szCs w:val="20"/>
          <w:color w:val="auto"/>
        </w:rPr>
      </w:pPr>
      <w:r>
        <w:rPr>
          <w:rFonts w:ascii="Courier New" w:cs="Courier New" w:eastAsia="Courier New" w:hAnsi="Courier New"/>
          <w:sz w:val="15"/>
          <w:szCs w:val="15"/>
          <w:color w:val="auto"/>
        </w:rPr>
        <w:t>Store opening costs are expensed as incurred. All costs related to store closings are expensed at the time the decision is reached to close the store.</w:t>
      </w:r>
    </w:p>
    <w:p>
      <w:pPr>
        <w:spacing w:after="0" w:line="167"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Company expenses in-store advertising costs as incurred. Direct response advertising costs, which consist of catalog production and postage costs, are deferred and amortized over the period of expected direct marketing revenue, which is less than one year. The amount of deferred direct expense advertising cost was $1,045,132 and $868,820 at February 2, 2002 and February 3, 2001, respectively. Advertising expense was approximately $20.5 million, $18.7 million, and $14.1 million for the years ended February 2, 2002, February 3, 2001, and January 29, 2000, respectively.</w:t>
      </w:r>
    </w:p>
    <w:p>
      <w:pPr>
        <w:spacing w:after="0" w:line="172"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SFAS No. 123, Accounting for Stock-Based Compensation permits entities to recognize as expense over the vesting period the fair value on the date of grant of all stock-based awards. Alternatively, SFAS No. 123 also allows entities to continue to apply the provisions of APB Opinion No. 25, Accounting for Stock Issued to Employees and provide pro forma net income and pro forma earnings per share disclosures for employee stock option grants made in fiscal 1996 and future years as if the fair-value-based method defined in SFAS No. 123 had been applied. The Company continues to apply the provisions of APB Opinion No. 25 and provide the pro forma disclosure provisions of SFAS No. 123.</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1" w:name="page12"/>
    <w:bookmarkEnd w:id="11"/>
    <w:p>
      <w:pPr>
        <w:ind w:left="433" w:hanging="433"/>
        <w:spacing w:after="0"/>
        <w:tabs>
          <w:tab w:leader="none" w:pos="4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353" w:right="3239"/>
        <w:spacing w:after="0" w:line="255" w:lineRule="auto"/>
        <w:rPr>
          <w:sz w:val="20"/>
          <w:szCs w:val="20"/>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9" w:lineRule="exact"/>
        <w:rPr>
          <w:sz w:val="20"/>
          <w:szCs w:val="20"/>
          <w:color w:val="auto"/>
        </w:rPr>
      </w:pPr>
    </w:p>
    <w:p>
      <w:pPr>
        <w:ind w:left="433" w:hanging="433"/>
        <w:spacing w:after="0"/>
        <w:tabs>
          <w:tab w:leader="none" w:pos="4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Assets Held for Sale</w:t>
      </w:r>
    </w:p>
    <w:p>
      <w:pPr>
        <w:spacing w:after="0" w:line="173" w:lineRule="exact"/>
        <w:rPr>
          <w:sz w:val="20"/>
          <w:szCs w:val="20"/>
          <w:color w:val="auto"/>
        </w:rPr>
      </w:pPr>
    </w:p>
    <w:p>
      <w:pPr>
        <w:ind w:left="353" w:right="3399"/>
        <w:spacing w:after="0" w:line="235" w:lineRule="auto"/>
        <w:rPr>
          <w:sz w:val="20"/>
          <w:szCs w:val="20"/>
          <w:color w:val="auto"/>
        </w:rPr>
      </w:pPr>
      <w:r>
        <w:rPr>
          <w:rFonts w:ascii="Courier New" w:cs="Courier New" w:eastAsia="Courier New" w:hAnsi="Courier New"/>
          <w:sz w:val="15"/>
          <w:szCs w:val="15"/>
          <w:color w:val="auto"/>
        </w:rPr>
        <w:t>Net assets held for sale are stated at the lower of net book value or estimated net realizable value. Net assets held for sale, including Work `n Gear and the big and tall and security businesses, consist of the following at February 2, 2002:</w:t>
      </w:r>
    </w:p>
    <w:p>
      <w:pPr>
        <w:spacing w:after="0" w:line="169" w:lineRule="exact"/>
        <w:rPr>
          <w:sz w:val="20"/>
          <w:szCs w:val="20"/>
          <w:color w:val="auto"/>
        </w:rPr>
      </w:pPr>
    </w:p>
    <w:tbl>
      <w:tblPr>
        <w:tblLayout w:type="fixed"/>
        <w:tblInd w:w="353"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209,600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92,603,042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and deposits</w:t>
            </w:r>
          </w:p>
        </w:tc>
        <w:tc>
          <w:tcPr>
            <w:tcW w:w="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1,408,439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3,693,359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47,958,154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6,612,649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Accounts payable and accrued</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expenses assumed</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(26,171,866)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Mortgage note assumed</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(12,410,528)</w:t>
            </w:r>
          </w:p>
        </w:tc>
      </w:tr>
      <w:tr>
        <w:trPr>
          <w:trHeight w:val="168"/>
        </w:trPr>
        <w:tc>
          <w:tcPr>
            <w:tcW w:w="3460" w:type="dxa"/>
            <w:vAlign w:val="bottom"/>
          </w:tcPr>
          <w:p>
            <w:pPr>
              <w:spacing w:after="0"/>
              <w:rPr>
                <w:sz w:val="14"/>
                <w:szCs w:val="14"/>
                <w:color w:val="auto"/>
              </w:rPr>
            </w:pPr>
          </w:p>
        </w:tc>
        <w:tc>
          <w:tcPr>
            <w:tcW w:w="1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Net assets held for sale</w:t>
            </w:r>
          </w:p>
        </w:tc>
        <w:tc>
          <w:tcPr>
            <w:tcW w:w="1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$ 113,902,849</w:t>
            </w:r>
          </w:p>
        </w:tc>
      </w:tr>
      <w:tr>
        <w:trPr>
          <w:trHeight w:val="168"/>
        </w:trPr>
        <w:tc>
          <w:tcPr>
            <w:tcW w:w="3460" w:type="dxa"/>
            <w:vAlign w:val="bottom"/>
          </w:tcPr>
          <w:p>
            <w:pPr>
              <w:spacing w:after="0"/>
              <w:rPr>
                <w:sz w:val="14"/>
                <w:szCs w:val="14"/>
                <w:color w:val="auto"/>
              </w:rPr>
            </w:pPr>
          </w:p>
        </w:tc>
        <w:tc>
          <w:tcPr>
            <w:tcW w:w="1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(r) Liabilities Subject to Compromise</w:t>
      </w:r>
    </w:p>
    <w:p>
      <w:pPr>
        <w:spacing w:after="0" w:line="173" w:lineRule="exact"/>
        <w:rPr>
          <w:sz w:val="20"/>
          <w:szCs w:val="20"/>
          <w:color w:val="auto"/>
        </w:rPr>
      </w:pPr>
    </w:p>
    <w:p>
      <w:pPr>
        <w:ind w:left="353" w:right="3499"/>
        <w:spacing w:after="0" w:line="256" w:lineRule="auto"/>
        <w:rPr>
          <w:sz w:val="20"/>
          <w:szCs w:val="20"/>
          <w:color w:val="auto"/>
        </w:rPr>
      </w:pPr>
      <w:r>
        <w:rPr>
          <w:rFonts w:ascii="Courier New" w:cs="Courier New" w:eastAsia="Courier New" w:hAnsi="Courier New"/>
          <w:sz w:val="14"/>
          <w:szCs w:val="14"/>
          <w:color w:val="auto"/>
        </w:rPr>
        <w:t>In accordance with SOP 90-7, liabilities subject to compromise are claims reported at amounts based on the Company's books and records, even though such liabilities may not be paid in full. Liabilities subject to compromise consist of the following at February 2, 2002:</w:t>
      </w:r>
    </w:p>
    <w:p>
      <w:pPr>
        <w:spacing w:after="0" w:line="158" w:lineRule="exact"/>
        <w:rPr>
          <w:sz w:val="20"/>
          <w:szCs w:val="20"/>
          <w:color w:val="auto"/>
        </w:rPr>
      </w:pPr>
    </w:p>
    <w:tbl>
      <w:tblPr>
        <w:tblLayout w:type="fixed"/>
        <w:tblInd w:w="353"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$ 56,561,210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subordinated debt (note 4)</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7% convertible subordinated notes (note 4)</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70,000,000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debentures (note 4)</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2,712,840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rejection claims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8,277,285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392,308</w:t>
            </w:r>
          </w:p>
        </w:tc>
      </w:tr>
      <w:tr>
        <w:trPr>
          <w:trHeight w:val="168"/>
        </w:trPr>
        <w:tc>
          <w:tcPr>
            <w:tcW w:w="416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Liabilities subject to</w:t>
            </w:r>
          </w:p>
        </w:tc>
        <w:tc>
          <w:tcPr>
            <w:tcW w:w="1520" w:type="dxa"/>
            <w:vAlign w:val="bottom"/>
          </w:tcPr>
          <w:p>
            <w:pPr>
              <w:spacing w:after="0"/>
              <w:rPr>
                <w:sz w:val="14"/>
                <w:szCs w:val="14"/>
                <w:color w:val="auto"/>
              </w:rPr>
            </w:pPr>
          </w:p>
        </w:tc>
      </w:tr>
      <w:tr>
        <w:trPr>
          <w:trHeight w:val="168"/>
        </w:trPr>
        <w:tc>
          <w:tcPr>
            <w:tcW w:w="41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compromise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$148,243,643</w:t>
            </w:r>
          </w:p>
        </w:tc>
      </w:tr>
      <w:tr>
        <w:trPr>
          <w:trHeight w:val="168"/>
        </w:trPr>
        <w:tc>
          <w:tcPr>
            <w:tcW w:w="416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353" w:right="3319"/>
        <w:spacing w:after="0" w:line="236" w:lineRule="auto"/>
        <w:rPr>
          <w:sz w:val="20"/>
          <w:szCs w:val="20"/>
          <w:color w:val="auto"/>
        </w:rPr>
      </w:pPr>
      <w:r>
        <w:rPr>
          <w:rFonts w:ascii="Courier New" w:cs="Courier New" w:eastAsia="Courier New" w:hAnsi="Courier New"/>
          <w:sz w:val="15"/>
          <w:szCs w:val="15"/>
          <w:color w:val="auto"/>
        </w:rPr>
        <w:t>Additional claims (liabilities subject to compromise) may subsequently arise resulting from rejection of additional executory contracts and non-residential leases, and from the determination by the Bankruptcy Court (or by agreement between the parties involved) of allowed claims for contingencies and other disputed amounts.</w:t>
      </w:r>
    </w:p>
    <w:p>
      <w:pPr>
        <w:spacing w:after="0" w:line="167"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(s) Reclassifications</w:t>
      </w:r>
    </w:p>
    <w:p>
      <w:pPr>
        <w:spacing w:after="0" w:line="173" w:lineRule="exact"/>
        <w:rPr>
          <w:sz w:val="20"/>
          <w:szCs w:val="20"/>
          <w:color w:val="auto"/>
        </w:rPr>
      </w:pPr>
    </w:p>
    <w:p>
      <w:pPr>
        <w:ind w:left="353" w:right="331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consolidated financial statements of prior years to conform to the fiscal 2002 presentation.</w:t>
      </w:r>
    </w:p>
    <w:p>
      <w:pPr>
        <w:spacing w:after="0" w:line="15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2"/>
          </w:cols>
          <w:pgMar w:left="667" w:top="617" w:right="1440" w:bottom="1440" w:gutter="0" w:footer="0" w:header="0"/>
        </w:sectPr>
      </w:pPr>
    </w:p>
    <w:bookmarkStart w:id="12" w:name="page13"/>
    <w:bookmarkEnd w:id="12"/>
    <w:p>
      <w:pPr>
        <w:ind w:left="530"/>
        <w:spacing w:after="0"/>
        <w:rPr>
          <w:sz w:val="20"/>
          <w:szCs w:val="20"/>
          <w:color w:val="auto"/>
        </w:rPr>
      </w:pPr>
      <w:r>
        <w:rPr>
          <w:rFonts w:ascii="Courier New" w:cs="Courier New" w:eastAsia="Courier New" w:hAnsi="Courier New"/>
          <w:sz w:val="15"/>
          <w:szCs w:val="15"/>
          <w:color w:val="auto"/>
        </w:rPr>
        <w:t>(t) New Accounting Pronouncements</w:t>
      </w:r>
    </w:p>
    <w:p>
      <w:pPr>
        <w:spacing w:after="0" w:line="173" w:lineRule="exact"/>
        <w:rPr>
          <w:sz w:val="20"/>
          <w:szCs w:val="20"/>
          <w:color w:val="auto"/>
        </w:rPr>
      </w:pPr>
    </w:p>
    <w:p>
      <w:pPr>
        <w:ind w:left="790" w:right="3239"/>
        <w:spacing w:after="0" w:line="235" w:lineRule="auto"/>
        <w:rPr>
          <w:sz w:val="20"/>
          <w:szCs w:val="20"/>
          <w:color w:val="auto"/>
        </w:rPr>
      </w:pPr>
      <w:r>
        <w:rPr>
          <w:rFonts w:ascii="Courier New" w:cs="Courier New" w:eastAsia="Courier New" w:hAnsi="Courier New"/>
          <w:sz w:val="15"/>
          <w:szCs w:val="15"/>
          <w:color w:val="auto"/>
        </w:rPr>
        <w:t>In accordance with EITF 00-10, Accounting for Shipping and Handling Fees and Costs, the Company classifies shipping and handling fees billed to customers as revenue, and shipping and handling costs in cost of sales.</w:t>
      </w:r>
    </w:p>
    <w:p>
      <w:pPr>
        <w:spacing w:after="0" w:line="175" w:lineRule="exact"/>
        <w:rPr>
          <w:sz w:val="20"/>
          <w:szCs w:val="20"/>
          <w:color w:val="auto"/>
        </w:rPr>
      </w:pPr>
    </w:p>
    <w:p>
      <w:pPr>
        <w:ind w:left="790" w:right="3239"/>
        <w:spacing w:after="0" w:line="237" w:lineRule="auto"/>
        <w:rPr>
          <w:sz w:val="20"/>
          <w:szCs w:val="20"/>
          <w:color w:val="auto"/>
        </w:rPr>
      </w:pPr>
      <w:r>
        <w:rPr>
          <w:rFonts w:ascii="Courier New" w:cs="Courier New" w:eastAsia="Courier New" w:hAnsi="Courier New"/>
          <w:sz w:val="15"/>
          <w:szCs w:val="15"/>
          <w:color w:val="auto"/>
        </w:rPr>
        <w:t>In June 2001, the FASB issued SFAS No. 141, Business Combinations, (SFAS No. 141) and SFAS No. 142, Goodwill and Other Intangible Assets (SFAS No. 142). SFAS No. 141 requires that the purchase method of accounting be used for all business combinations. SFAS No. 141 specifies criteria that intangible assets acquired in a business combination must meet to be recognized and reported separately from goodwill. SFAS No. 142 requires that goodwill and intangible assets with indefinite useful lives no longer be amortized, but instead be tested for impairment at least annually in accordance with the provisions of SFAS No. 142. SFAS No. 142 also requires that intangible assets with estimable useful lives be amortized over their respective estimated useful lives to their estimated residual values, and reviewed for impairment in accordance with SFAS No. 121 and subsequently, SFAS No. 144 after its adoption.</w:t>
      </w:r>
    </w:p>
    <w:p>
      <w:pPr>
        <w:spacing w:after="0" w:line="174"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The Company adopted the provisions of SFAS No. 141 as of July 1, 2001, and of SFAS No. 142 on February 3, 2002. Goodwill and intangible assets determined to have an indefinite useful life acquired in a purchase business combination completed after June 30, 2001, but before SFAS No. 142 is adopted in full, are not amortized. Goodwill and intangible assets acquired in business combinations completed before July 1, 2001 continued to be amortized and tested for impairment prior to the full adoption of SFAS No. 142.</w:t>
      </w:r>
    </w:p>
    <w:p>
      <w:pPr>
        <w:spacing w:after="0" w:line="177" w:lineRule="exact"/>
        <w:rPr>
          <w:sz w:val="20"/>
          <w:szCs w:val="20"/>
          <w:color w:val="auto"/>
        </w:rPr>
      </w:pPr>
    </w:p>
    <w:p>
      <w:pPr>
        <w:ind w:left="790" w:right="3239"/>
        <w:spacing w:after="0" w:line="237" w:lineRule="auto"/>
        <w:rPr>
          <w:sz w:val="20"/>
          <w:szCs w:val="20"/>
          <w:color w:val="auto"/>
        </w:rPr>
      </w:pPr>
      <w:r>
        <w:rPr>
          <w:rFonts w:ascii="Courier New" w:cs="Courier New" w:eastAsia="Courier New" w:hAnsi="Courier New"/>
          <w:sz w:val="15"/>
          <w:szCs w:val="15"/>
          <w:color w:val="auto"/>
        </w:rPr>
        <w:t>Upon adoption of SFAS No. 142, the Company is required to evaluate its existing intangible assets and goodwill that were acquired in purchase business combinations, and to make any necessary reclassifications in order to conform with the new classification criteria in SFAS No. 141 for recognition separate from goodwill. If an intangible asset is identified as having an indefinite useful life, the Company will be required to test the intangible asset for impairment in accordance with the provisions of SFAS No. 142 within the first interim period. Impairment is measured as the excess of carrying value over the fair value of an intangible asset with an indefinite life. Any impairment loss will be measured as of the date of adoption and recognized as the cumulative effect of a change in accounting principle in the first interim period.</w:t>
      </w:r>
    </w:p>
    <w:p>
      <w:pPr>
        <w:spacing w:after="0" w:line="173"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As of the date of adoption of SFAS No. 142, the Company expects to have unamortized goodwill in the amount of $100,000 and unamortized identifiable intangible assets in the amount of $103,251, all of which will be subject to the transition provisions of SFAS No. 142. Based on the sale of substantially all of the Company's assets in May 2002, the impact of adopting the Statements on the Company's financial statements is not expected to be material.</w:t>
      </w:r>
    </w:p>
    <w:p>
      <w:pPr>
        <w:spacing w:after="0" w:line="176" w:lineRule="exact"/>
        <w:rPr>
          <w:sz w:val="20"/>
          <w:szCs w:val="20"/>
          <w:color w:val="auto"/>
        </w:rPr>
      </w:pPr>
    </w:p>
    <w:p>
      <w:pPr>
        <w:ind w:left="790" w:right="3319"/>
        <w:spacing w:after="0" w:line="255"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(SFAS No. 144). SFAS No. 144 addresses financial accounting and reporting for the impairment or disposal of long-lived assets. This Statement requires that long-lived assets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 The Company adopted SFAS No. 144 on February 3, 2002.</w:t>
      </w:r>
    </w:p>
    <w:p>
      <w:pPr>
        <w:spacing w:after="0" w:line="157" w:lineRule="exact"/>
        <w:rPr>
          <w:sz w:val="20"/>
          <w:szCs w:val="20"/>
          <w:color w:val="auto"/>
        </w:rPr>
      </w:pPr>
    </w:p>
    <w:p>
      <w:pPr>
        <w:ind w:left="430" w:hanging="430"/>
        <w:spacing w:after="0"/>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 Footwear Operations to Footstar</w:t>
      </w:r>
    </w:p>
    <w:p>
      <w:pPr>
        <w:spacing w:after="0" w:line="172"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announced that it had entered into an agreement with an affiliate of Footstar, Inc. (Footstar) to sell substantially all of the assets of its JBI, Inc. and Morse Shoe, Inc. subsidiaries, which are the entities that comprised its footwear segment. Pursuant to the terms of the Asset Purchase Agreement between the Company and Footstar, the Company retained the obligation to operate certain footwear departments in the following stores scheduled to close: (i) all 105 stores operated by Bradlees Stores, Inc., a debtor-in-possession under Chapter 11, which stores closed during February 2001, (ii) 32 stores operated by Ames Department Stores, Inc., which stores closed during March 2001 and (iii) six stores operated by Ann &amp; Hope, Inc., which stores closed during the spring of</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17" w:right="1440" w:bottom="1440" w:gutter="0" w:footer="0" w:header="0"/>
        </w:sectPr>
      </w:pPr>
    </w:p>
    <w:bookmarkStart w:id="13" w:name="page14"/>
    <w:bookmarkEnd w:id="13"/>
    <w:p>
      <w:pPr>
        <w:ind w:left="800" w:right="3239"/>
        <w:spacing w:after="0" w:line="236" w:lineRule="auto"/>
        <w:rPr>
          <w:sz w:val="20"/>
          <w:szCs w:val="20"/>
          <w:color w:val="auto"/>
        </w:rPr>
      </w:pPr>
      <w:r>
        <w:rPr>
          <w:rFonts w:ascii="Courier New" w:cs="Courier New" w:eastAsia="Courier New" w:hAnsi="Courier New"/>
          <w:sz w:val="15"/>
          <w:szCs w:val="15"/>
          <w:color w:val="auto"/>
        </w:rPr>
        <w:t>2001. On February 3, 2001, the sale of the footwear segment to Footstar was finalized. The sale resulted in a loss from discontinued operations of $1.3 million and $58.8 million for fiscal years 2002 and 2001, respectively. The net loss from the disposal of the footwear segment in 2001 included the book loss on the transaction, the operating loss of the business in fiscal 2001 and other costs directly associated in the decision to divest. Proceeds of the sale to Footstar were $59 million, including $6 million placed in escrow at February 3, 2001. All of the proceeds held in escrow were received in full in the first quarter of fiscal 2002.</w:t>
      </w:r>
    </w:p>
    <w:p>
      <w:pPr>
        <w:spacing w:after="0" w:line="179"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The footwear segment is accounted for as a discontinued operation. Accordingly, its net assets have been segregated from continuing operations in the accompanying consolidated balance sheets, and its operating results are segregated and reported as discontinued operations in the accompanying consolidated statements of operations and cash flows, and related notes. For the periods ended February 2, 2002, February 3, 2001, and January 29, 2000, the results of discontinued operations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2000</w:t>
            </w:r>
          </w:p>
        </w:tc>
      </w:tr>
      <w:tr>
        <w:trPr>
          <w:trHeight w:val="168"/>
        </w:trPr>
        <w:tc>
          <w:tcPr>
            <w:tcW w:w="3460" w:type="dxa"/>
            <w:vAlign w:val="bottom"/>
          </w:tcPr>
          <w:p>
            <w:pPr>
              <w:spacing w:after="0"/>
              <w:rPr>
                <w:sz w:val="14"/>
                <w:szCs w:val="14"/>
                <w:color w:val="auto"/>
              </w:rPr>
            </w:pP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460" w:type="dxa"/>
            <w:vAlign w:val="bottom"/>
          </w:tcPr>
          <w:p>
            <w:pPr>
              <w:spacing w:after="0"/>
              <w:rPr>
                <w:sz w:val="14"/>
                <w:szCs w:val="14"/>
                <w:color w:val="auto"/>
              </w:rPr>
            </w:pPr>
          </w:p>
        </w:tc>
        <w:tc>
          <w:tcPr>
            <w:tcW w:w="35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303,622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254,350</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disposal of discontinued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(60,406)</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3460" w:type="dxa"/>
            <w:vAlign w:val="bottom"/>
          </w:tcPr>
          <w:p>
            <w:pPr>
              <w:spacing w:after="0"/>
              <w:rPr>
                <w:sz w:val="14"/>
                <w:szCs w:val="14"/>
                <w:color w:val="auto"/>
              </w:rPr>
            </w:pP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Earnings (loss) from</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 (1,309)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(58,811)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w:t>
            </w:r>
          </w:p>
        </w:tc>
      </w:tr>
      <w:tr>
        <w:trPr>
          <w:trHeight w:val="168"/>
        </w:trPr>
        <w:tc>
          <w:tcPr>
            <w:tcW w:w="3460" w:type="dxa"/>
            <w:vAlign w:val="bottom"/>
          </w:tcPr>
          <w:p>
            <w:pPr>
              <w:spacing w:after="0"/>
              <w:rPr>
                <w:sz w:val="14"/>
                <w:szCs w:val="14"/>
                <w:color w:val="auto"/>
              </w:rPr>
            </w:pP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Company allocated interest expense to discontinued operations based on debt that was attributed to the footwear segment. The loss on disposal of discontinued operations in fiscal 2001 included interest costs of $6.3 million. Results from discontinued operations in fiscal 2002, 2001, and 2000 included interest costs of $0, $3.8 million, and $6.8 million, respectively.</w:t>
      </w:r>
    </w:p>
    <w:p>
      <w:pPr>
        <w:spacing w:after="0" w:line="175" w:lineRule="exact"/>
        <w:rPr>
          <w:sz w:val="20"/>
          <w:szCs w:val="20"/>
          <w:color w:val="auto"/>
        </w:rPr>
      </w:pPr>
    </w:p>
    <w:p>
      <w:pPr>
        <w:ind w:left="440" w:right="3239"/>
        <w:spacing w:after="0" w:line="256" w:lineRule="auto"/>
        <w:rPr>
          <w:sz w:val="20"/>
          <w:szCs w:val="20"/>
          <w:color w:val="auto"/>
        </w:rPr>
      </w:pPr>
      <w:r>
        <w:rPr>
          <w:rFonts w:ascii="Courier New" w:cs="Courier New" w:eastAsia="Courier New" w:hAnsi="Courier New"/>
          <w:sz w:val="14"/>
          <w:szCs w:val="14"/>
          <w:color w:val="auto"/>
        </w:rPr>
        <w:t>The assets identified as part of the disposition of the footwear segment are recorded as current and noncurrent assets of discontinued operations; the cash flow of the business is reported as net cash provided by (used in) discontinued operations; and the results of operations of the segment are reported as earnings (loss) from discontinued operations.</w:t>
      </w:r>
    </w:p>
    <w:p>
      <w:pPr>
        <w:spacing w:after="0" w:line="16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There were no remaining assets of discontinued operations as of February 2, 2002. Current assets of discontinued operations as of February 3, 2001 consist of the following:</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9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6"/>
              </w:rPr>
              <w:t>(Amounts in thousands)</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7,371</w:t>
            </w:r>
          </w:p>
        </w:tc>
      </w:tr>
      <w:tr>
        <w:trPr>
          <w:trHeight w:val="168"/>
        </w:trPr>
        <w:tc>
          <w:tcPr>
            <w:tcW w:w="3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Amounts held in escrow</w:t>
            </w:r>
          </w:p>
        </w:tc>
        <w:tc>
          <w:tcPr>
            <w:tcW w:w="7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3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90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Current assets of discontinued</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9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operations</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13,462</w:t>
            </w:r>
          </w:p>
        </w:tc>
      </w:tr>
      <w:tr>
        <w:trPr>
          <w:trHeight w:val="168"/>
        </w:trPr>
        <w:tc>
          <w:tcPr>
            <w:tcW w:w="390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Shoe Corporation of America</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On February 11, 2000, the Company entered into an agreement to purchase the ongoing assets of Shoe Corporation of America (SCOA) and, on February 29, 2000, the transaction was consummated. The purchase price paid by the Company to acquire the ongoing assets of SCOA was approximately $14 million. As part of this acquisition, the Company acquired the rights to operate 204 licensed footwear departments for moderate department and specialty store chains nationwide. All assets and rights of this division were included in the sale to Footstar.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4" w:name="page15"/>
    <w:bookmarkEnd w:id="14"/>
    <w:p>
      <w:pPr>
        <w:ind w:left="430" w:hanging="430"/>
        <w:spacing w:after="0"/>
        <w:tabs>
          <w:tab w:leader="none" w:pos="4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Repp Ltd. And Repp Ltd. By Mail</w:t>
      </w:r>
    </w:p>
    <w:p>
      <w:pPr>
        <w:spacing w:after="0" w:line="172"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May 23, 1999, the Company acquired substantially all of the assets of the Repp Ltd. Big &amp; Tall and Repp Ltd. By Mail divisions of Edison Brothers Stores, Inc. The Company paid cash, as described below, for the acquisition of 175 United States and Canadian Repp Ltd. Big &amp; Tall retail locations and the Repp Ltd. By Mail catalog business. The Company immediately sold Repp's Canadian operation, 16 stores, to Grafton-Fraser, Inc., a Canadian men's retailer, and commenced the closing of 31 stores in the United States. The Company operated the remaining retail stores in the United States and the Repp Ltd. By Mail catalogs through a new subsidiary, JBI Apparel, Inc., until the business was sold to Designs (see note 1(a)). The transaction was financed primarily through (a) a new $20 million credit facility and a $5 million term loan provided to JBI Apparel, Inc. by BankBoston Retail Finance Inc. and Back Bay Capital Funding LLC, respectively, (both of which were amended on August 30, 1999 through a refinancing), (b) the issuance by JBI Apparel, Inc. of $10 million of senior subordinated notes to a group of investors, which included investment funds affiliated with Donaldson, Lufkin &amp; Jenrette, Inc. (the Investor Group) (see note 4), and (c) the sale of the Canadian operations and the liquidation of the inventories in the 31 closing stores. The net purchase price for the acquired assets, which primarily consisted of inventory and fixed assets for the 128 retail stores in the United States and the Repp Ltd. By Mail catalogs, was $27.0 million. In connection with the $10 million financing provided by the Investor Group, the Company issued 5-year warrants enabling holders to purchase 1,200,000 shares of the Company's common stock at $5.00 per share. See note 4.</w:t>
      </w:r>
    </w:p>
    <w:p>
      <w:pPr>
        <w:spacing w:after="0" w:line="344" w:lineRule="exact"/>
        <w:rPr>
          <w:rFonts w:ascii="Courier New" w:cs="Courier New" w:eastAsia="Courier New" w:hAnsi="Courier New"/>
          <w:sz w:val="15"/>
          <w:szCs w:val="15"/>
          <w:color w:val="auto"/>
        </w:rPr>
      </w:pPr>
    </w:p>
    <w:p>
      <w:pPr>
        <w:ind w:left="43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acquisition was accounted for under the purchase method of accounting and, accordingly, the results of operations of Repp Big &amp; Tall are included in the consolidated statements of operations since the date of acquisition.</w:t>
      </w:r>
    </w:p>
    <w:p>
      <w:pPr>
        <w:spacing w:after="0" w:line="155"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 net purchase price of $27.0 million was allocated as follows:</w:t>
      </w:r>
    </w:p>
    <w:p>
      <w:pPr>
        <w:spacing w:after="0" w:line="166" w:lineRule="exact"/>
        <w:rPr>
          <w:sz w:val="20"/>
          <w:szCs w:val="20"/>
          <w:color w:val="auto"/>
        </w:rPr>
      </w:pPr>
    </w:p>
    <w:tbl>
      <w:tblPr>
        <w:tblLayout w:type="fixed"/>
        <w:tblInd w:w="183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892,775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16,901,370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6,227,835</w:t>
            </w:r>
          </w:p>
        </w:tc>
      </w:tr>
      <w:tr>
        <w:trPr>
          <w:trHeight w:val="168"/>
        </w:trPr>
        <w:tc>
          <w:tcPr>
            <w:tcW w:w="276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4"/>
                <w:szCs w:val="2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27,021,980</w:t>
            </w:r>
          </w:p>
        </w:tc>
      </w:tr>
      <w:tr>
        <w:trPr>
          <w:trHeight w:val="168"/>
        </w:trPr>
        <w:tc>
          <w:tcPr>
            <w:tcW w:w="276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430" w:right="3319"/>
        <w:spacing w:after="0" w:line="256" w:lineRule="auto"/>
        <w:rPr>
          <w:sz w:val="20"/>
          <w:szCs w:val="20"/>
          <w:color w:val="auto"/>
        </w:rPr>
      </w:pPr>
      <w:r>
        <w:rPr>
          <w:rFonts w:ascii="Courier New" w:cs="Courier New" w:eastAsia="Courier New" w:hAnsi="Courier New"/>
          <w:sz w:val="14"/>
          <w:szCs w:val="14"/>
          <w:color w:val="auto"/>
        </w:rPr>
        <w:t>During fiscal 2001, an additional $0.5 million of goodwill was booked. At February 3, 2001, the unamortized goodwill of $6.7 million was included in other assets and was being amortized on a straight line basis over fifteen years. Accumulated amortization was $718,000 as of February 3, 2001.</w:t>
      </w:r>
    </w:p>
    <w:p>
      <w:pPr>
        <w:spacing w:after="0" w:line="164"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At the end of fiscal 2002, the Company decided to either close the remaining Repp stores or convert them to the Casual Male concept in the spring of fiscal 2003. As a result of this decision, it was determined that the goodwill no longer had value, and it was entirely written off as of February 2, 2002. The Company also recorded a $3,865,000 write down of the inventory in the converted Repp stores to reflect a valuation consistent with that of the Casual Male stores. The write off of Repp goodwill has been classified as Reorganization costs, and the write down of Repp inventory has been classified as cost of sales in the accompanying consolidated statements of operations for fiscal 2002.</w:t>
      </w:r>
    </w:p>
    <w:p>
      <w:pPr>
        <w:spacing w:after="0" w:line="17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17" w:right="1440" w:bottom="1440" w:gutter="0" w:footer="0" w:header="0"/>
        </w:sectPr>
      </w:pPr>
    </w:p>
    <w:bookmarkStart w:id="15" w:name="page16"/>
    <w:bookmarkEnd w:id="15"/>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Long-term debt, including liabilities subject to compromise, at February 2,</w:t>
      </w:r>
    </w:p>
    <w:p>
      <w:pPr>
        <w:spacing w:after="0" w:line="4" w:lineRule="exact"/>
        <w:rPr>
          <w:rFonts w:ascii="Courier New" w:cs="Courier New" w:eastAsia="Courier New" w:hAnsi="Courier New"/>
          <w:sz w:val="15"/>
          <w:szCs w:val="15"/>
          <w:color w:val="auto"/>
        </w:rPr>
      </w:pP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and February 3, 2001 was comprised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60,596,824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 (Tranche B)</w:t>
            </w:r>
          </w:p>
        </w:tc>
        <w:tc>
          <w:tcPr>
            <w:tcW w:w="5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DIP revolving credit facility (Tranche A)</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29,603,169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DIP term loan (Tranche B)</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20,000,000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DIP term loan (Tranche C)</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15,000,000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Chattel loan</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1,037,374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3,712,900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 (interest rate of 9.0%)</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12,410,528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13,143,876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13% senior subordinated debt</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10,000,000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8,664,000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7% convertible subordinated notes</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70,000,000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70,000,000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4"/>
                <w:szCs w:val="24"/>
                <w:color w:val="auto"/>
              </w:rPr>
            </w:pPr>
          </w:p>
        </w:tc>
        <w:tc>
          <w:tcPr>
            <w:tcW w:w="1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$158,351,071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176,417,600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13% senior subordinated debt, 7% convertible subordinated notes, and convertible debentures are all classified as "Liabilities subject to compromise" on the consolidated balance sheet at February 2, 2002. The mortgage note is classified as a liability to be assumed by Designs under "Net assets held for sale" on the consolidated balance sheet at February 2, 2002.</w:t>
      </w:r>
    </w:p>
    <w:p>
      <w:pPr>
        <w:spacing w:after="0" w:line="17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The balance of long-term debt at February 2, 2002, other than liabilities subject to compromise and net assets held for sale, is $65,640,543. This balance is classified as current portion of long-term debt on the accompanying consolidated balance sheet, and was fully repaid in May 2002 in conjunction with the sale to Designs.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Revolver, Term Loan and Chattel Loan</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Effective February 3, 2001, the Company established a total of $130 million in bank financing arrangements, comprised of a $110 million revolving credit facility and a $20 million term loan. These two facilities, each of which would have matured in January 2004, amended and restated the $185 million previously existing bank credit facility which would have otherwise expired in May 2002.</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$110 million revolving line of credit (the Revolver) was provided by a group of lenders led by Fleet Retail Finance, Inc. The $20 million term loan (the Term Loan) was provided by Back Bay Capital Funding LLC. Borrowings under the Term Loan bore interest at 17% per year until December 15, 2002 and 16.5% thereafter.</w:t>
      </w:r>
    </w:p>
    <w:p>
      <w:pPr>
        <w:spacing w:after="0" w:line="174"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Upon commencement of the Chapter 11 Case, the Debtors filed a motion seeking the authority of the Bankruptcy Court to enter into a debtor-in-possession revolving credit arrangement (Tranche A) with a group of lenders led by Fleet Retail Finance Inc., and Tranche B and C term loans with a group of lenders led by Back Bay Capital Funding LLC (collectively, the DIP Facility). On May 18, 2001, the Bankruptcy Court approved the DIP Facility on an interim basis pursuant to Section 364(c) of the Bankruptcy Code, and on July 18, 2001, approved the DIP Facility on a final basis. The DIP Facility superseded and replaced the Company's $130 million in bank financing arrangements comprised of the Revolver and the Term Loan.</w:t>
      </w:r>
    </w:p>
    <w:p>
      <w:pPr>
        <w:spacing w:after="0" w:line="16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DIP Facility provides the Debtors with a $100 million revolving credit facility (the DIP Revolver), which facility contains a $15.0 million sub-limit for issuances of letters of credit, for the Debtors' general working capital needs and for certain capital expenditures. Aggregate borrowings under the DIP Revolver are limited to an amount determined by a formula based on various percentages of eligible inventory and accounts receivable. Borrowings under the DIP Revolver bear interest at variable rates, and bore a weighted average interest rate of 5.93% in fiscal 2002. As of February 2, 2002, the Company had aggregate borrowings outstanding under the DIP Revolver totaling $30.4 million, including $0.8 million of the letters of credit.</w:t>
      </w:r>
    </w:p>
    <w:p>
      <w:pPr>
        <w:spacing w:after="0" w:line="180" w:lineRule="exact"/>
        <w:rPr>
          <w:sz w:val="20"/>
          <w:szCs w:val="20"/>
          <w:color w:val="auto"/>
        </w:rPr>
      </w:pPr>
    </w:p>
    <w:p>
      <w:pPr>
        <w:ind w:left="440" w:right="3239"/>
        <w:spacing w:after="0" w:line="258" w:lineRule="auto"/>
        <w:rPr>
          <w:sz w:val="20"/>
          <w:szCs w:val="20"/>
          <w:color w:val="auto"/>
        </w:rPr>
      </w:pPr>
      <w:r>
        <w:rPr>
          <w:rFonts w:ascii="Courier New" w:cs="Courier New" w:eastAsia="Courier New" w:hAnsi="Courier New"/>
          <w:sz w:val="14"/>
          <w:szCs w:val="14"/>
          <w:color w:val="auto"/>
        </w:rPr>
        <w:t>The Tranche B term loan provides $20 million to be applied solely towards the retirement of the Revolver and the Term Loan. The unpaid balance of the Tranche B term loan bears interest at a fixed rate of 17.5% per annum (of</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6" w:name="page17"/>
    <w:bookmarkEnd w:id="16"/>
    <w:p>
      <w:pPr>
        <w:ind w:right="3319"/>
        <w:spacing w:after="0" w:line="234" w:lineRule="auto"/>
        <w:rPr>
          <w:sz w:val="20"/>
          <w:szCs w:val="20"/>
          <w:color w:val="auto"/>
        </w:rPr>
      </w:pPr>
      <w:r>
        <w:rPr>
          <w:rFonts w:ascii="Courier New" w:cs="Courier New" w:eastAsia="Courier New" w:hAnsi="Courier New"/>
          <w:sz w:val="15"/>
          <w:szCs w:val="15"/>
          <w:color w:val="auto"/>
        </w:rPr>
        <w:t>which 15.5% is payable monthly in arrears and the remaining 2% may be paid monthly or paid-in-kind, at the option of the Debtors).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Tranche C term loan provides $15 million to the Debtors, the proceeds of which must be applied solely towards the retirement of the Revolver and the Term Loan and for the Debtors' working capital needs. The unpaid balance of the Tranche C term loan bears interest at a fixed rate of 22% per annum (of which 19% is payable monthly in arrears and the remaining 3% may be paid monthly or paid-in-kind, at the option of the Debtors).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DIP Facility is secured by a first priority lien on, and security interest in, substantially all of the Debtors' assets except equipment as to which Fleet Leasing Inc.'s lien has priority and property subject to other permitted liens (as defined in the DIP Facility), in which case the lenders have a perfected junior lien. The DIP Facility has debt covenants. At February 2, 2002, the Debtors were in violation of certain of these covenants. As noted above, the DIP facility was fully paid in May 2002 in conjunction with the transaction with Designs.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February 2, 2002 the Company had $1.0 million remaining of its $9 million chattel loan which was provided by Fleet Leasing Inc. (the Chattel Loan). The Chattel Loan was payable in equal monthly installments of principal and interest, bore interest at 10.35%, and was paid off upon its maturity in May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December 30, 1996, JBAK Canton Realty, Inc. (JBAK Realty), a wholly</w:t>
      </w:r>
    </w:p>
    <w:p>
      <w:pPr>
        <w:spacing w:after="0" w:line="237" w:lineRule="auto"/>
        <w:rPr>
          <w:sz w:val="20"/>
          <w:szCs w:val="20"/>
          <w:color w:val="auto"/>
        </w:rPr>
      </w:pPr>
      <w:r>
        <w:rPr>
          <w:rFonts w:ascii="Courier New" w:cs="Courier New" w:eastAsia="Courier New" w:hAnsi="Courier New"/>
          <w:sz w:val="15"/>
          <w:szCs w:val="15"/>
          <w:color w:val="auto"/>
        </w:rPr>
        <w:t>owned subsidiary of JBAK Holding, Inc. (JBAK Holding) and an indirect,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 owned subsidiary of the Company, obtained a $15.5 million mortgage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from The Chase Manhattan Bank (the Mortgage Loan) secured by the real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buildings, and other improvements located at 555 Turnpike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Canton, Massachusetts (the Canton Property) owned by JBAK Realty. JBAK</w:t>
      </w:r>
    </w:p>
    <w:p>
      <w:pPr>
        <w:spacing w:after="0" w:line="237" w:lineRule="auto"/>
        <w:rPr>
          <w:sz w:val="20"/>
          <w:szCs w:val="20"/>
          <w:color w:val="auto"/>
        </w:rPr>
      </w:pPr>
      <w:r>
        <w:rPr>
          <w:rFonts w:ascii="Courier New" w:cs="Courier New" w:eastAsia="Courier New" w:hAnsi="Courier New"/>
          <w:sz w:val="15"/>
          <w:szCs w:val="15"/>
          <w:color w:val="auto"/>
        </w:rPr>
        <w:t>Realty leases the Canton Property to JBI, Inc. (JBI), a wholly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the Company. Neither JBAK Holding nor JBAK Realty have agreed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pay or make their assets available to pay creditors of the Company or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JBI. Neither the Company nor JBI have agreed to make their assets available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pay creditors of JBAK Holding or of JBAK Realty. This loan is being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repaid in equal monthly payments of principal and interest over 15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bears interest at 9.0%. As of February 2, 2002, the balance due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$12.4 million. When the Company sold certain assets to Designs in May 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Canton Property was sold to Designs and Designs assumed obligations</w:t>
      </w:r>
    </w:p>
    <w:p>
      <w:pPr>
        <w:spacing w:after="0" w:line="237" w:lineRule="auto"/>
        <w:rPr>
          <w:sz w:val="20"/>
          <w:szCs w:val="20"/>
          <w:color w:val="auto"/>
        </w:rPr>
      </w:pPr>
      <w:r>
        <w:rPr>
          <w:rFonts w:ascii="Courier New" w:cs="Courier New" w:eastAsia="Courier New" w:hAnsi="Courier New"/>
          <w:sz w:val="15"/>
          <w:szCs w:val="15"/>
          <w:color w:val="auto"/>
        </w:rPr>
        <w:t>under the mortgage, subject to the consent of the lenders.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Subordinated Debt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May 1999, to facilitate the purchase of the Repp Ltd. and Repp Ltd. By Mail businesses (see note 3), a group of investors, which included investment funds affiliated with Donaldson, Lufkin and Jenrette, Inc. provided $10 million to the Company through the issuance of 13% Senior Subordinated Notes by JBI Apparel, Inc. Detachable warrants were issued in connection with the 13% Senior Subordinated Notes, which enable the holders to purchase 1,200,000 shares of Casual Male Corp. common stock at $5.00 per share. The value of the detachable warrants was recorded as additional paid-in capital in stockholders' equity (deficit), and was amortized using the effective interest method. The amount of the 13% Senior Subordinated Notes at February 3, 2001 had been reduced by $1.3 million, the unamortized balance of the $3.3 million value assigned to the detachable warrants. As of February 2, 2002, the balance assigned to the warrants had been fully amortized. The 13% Senior Subordinated Notes matured on December 31, 2001, and the warrants expire on May 21, 2004. The debt has not been paid, and the balance of $10,000,000 is included in "Liabilities subject to compromise" on the consolidated balance sheet.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Debt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June 1992, Casual Male Corp. issued $70 million of 7% convertible subordinated notes due June 2002. The notes are convertible into common stock at a conversion price of $16.125 per share, subject to adjustment in certain events.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convertible debentures began accruing interest on January 15, 1997 at a rate of 8% and no principal was payable until January 15, 2002. The debt is subject, under certain circumstances, to mandatory conversion.</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Approximately 6,500 shares of Casual Male common stock are reserved for any future conversions of the convertible debentures.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Neither the 7% convertible subordinated notes nor the convertible debentures have been paid, and the balances of $70,000,000 on the notes and $300,000 on the debentures are included in "Liabilities subject to compromise" on the consolidated balance sheet.</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99"/>
          </w:cols>
          <w:pgMar w:left="660" w:top="624" w:right="1440" w:bottom="1440" w:gutter="0" w:footer="0" w:header="0"/>
        </w:sectPr>
      </w:pPr>
    </w:p>
    <w:bookmarkStart w:id="17" w:name="page18"/>
    <w:bookmarkEnd w:id="17"/>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on Earnings</w:t>
      </w:r>
    </w:p>
    <w:p>
      <w:pPr>
        <w:spacing w:after="0" w:line="172" w:lineRule="exact"/>
        <w:rPr>
          <w:rFonts w:ascii="Courier New" w:cs="Courier New" w:eastAsia="Courier New" w:hAnsi="Courier New"/>
          <w:sz w:val="15"/>
          <w:szCs w:val="15"/>
          <w:color w:val="auto"/>
        </w:rPr>
      </w:pPr>
    </w:p>
    <w:p>
      <w:pPr>
        <w:ind w:left="44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attributable to earnings (loss) from continuing operations consists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Current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Deferred</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940" w:type="dxa"/>
            <w:vAlign w:val="bottom"/>
          </w:tcPr>
          <w:p>
            <w:pPr>
              <w:spacing w:after="0"/>
              <w:rPr>
                <w:sz w:val="14"/>
                <w:szCs w:val="14"/>
                <w:color w:val="auto"/>
              </w:rPr>
            </w:pPr>
          </w:p>
        </w:tc>
        <w:tc>
          <w:tcPr>
            <w:tcW w:w="16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February 2, 2002:</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and city</w:t>
            </w:r>
          </w:p>
        </w:tc>
        <w:tc>
          <w:tcPr>
            <w:tcW w:w="6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303,500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303,500</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303,500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303,500</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Year ended February 3, 2001:</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354,135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55,992,407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56,346,542</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and city</w:t>
            </w:r>
          </w:p>
        </w:tc>
        <w:tc>
          <w:tcPr>
            <w:tcW w:w="6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869,458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869,458</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4"/>
                <w:szCs w:val="24"/>
                <w:color w:val="auto"/>
              </w:rPr>
            </w:pP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$ 1,223,593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55,992,407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57,216,000</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Year ended January 29, 2000:</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315,965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3,510,035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3,826,000</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and city</w:t>
            </w:r>
          </w:p>
        </w:tc>
        <w:tc>
          <w:tcPr>
            <w:tcW w:w="6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221,000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221,000</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536,965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3,510,035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4,047,000</w:t>
            </w:r>
          </w:p>
        </w:tc>
      </w:tr>
      <w:tr>
        <w:trPr>
          <w:trHeight w:val="168"/>
        </w:trPr>
        <w:tc>
          <w:tcPr>
            <w:tcW w:w="29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Income tax expense (benefit) attributable to earnings (loss) from continuing operations differed from the amounts computed by applying the U.S. federal income tax rate of 35% to pretax earnings (loss) from continuing operations as a result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900" w:type="dxa"/>
            <w:vAlign w:val="bottom"/>
          </w:tcPr>
          <w:p>
            <w:pPr>
              <w:spacing w:after="0"/>
              <w:rPr>
                <w:sz w:val="14"/>
                <w:szCs w:val="14"/>
                <w:color w:val="auto"/>
              </w:rPr>
            </w:pP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Computed "expected" tax expense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$(28,986,000)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4,960,000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 income tax benefit</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197,500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to valuation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allowance for deferred tax</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29,111,000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51,697,000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(19,000)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303,500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57,216,000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4,047,000</w:t>
            </w:r>
          </w:p>
        </w:tc>
      </w:tr>
      <w:tr>
        <w:trPr>
          <w:trHeight w:val="168"/>
        </w:trPr>
        <w:tc>
          <w:tcPr>
            <w:tcW w:w="29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8" w:name="page19"/>
    <w:bookmarkEnd w:id="18"/>
    <w:p>
      <w:pPr>
        <w:ind w:left="440" w:right="3239"/>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deferred tax assets and deferred tax liabilities at February 2, 2002 and February 3, 2001 are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88,000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556,000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3,647,000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4,018,000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4,917,000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Nondeductible accruals and reserves</w:t>
            </w: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11,185,000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1,016,000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loss and credit carryforwards</w:t>
            </w: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114,114,000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96,428,000</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ind w:left="800"/>
              <w:spacing w:after="0"/>
              <w:rPr>
                <w:sz w:val="20"/>
                <w:szCs w:val="20"/>
                <w:color w:val="auto"/>
              </w:rPr>
            </w:pPr>
            <w:r>
              <w:rPr>
                <w:rFonts w:ascii="Courier New" w:cs="Courier New" w:eastAsia="Courier New" w:hAnsi="Courier New"/>
                <w:sz w:val="15"/>
                <w:szCs w:val="15"/>
                <w:color w:val="auto"/>
              </w:rPr>
              <w:t>Total gross deferred tax assets</w:t>
            </w:r>
          </w:p>
        </w:tc>
        <w:tc>
          <w:tcPr>
            <w:tcW w:w="26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134,427,000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102,106,000</w:t>
            </w:r>
          </w:p>
        </w:tc>
      </w:tr>
      <w:tr>
        <w:trPr>
          <w:trHeight w:val="336"/>
        </w:trPr>
        <w:tc>
          <w:tcPr>
            <w:tcW w:w="4120" w:type="dxa"/>
            <w:vAlign w:val="bottom"/>
          </w:tcPr>
          <w:p>
            <w:pPr>
              <w:ind w:left="280"/>
              <w:spacing w:after="0"/>
              <w:rPr>
                <w:sz w:val="20"/>
                <w:szCs w:val="20"/>
                <w:color w:val="auto"/>
              </w:rPr>
            </w:pPr>
            <w:r>
              <w:rPr>
                <w:rFonts w:ascii="Courier New" w:cs="Courier New" w:eastAsia="Courier New" w:hAnsi="Courier New"/>
                <w:sz w:val="15"/>
                <w:szCs w:val="15"/>
                <w:color w:val="auto"/>
              </w:rPr>
              <w:t>Less valuation allowance</w:t>
            </w:r>
          </w:p>
        </w:tc>
        <w:tc>
          <w:tcPr>
            <w:tcW w:w="26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(134,005,000)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(100,070,000)</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ind w:left="800"/>
              <w:spacing w:after="0"/>
              <w:rPr>
                <w:sz w:val="20"/>
                <w:szCs w:val="20"/>
                <w:color w:val="auto"/>
              </w:rPr>
            </w:pPr>
            <w:r>
              <w:rPr>
                <w:rFonts w:ascii="Courier New" w:cs="Courier New" w:eastAsia="Courier New" w:hAnsi="Courier New"/>
                <w:sz w:val="15"/>
                <w:szCs w:val="15"/>
                <w:color w:val="auto"/>
              </w:rPr>
              <w:t>Net deferred tax asset</w:t>
            </w:r>
          </w:p>
        </w:tc>
        <w:tc>
          <w:tcPr>
            <w:tcW w:w="26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2,036,000</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(27,000)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(1,682,000)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(395,000)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(354,000)</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ind w:left="800"/>
              <w:spacing w:after="0"/>
              <w:rPr>
                <w:sz w:val="20"/>
                <w:szCs w:val="20"/>
                <w:color w:val="auto"/>
              </w:rPr>
            </w:pPr>
            <w:r>
              <w:rPr>
                <w:rFonts w:ascii="Courier New" w:cs="Courier New" w:eastAsia="Courier New" w:hAnsi="Courier New"/>
                <w:sz w:val="15"/>
                <w:szCs w:val="15"/>
                <w:color w:val="auto"/>
              </w:rPr>
              <w:t>Total gross deferred tax liabilities</w:t>
            </w:r>
          </w:p>
        </w:tc>
        <w:tc>
          <w:tcPr>
            <w:tcW w:w="26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(422,000)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(2,036,000)</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ind w:left="800"/>
              <w:spacing w:after="0"/>
              <w:rPr>
                <w:sz w:val="20"/>
                <w:szCs w:val="20"/>
                <w:color w:val="auto"/>
              </w:rPr>
            </w:pPr>
            <w:r>
              <w:rPr>
                <w:rFonts w:ascii="Courier New" w:cs="Courier New" w:eastAsia="Courier New" w:hAnsi="Courier New"/>
                <w:sz w:val="15"/>
                <w:szCs w:val="15"/>
                <w:color w:val="auto"/>
              </w:rPr>
              <w:t>Net deferred tax asset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At February 2, 2002, the Company has net operating loss carryforwards and general business credit carryforwards for federal income tax purposes of approximately $273.0 million and $1.3 million, respectively, which expire in years ending February 2003 through February 2022. The Company also has minimum tax credit carryforwards of approximately $4.2 million available to reduce future regular income taxes, if any, over an indefinite period. Such carryforwards are defined herein as "NOLs."</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SFAS No. 109, Accounting for Income Taxes, requires that the tax benefit of such NOLs be recorded for financial reporting purposes as an asset to the extent that the Company assesses the utilization of such NOLs to be "more likely than not". At February 3, 2001, the Company increased its valuation allowance to fully reserve its net deferred tax asset. At February 2, 2002, the Company increased its valuation allowance by $33,935,000 in order to continue to fully reserve against its net deferred tax asset. As of February 2, 2002, the Company has established a valuation allowance against its deferred tax assets of $134,005,000, which has been charged against income tax expense.</w:t>
      </w:r>
    </w:p>
    <w:p>
      <w:pPr>
        <w:spacing w:after="0" w:line="179"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The Company considers its changing financial circumstances, and the related risks, in assessing whether it is more likely than not that some portion or all of the NOLs will be realized. In considering the likelihood of realizing the value of the NOLs, the Company is required to consider the likelihood of the generation of future taxable income during the periods in which the NOLs may be utilized. In addition, the Company considers Section 382 of the Internal Revenue Code, which serves to limit a taxpayer's ability to utilize NOLs as a result of changes in stock ownership of the Company over a three year period. In the year ended February 3, 2001, the Company disposed of its footwear business, and in May 2001 the Company filed a petition to reorganize its business under Chapter 11. As of February 3, 2001, the possible limitations under Section 382 caused management to conclude that none of the Company's deferred tax assets were more likely than not to be realized.</w:t>
      </w:r>
    </w:p>
    <w:p>
      <w:pPr>
        <w:spacing w:after="0" w:line="174" w:lineRule="exact"/>
        <w:rPr>
          <w:sz w:val="20"/>
          <w:szCs w:val="20"/>
          <w:color w:val="auto"/>
        </w:rPr>
      </w:pPr>
    </w:p>
    <w:p>
      <w:pPr>
        <w:ind w:left="440" w:right="3499"/>
        <w:spacing w:after="0" w:line="255" w:lineRule="auto"/>
        <w:rPr>
          <w:sz w:val="20"/>
          <w:szCs w:val="20"/>
          <w:color w:val="auto"/>
        </w:rPr>
      </w:pPr>
      <w:r>
        <w:rPr>
          <w:rFonts w:ascii="Courier New" w:cs="Courier New" w:eastAsia="Courier New" w:hAnsi="Courier New"/>
          <w:sz w:val="14"/>
          <w:szCs w:val="14"/>
          <w:color w:val="auto"/>
        </w:rPr>
        <w:t>As of May 2002, substantially all of the assets of the Company have been sold. The Company's financial circumstances, including the fact that the sale of the Company's assets results in the NOLs remaining with the Company, have caused management to conclude that none of the Company's deferred tax assets are more likely than not to be realized. The Company therefore increased the valuation allowance to fully reserve against its net deferred tax asset as of February 2, 2002.</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19" w:name="page20"/>
    <w:bookmarkEnd w:id="19"/>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Profit Sharing Plans</w:t>
      </w:r>
    </w:p>
    <w:p>
      <w:pPr>
        <w:spacing w:after="0" w:line="172" w:lineRule="exact"/>
        <w:rPr>
          <w:rFonts w:ascii="Courier New" w:cs="Courier New" w:eastAsia="Courier New" w:hAnsi="Courier New"/>
          <w:sz w:val="15"/>
          <w:szCs w:val="15"/>
          <w:color w:val="auto"/>
        </w:rPr>
      </w:pPr>
    </w:p>
    <w:p>
      <w:pPr>
        <w:ind w:left="4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a noncontributory pension plan (the Pension Plan), which covers substantially all employees and is administered by Trustees who are officers of the Company. In March 1997, the board of directors of the Company approved an amendment to the Pension Plan, which resulted in freezing all future benefits under the plan as of May 3, 1997. The following table sets forth the Pension Plan's funded status at February 2,</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and February 3, 2001: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160" w:type="dxa"/>
            <w:vAlign w:val="bottom"/>
          </w:tcPr>
          <w:p>
            <w:pPr>
              <w:spacing w:after="0"/>
              <w:rPr>
                <w:sz w:val="14"/>
                <w:szCs w:val="14"/>
                <w:color w:val="auto"/>
              </w:rPr>
            </w:pPr>
          </w:p>
        </w:tc>
        <w:tc>
          <w:tcPr>
            <w:tcW w:w="15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benefit obligation:</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15,881,000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14,629,000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and expenses paid</w:t>
            </w:r>
          </w:p>
        </w:tc>
        <w:tc>
          <w:tcPr>
            <w:tcW w:w="4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(933,000)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 and interest costs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1,134,000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1,108,000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Actuarial loss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year</w:t>
            </w:r>
          </w:p>
        </w:tc>
        <w:tc>
          <w:tcPr>
            <w:tcW w:w="4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16,416,000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15,881,000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 in fair value of plan assets: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24,026,000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23,050,000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4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(1,813,000)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1,909,000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and expenses paid</w:t>
            </w:r>
          </w:p>
        </w:tc>
        <w:tc>
          <w:tcPr>
            <w:tcW w:w="4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year</w:t>
            </w:r>
          </w:p>
        </w:tc>
        <w:tc>
          <w:tcPr>
            <w:tcW w:w="4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21,503,000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24,026,000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Plan assets in excess of benefit obligations</w:t>
            </w:r>
          </w:p>
        </w:tc>
        <w:tc>
          <w:tcPr>
            <w:tcW w:w="4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5,087,000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8,145,000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loss (gain)</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(3,902,000)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Prepaid pension cost</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5,114,000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4,243,000</w:t>
            </w:r>
          </w:p>
        </w:tc>
      </w:tr>
      <w:tr>
        <w:trPr>
          <w:trHeight w:val="168"/>
        </w:trPr>
        <w:tc>
          <w:tcPr>
            <w:tcW w:w="416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Assumptions used to develop the Plans' funded status were a discount rate of 7.25% and an increase in compensation level of 4.0%. Plan assets of the Pension Plan consist primarily equity securities, U.S. government obligations, mutual funds, and insurance contracts.</w:t>
      </w:r>
    </w:p>
    <w:p>
      <w:pPr>
        <w:spacing w:after="0" w:line="175"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Net pension benefit for the years ended February 2, 2002, February 3, 2001, and January 29, 2000 include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 earned during the year</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1,134,000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1,107,000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1,098,000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(1,999,000)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(1,802,000)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recognition</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ind w:left="800"/>
              <w:spacing w:after="0"/>
              <w:rPr>
                <w:sz w:val="20"/>
                <w:szCs w:val="20"/>
                <w:color w:val="auto"/>
              </w:rPr>
            </w:pPr>
            <w:r>
              <w:rPr>
                <w:rFonts w:ascii="Courier New" w:cs="Courier New" w:eastAsia="Courier New" w:hAnsi="Courier New"/>
                <w:sz w:val="15"/>
                <w:szCs w:val="15"/>
                <w:color w:val="auto"/>
              </w:rPr>
              <w:t>Net pension benefit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(871,000)</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(709,000)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(474,000)</w:t>
            </w:r>
          </w:p>
        </w:tc>
      </w:tr>
      <w:tr>
        <w:trPr>
          <w:trHeight w:val="168"/>
        </w:trPr>
        <w:tc>
          <w:tcPr>
            <w:tcW w:w="320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Assumptions used to develop the net periodic pension cost were a discount rate of 7.75%, expected long-term return on assets of 9% and an increase in compensation levels of 4.0%.</w:t>
      </w:r>
    </w:p>
    <w:p>
      <w:pPr>
        <w:spacing w:after="0" w:line="174"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December 1993, the board of directors of the Company established a Supplemental Retirement plan (the Supplemental Plan) to provide benefits attributable to compensation in excess of $160,000 but less than $267,326. In December 1998, the board of directors of the Company approved an amendment to the Supplemental Plan, which resulted in the freezing of all future benefits under the Plan as of December 31, 1998. The following table sets forth the Supplemental Plan's funded status at February 2, 2002 and February 3, 2001:</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$ 333,000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286,000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and expenses paid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 and interest costs</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22,000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Actuarial loss</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27,000</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year</w:t>
            </w:r>
          </w:p>
        </w:tc>
        <w:tc>
          <w:tcPr>
            <w:tcW w:w="1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359,000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333,000</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 in fair value of plan assets:</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contributions</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and expenses paid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year</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Benefit obligation in excess of plan assets</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(333,000)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(148,000)</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800"/>
              <w:spacing w:after="0"/>
              <w:rPr>
                <w:sz w:val="20"/>
                <w:szCs w:val="20"/>
                <w:color w:val="auto"/>
              </w:rPr>
            </w:pPr>
            <w:r>
              <w:rPr>
                <w:rFonts w:ascii="Courier New" w:cs="Courier New" w:eastAsia="Courier New" w:hAnsi="Courier New"/>
                <w:sz w:val="15"/>
                <w:szCs w:val="15"/>
                <w:color w:val="auto"/>
              </w:rPr>
              <w:t>Accrued pension cost</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(481,000)</w:t>
            </w:r>
          </w:p>
        </w:tc>
      </w:tr>
      <w:tr>
        <w:trPr>
          <w:trHeight w:val="168"/>
        </w:trPr>
        <w:tc>
          <w:tcPr>
            <w:tcW w:w="430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January 1992, the Company implemented a qualified 401(k) profit sharing</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 available to eligible full-time employees. Under the 401(k) plan,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matches 50% of the qualified employee's contribution up to 6% of</w:t>
      </w:r>
    </w:p>
    <w:p>
      <w:pPr>
        <w:ind w:left="440"/>
        <w:spacing w:after="0" w:line="237" w:lineRule="auto"/>
        <w:rPr>
          <w:sz w:val="20"/>
          <w:szCs w:val="20"/>
          <w:color w:val="auto"/>
        </w:rPr>
      </w:pPr>
      <w:r>
        <w:rPr>
          <w:rFonts w:ascii="Courier New" w:cs="Courier New" w:eastAsia="Courier New" w:hAnsi="Courier New"/>
          <w:sz w:val="15"/>
          <w:szCs w:val="15"/>
          <w:color w:val="auto"/>
        </w:rPr>
        <w:t>the employee's salary. The total cost of the matching contribution was</w:t>
      </w:r>
    </w:p>
    <w:p>
      <w:pPr>
        <w:ind w:left="440"/>
        <w:spacing w:after="0" w:line="238" w:lineRule="auto"/>
        <w:rPr>
          <w:sz w:val="20"/>
          <w:szCs w:val="20"/>
          <w:color w:val="auto"/>
        </w:rPr>
      </w:pPr>
      <w:r>
        <w:rPr>
          <w:rFonts w:ascii="Courier New" w:cs="Courier New" w:eastAsia="Courier New" w:hAnsi="Courier New"/>
          <w:sz w:val="15"/>
          <w:szCs w:val="15"/>
          <w:color w:val="auto"/>
        </w:rPr>
        <w:t>$861,000, $1,149,000, and $989,000 for the years ended February 2, 2002,</w:t>
      </w:r>
    </w:p>
    <w:p>
      <w:pPr>
        <w:ind w:left="440"/>
        <w:spacing w:after="0" w:line="237" w:lineRule="auto"/>
        <w:rPr>
          <w:sz w:val="20"/>
          <w:szCs w:val="20"/>
          <w:color w:val="auto"/>
        </w:rPr>
      </w:pPr>
      <w:r>
        <w:rPr>
          <w:rFonts w:ascii="Courier New" w:cs="Courier New" w:eastAsia="Courier New" w:hAnsi="Courier New"/>
          <w:sz w:val="15"/>
          <w:szCs w:val="15"/>
          <w:color w:val="auto"/>
        </w:rPr>
        <w:t>February 3, 2001, and January 29, 2000, respectively.</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has established incentive bonus plans for certain executives and employees. The bonus calculations are generally based on achievement of certain profit levels, as defined in the plans. For the years ended February 2, 2002 and February 3, 2001, there was no bonus provided under the plans. For the year ended January 29, 2000, $1.1 million was provided under the bonus plans.</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The Company does not provide post-retirement benefits, other than pensions as defined under SFAS No. 106.</w:t>
      </w:r>
    </w:p>
    <w:p>
      <w:pPr>
        <w:spacing w:after="0" w:line="167"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Performance Share Awards, and Restricted Stock Awards</w:t>
      </w:r>
    </w:p>
    <w:p>
      <w:pPr>
        <w:spacing w:after="0" w:line="172" w:lineRule="exact"/>
        <w:rPr>
          <w:rFonts w:ascii="Courier New" w:cs="Courier New" w:eastAsia="Courier New" w:hAnsi="Courier New"/>
          <w:sz w:val="15"/>
          <w:szCs w:val="15"/>
          <w:color w:val="auto"/>
        </w:rPr>
      </w:pPr>
    </w:p>
    <w:p>
      <w:pPr>
        <w:ind w:left="44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options outstanding under the Amended and Restated 1985 Stock Option Plan, the 1992 Directors' Stock Option Plan and the 1994 Equity Incentive Plan (the Stock Option Plans). In addition, the Company has granted options which are not part of any Stock Option Plan.</w:t>
      </w:r>
    </w:p>
    <w:p>
      <w:pPr>
        <w:spacing w:after="0" w:line="164"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1985 Stock Option Plan provided for the issuance of incentive and nonqualified stock options to officers and employees at an option price of not less than 100% of the fair market value of a share on the date of grant. Under this plan, no shares of common stock are available for grant at February 3, 2001, as no options could be granted thereunder after June 1995.</w:t>
      </w:r>
    </w:p>
    <w:p>
      <w:pPr>
        <w:spacing w:after="0" w:line="174"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1995, the Company established the 1994 Equity Incentive Plan, which provides for the issuance of one million shares of common stock to officers and employees in the form of stock options (both incentive options and nonqualified options), grants of restricted stock, grants of performance shares and unrestricted grants of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1" w:name="page22"/>
    <w:bookmarkEnd w:id="21"/>
    <w:p>
      <w:pPr>
        <w:jc w:val="both"/>
        <w:ind w:left="80" w:right="3319"/>
        <w:spacing w:after="0" w:line="235" w:lineRule="auto"/>
        <w:rPr>
          <w:sz w:val="20"/>
          <w:szCs w:val="20"/>
          <w:color w:val="auto"/>
        </w:rPr>
      </w:pPr>
      <w:r>
        <w:rPr>
          <w:rFonts w:ascii="Courier New" w:cs="Courier New" w:eastAsia="Courier New" w:hAnsi="Courier New"/>
          <w:sz w:val="15"/>
          <w:szCs w:val="15"/>
          <w:color w:val="auto"/>
        </w:rPr>
        <w:t>Options granted under the Amended and Restated 1985 Stock Option Plan and the 1994 Equity Incentive Plan generally become exercisable either ratably over four years or as otherwise determined by the board of directors, and generally expire seven to ten years from date of grant.</w:t>
      </w:r>
    </w:p>
    <w:p>
      <w:pPr>
        <w:spacing w:after="0" w:line="175"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The 1992 Directors' Stock Option Plan provides for the automatic grant of 2,500 shares of the Company's common stock upon a director's initial election to the board of directors and at the close of business on the fifth business day following the Company's annual meeting of stockholders. Options under the Directors' Plan are granted at a price equal to the closing price of the Company's common stock on the date of grant. Options granted under the 1992 Directors' Plan are exercisable in full upon grant and expire ten years from date of grant.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Company applied APB Opinion No. 25 and related interpretations in</w:t>
      </w:r>
    </w:p>
    <w:p>
      <w:pPr>
        <w:ind w:left="80"/>
        <w:spacing w:after="0" w:line="237" w:lineRule="auto"/>
        <w:rPr>
          <w:sz w:val="20"/>
          <w:szCs w:val="20"/>
          <w:color w:val="auto"/>
        </w:rPr>
      </w:pPr>
      <w:r>
        <w:rPr>
          <w:rFonts w:ascii="Courier New" w:cs="Courier New" w:eastAsia="Courier New" w:hAnsi="Courier New"/>
          <w:sz w:val="15"/>
          <w:szCs w:val="15"/>
          <w:color w:val="auto"/>
        </w:rPr>
        <w:t>accounting for its stock options. Accordingly, $7,813, $29,232, and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$199,219 of compensation cost has been recognized for stock options in the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Company's results of operations in fiscal 2002, fiscal 2001, and fiscal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2000, respectively. Had the Company recorded a charge for the fair value of</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options granted consistent with SFAS No. 123, net earnings and earnings per</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 share would have decreased by $1,112,000 and $0.08 in fiscal 2002,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$1,630,000 and $0.11 in fiscal 2001, and $1,827,000 and $0.13 in fiscal</w:t>
      </w:r>
    </w:p>
    <w:p>
      <w:pPr>
        <w:ind w:left="80"/>
        <w:spacing w:after="0" w:line="237" w:lineRule="auto"/>
        <w:rPr>
          <w:sz w:val="20"/>
          <w:szCs w:val="20"/>
          <w:color w:val="auto"/>
        </w:rPr>
      </w:pPr>
      <w:r>
        <w:rPr>
          <w:rFonts w:ascii="Courier New" w:cs="Courier New" w:eastAsia="Courier New" w:hAnsi="Courier New"/>
          <w:sz w:val="15"/>
          <w:szCs w:val="15"/>
          <w:color w:val="auto"/>
        </w:rPr>
        <w:t>2000, respectively.</w:t>
      </w:r>
    </w:p>
    <w:p>
      <w:pPr>
        <w:spacing w:after="0" w:line="173" w:lineRule="exact"/>
        <w:rPr>
          <w:sz w:val="20"/>
          <w:szCs w:val="20"/>
          <w:color w:val="auto"/>
        </w:rPr>
      </w:pPr>
    </w:p>
    <w:p>
      <w:pPr>
        <w:ind w:left="80" w:right="3239"/>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options pricing model, with the following weighted average assumptions used for grants in fiscal 2001 and 2000. No options were granted in fiscal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580" w:type="dxa"/>
            <w:vAlign w:val="bottom"/>
          </w:tcPr>
          <w:p>
            <w:pPr>
              <w:spacing w:after="0"/>
              <w:rPr>
                <w:sz w:val="14"/>
                <w:szCs w:val="14"/>
                <w:color w:val="auto"/>
              </w:rPr>
            </w:pP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option lives</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 years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 years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341" w:lineRule="exact"/>
        <w:rPr>
          <w:sz w:val="20"/>
          <w:szCs w:val="20"/>
          <w:color w:val="auto"/>
        </w:rPr>
      </w:pPr>
    </w:p>
    <w:p>
      <w:pPr>
        <w:ind w:left="80" w:right="3319"/>
        <w:spacing w:after="0" w:line="235" w:lineRule="auto"/>
        <w:rPr>
          <w:sz w:val="20"/>
          <w:szCs w:val="20"/>
          <w:color w:val="auto"/>
        </w:rPr>
      </w:pPr>
      <w:r>
        <w:rPr>
          <w:rFonts w:ascii="Courier New" w:cs="Courier New" w:eastAsia="Courier New" w:hAnsi="Courier New"/>
          <w:sz w:val="15"/>
          <w:szCs w:val="15"/>
          <w:color w:val="auto"/>
        </w:rPr>
        <w:t>The effect of applying SFAS No. 123 is not representative of the pro forma effect on net earnings in future years because it does not take into consideration pro forma compensation expense related to grants made prior to fiscal 1996.</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879"/>
          </w:cols>
          <w:pgMar w:left="580" w:top="624" w:right="1440" w:bottom="1440" w:gutter="0" w:footer="0" w:header="0"/>
        </w:sectPr>
      </w:pPr>
    </w:p>
    <w:bookmarkStart w:id="22" w:name="page23"/>
    <w:bookmarkEnd w:id="22"/>
    <w:p>
      <w:pPr>
        <w:ind w:left="440" w:right="3600"/>
        <w:spacing w:after="0" w:line="234" w:lineRule="auto"/>
        <w:rPr>
          <w:sz w:val="20"/>
          <w:szCs w:val="20"/>
          <w:color w:val="auto"/>
        </w:rPr>
      </w:pPr>
      <w:r>
        <w:rPr>
          <w:rFonts w:ascii="Courier New" w:cs="Courier New" w:eastAsia="Courier New" w:hAnsi="Courier New"/>
          <w:sz w:val="15"/>
          <w:szCs w:val="15"/>
          <w:color w:val="auto"/>
        </w:rPr>
        <w:t>Data with respect to stock options for fiscal 2002, 2001, and 2000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88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4"/>
                <w:szCs w:val="14"/>
                <w:color w:val="auto"/>
              </w:rPr>
            </w:pPr>
          </w:p>
        </w:tc>
        <w:tc>
          <w:tcPr>
            <w:tcW w:w="9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9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tcPr>
          <w:p>
            <w:pPr>
              <w:spacing w:after="0"/>
              <w:rPr>
                <w:sz w:val="14"/>
                <w:szCs w:val="14"/>
                <w:color w:val="auto"/>
              </w:rPr>
            </w:pPr>
          </w:p>
        </w:tc>
        <w:tc>
          <w:tcPr>
            <w:tcW w:w="9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24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price</w:t>
            </w:r>
          </w:p>
        </w:tc>
      </w:tr>
      <w:tr>
        <w:trPr>
          <w:trHeight w:val="168"/>
        </w:trPr>
        <w:tc>
          <w:tcPr>
            <w:tcW w:w="224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1,899,94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1,565,497</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1,249,840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476,400</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381,456</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(139,075)</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(390,630)</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(141,106)</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(62,799)</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10.24</w:t>
            </w:r>
          </w:p>
        </w:tc>
      </w:tr>
      <w:tr>
        <w:trPr>
          <w:trHeight w:val="168"/>
        </w:trPr>
        <w:tc>
          <w:tcPr>
            <w:tcW w:w="224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Options outstanding at</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1,370,236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1,899,941</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1,565,497</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224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Options exercisable</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end of year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944,901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1,024,900</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769,472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fair value of</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options granted</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year</w:t>
            </w:r>
          </w:p>
        </w:tc>
        <w:tc>
          <w:tcPr>
            <w:tcW w:w="16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1360" w:type="dxa"/>
            <w:vAlign w:val="bottom"/>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w:t>
            </w:r>
          </w:p>
        </w:tc>
      </w:tr>
    </w:tbl>
    <w:p>
      <w:pPr>
        <w:spacing w:after="0" w:line="200" w:lineRule="exact"/>
        <w:rPr>
          <w:sz w:val="20"/>
          <w:szCs w:val="20"/>
          <w:color w:val="auto"/>
        </w:rPr>
      </w:pPr>
    </w:p>
    <w:p>
      <w:pPr>
        <w:spacing w:after="0" w:line="309" w:lineRule="exact"/>
        <w:rPr>
          <w:sz w:val="20"/>
          <w:szCs w:val="20"/>
          <w:color w:val="auto"/>
        </w:rPr>
      </w:pPr>
    </w:p>
    <w:p>
      <w:pPr>
        <w:ind w:left="440" w:right="3500"/>
        <w:spacing w:after="0" w:line="234" w:lineRule="auto"/>
        <w:rPr>
          <w:sz w:val="20"/>
          <w:szCs w:val="20"/>
          <w:color w:val="auto"/>
        </w:rPr>
      </w:pPr>
      <w:r>
        <w:rPr>
          <w:rFonts w:ascii="Courier New" w:cs="Courier New" w:eastAsia="Courier New" w:hAnsi="Courier New"/>
          <w:sz w:val="15"/>
          <w:szCs w:val="15"/>
          <w:color w:val="auto"/>
        </w:rPr>
        <w:t>The following table sets forth a summary of the stock options outstanding at February 2, 2002: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w w:val="95"/>
              </w:rPr>
              <w:t>Options outstanding</w:t>
            </w:r>
          </w:p>
        </w:tc>
        <w:tc>
          <w:tcPr>
            <w:tcW w:w="2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680" w:type="dxa"/>
            <w:vAlign w:val="bottom"/>
          </w:tcPr>
          <w:p>
            <w:pPr>
              <w:spacing w:after="0"/>
              <w:rPr>
                <w:sz w:val="14"/>
                <w:szCs w:val="14"/>
                <w:color w:val="auto"/>
              </w:rPr>
            </w:pPr>
          </w:p>
        </w:tc>
        <w:tc>
          <w:tcPr>
            <w:tcW w:w="2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Weighted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remaining</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Range of</w:t>
            </w:r>
          </w:p>
        </w:tc>
        <w:tc>
          <w:tcPr>
            <w:tcW w:w="174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years of</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contractual</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Number</w:t>
            </w:r>
          </w:p>
        </w:tc>
        <w:tc>
          <w:tcPr>
            <w:tcW w:w="1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price</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life</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exercisable</w:t>
            </w: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1680" w:type="dxa"/>
            <w:vAlign w:val="bottom"/>
          </w:tcPr>
          <w:p>
            <w:pPr>
              <w:spacing w:after="0"/>
              <w:rPr>
                <w:sz w:val="20"/>
                <w:szCs w:val="20"/>
                <w:color w:val="auto"/>
              </w:rPr>
            </w:pPr>
            <w:r>
              <w:rPr>
                <w:rFonts w:ascii="Courier New" w:cs="Courier New" w:eastAsia="Courier New" w:hAnsi="Courier New"/>
                <w:sz w:val="15"/>
                <w:szCs w:val="15"/>
                <w:color w:val="auto"/>
              </w:rPr>
              <w:t>1.00 -3.98</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159,250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2.68</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110,825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4.00 -9.75</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1,108,736</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6.1</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7.31</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741,326</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11.31 -21.75</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102,250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4.4</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92,750</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168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1.00 -21.75</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1,370,236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6.0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7.28</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944,901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w:t>
            </w:r>
          </w:p>
        </w:tc>
      </w:tr>
      <w:tr>
        <w:trPr>
          <w:trHeight w:val="168"/>
        </w:trPr>
        <w:tc>
          <w:tcPr>
            <w:tcW w:w="168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1" w:lineRule="exact"/>
        <w:rPr>
          <w:sz w:val="20"/>
          <w:szCs w:val="20"/>
          <w:color w:val="auto"/>
        </w:rPr>
      </w:pPr>
    </w:p>
    <w:p>
      <w:pPr>
        <w:ind w:left="440" w:right="3340"/>
        <w:spacing w:after="0" w:line="255" w:lineRule="auto"/>
        <w:rPr>
          <w:sz w:val="20"/>
          <w:szCs w:val="20"/>
          <w:color w:val="auto"/>
        </w:rPr>
      </w:pPr>
      <w:r>
        <w:rPr>
          <w:rFonts w:ascii="Courier New" w:cs="Courier New" w:eastAsia="Courier New" w:hAnsi="Courier New"/>
          <w:sz w:val="14"/>
          <w:szCs w:val="14"/>
          <w:color w:val="auto"/>
        </w:rPr>
        <w:t>During fiscal 1997 and fiscal 1998, the Company granted Performance Share Awards, which entitled certain officers to shares of the Company's common stock in fiscal 1999 if the price of the common stock attained a "Target Price" (the average closing price of the Company's common stock for certain defined periods) between $10.00 and $15.00. In fiscal 1999, the Company granted 21,750 shares of the Company's common stock to eligible officers.</w:t>
      </w:r>
    </w:p>
    <w:p>
      <w:pPr>
        <w:spacing w:after="0" w:line="166" w:lineRule="exact"/>
        <w:rPr>
          <w:sz w:val="20"/>
          <w:szCs w:val="20"/>
          <w:color w:val="auto"/>
        </w:rPr>
      </w:pPr>
    </w:p>
    <w:p>
      <w:pPr>
        <w:ind w:left="440" w:right="3340"/>
        <w:spacing w:after="0" w:line="255" w:lineRule="auto"/>
        <w:rPr>
          <w:sz w:val="20"/>
          <w:szCs w:val="20"/>
          <w:color w:val="auto"/>
        </w:rPr>
      </w:pPr>
      <w:r>
        <w:rPr>
          <w:rFonts w:ascii="Courier New" w:cs="Courier New" w:eastAsia="Courier New" w:hAnsi="Courier New"/>
          <w:sz w:val="14"/>
          <w:szCs w:val="14"/>
          <w:color w:val="auto"/>
        </w:rPr>
        <w:t>During fiscal 1999, the Company granted certain officers stock price performance based restricted stock awards, pursuant to which the officers purchased, in the aggregate, 100,000 shares of the Company's common stock at a purchase price of $10.18 per share. Each of such officers executed a promissory note with the Company as consideration for the aggregate purchase price. The remaining principal and interest obligations under each note were to be forgiven in their entirety on July 8, 2003 provided the respective officer remains employed by the Company at such time. During fiscal 2002, the Board approved an amendment to the notes that would cause them to be forgiven under certain circumstances, including upon a change in control. At February 2, 2002, the notes are included in assets held for sale, and they were sold to Designs.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340"/>
          </w:cols>
          <w:pgMar w:left="220" w:top="624" w:right="1339" w:bottom="1440" w:gutter="0" w:footer="0" w:header="0"/>
        </w:sectPr>
      </w:pPr>
    </w:p>
    <w:bookmarkStart w:id="23" w:name="page24"/>
    <w:bookmarkEnd w:id="23"/>
    <w:p>
      <w:pPr>
        <w:ind w:left="430" w:right="6459" w:hanging="430"/>
        <w:spacing w:after="0" w:line="465" w:lineRule="auto"/>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Contingent Liabilities Leases</w:t>
      </w:r>
    </w:p>
    <w:p>
      <w:pPr>
        <w:spacing w:after="0" w:line="14" w:lineRule="exact"/>
        <w:rPr>
          <w:rFonts w:ascii="Courier New" w:cs="Courier New" w:eastAsia="Courier New" w:hAnsi="Courier New"/>
          <w:sz w:val="15"/>
          <w:szCs w:val="15"/>
          <w:color w:val="auto"/>
        </w:rPr>
      </w:pPr>
    </w:p>
    <w:p>
      <w:pPr>
        <w:ind w:left="43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its retail stores, computers, vehicles, and certain of its office facilities.</w:t>
      </w:r>
    </w:p>
    <w:p>
      <w:pPr>
        <w:spacing w:after="0" w:line="17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remains liable under certain leases and lease guaranties for premises previously leased by the Company for the operation of Parade of Shoes and Fayva footwear stores (the Excess Property Leases). The total liability under the Excess Property Leases is approximately $10.1 million as of February 2, 2002. The Company has reduced its estimated liability to zero by assigning or subleasing substantially all of the Excess Property Leases to unaffiliated third parties.</w:t>
      </w:r>
    </w:p>
    <w:p>
      <w:pPr>
        <w:spacing w:after="0" w:line="175" w:lineRule="exact"/>
        <w:rPr>
          <w:rFonts w:ascii="Courier New" w:cs="Courier New" w:eastAsia="Courier New" w:hAnsi="Courier New"/>
          <w:sz w:val="15"/>
          <w:szCs w:val="15"/>
          <w:color w:val="auto"/>
        </w:rPr>
      </w:pPr>
    </w:p>
    <w:p>
      <w:pPr>
        <w:ind w:left="43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February 2, 2002, minimum rental commitments under operating leases are as follows:</w:t>
      </w:r>
    </w:p>
    <w:p>
      <w:pPr>
        <w:spacing w:after="0" w:line="167"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Net minimum</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Minimum</w:t>
            </w:r>
          </w:p>
        </w:tc>
      </w:tr>
      <w:tr>
        <w:trPr>
          <w:trHeight w:val="168"/>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rentals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sub-rentals</w:t>
            </w:r>
          </w:p>
        </w:tc>
      </w:tr>
      <w:tr>
        <w:trPr>
          <w:trHeight w:val="168"/>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Fiscal year ending January:</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26,210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c>
          <w:tcPr>
            <w:tcW w:w="7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19,651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2005</w:t>
            </w:r>
          </w:p>
        </w:tc>
        <w:tc>
          <w:tcPr>
            <w:tcW w:w="7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13,148</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2006</w:t>
            </w:r>
          </w:p>
        </w:tc>
        <w:tc>
          <w:tcPr>
            <w:tcW w:w="7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8,716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2007</w:t>
            </w:r>
          </w:p>
        </w:tc>
        <w:tc>
          <w:tcPr>
            <w:tcW w:w="7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4,624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Thereafter</w:t>
            </w:r>
          </w:p>
        </w:tc>
        <w:tc>
          <w:tcPr>
            <w:tcW w:w="7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5,160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0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77,509</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w:t>
            </w:r>
          </w:p>
        </w:tc>
      </w:tr>
      <w:tr>
        <w:trPr>
          <w:trHeight w:val="168"/>
        </w:trPr>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35"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Rent expense for the years ended February 2, 2002, February 3, 2001, and</w:t>
      </w:r>
    </w:p>
    <w:p>
      <w:pPr>
        <w:ind w:left="430"/>
        <w:spacing w:after="0" w:line="237" w:lineRule="auto"/>
        <w:rPr>
          <w:sz w:val="20"/>
          <w:szCs w:val="20"/>
          <w:color w:val="auto"/>
        </w:rPr>
      </w:pPr>
      <w:r>
        <w:rPr>
          <w:rFonts w:ascii="Courier New" w:cs="Courier New" w:eastAsia="Courier New" w:hAnsi="Courier New"/>
          <w:sz w:val="15"/>
          <w:szCs w:val="15"/>
          <w:color w:val="auto"/>
        </w:rPr>
        <w:t>January 29, 2000 was as follows:</w:t>
      </w:r>
    </w:p>
    <w:p>
      <w:pPr>
        <w:spacing w:after="0" w:line="167"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28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Minimum rentals</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40,415</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43,671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38,403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Contingent rentals</w:t>
            </w:r>
          </w:p>
        </w:tc>
        <w:tc>
          <w:tcPr>
            <w:tcW w:w="6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40,640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43,867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38,545</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Less sublease rentals</w:t>
            </w:r>
          </w:p>
        </w:tc>
        <w:tc>
          <w:tcPr>
            <w:tcW w:w="60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921</w:t>
            </w:r>
          </w:p>
        </w:tc>
      </w:tr>
      <w:tr>
        <w:trPr>
          <w:trHeight w:val="168"/>
        </w:trPr>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Net rentals</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40,252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42,966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37,624</w:t>
            </w:r>
          </w:p>
        </w:tc>
      </w:tr>
      <w:tr>
        <w:trPr>
          <w:trHeight w:val="168"/>
        </w:trPr>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Other Commitments and Contingencies</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On August 22, 2001, the Bankruptcy Court approved severance agreements and a retention program for certain key employees. The severance agreements superseded and replaced all employment, severance and change of control severance agreements in place prior to August 22, 2001 for such executives. Under the severance agreements, 12 of the Company's officers are entitled to payments in the event of termination without cause, change of control, or liquidation of the Company. At February 2, 2002, the maximum aggregate commitment amount payable under these severance agreements, should all of the covered employees be terminated in a manner triggering severance payment, is $4.3 million. Severance agreements for 10 of the Company's officers were assumed by Designs.</w:t>
      </w:r>
    </w:p>
    <w:p>
      <w:pPr>
        <w:spacing w:after="0" w:line="180"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Under the retention program, certain employees are entitled to receive retention payments if they remain employed and in good standing on three milestone dates: (i) three months after the filing of the Chapter 11 petition (i.e. August 18, 2001), (ii) nine months after the filing of the Chapter 11 petition (i.e. February 18, 2002) or upon "emergence" from the Chapter 11 Case, as defined in the retention program, if earlier and (iii) upon "emergence"</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624" w:right="1440" w:bottom="1440" w:gutter="0" w:footer="0" w:header="0"/>
        </w:sectPr>
      </w:pPr>
    </w:p>
    <w:bookmarkStart w:id="24" w:name="page25"/>
    <w:bookmarkEnd w:id="24"/>
    <w:p>
      <w:pPr>
        <w:jc w:val="both"/>
        <w:ind w:left="440" w:right="3579"/>
        <w:spacing w:after="0" w:line="258" w:lineRule="auto"/>
        <w:rPr>
          <w:sz w:val="20"/>
          <w:szCs w:val="20"/>
          <w:color w:val="auto"/>
        </w:rPr>
      </w:pPr>
      <w:r>
        <w:rPr>
          <w:rFonts w:ascii="Courier New" w:cs="Courier New" w:eastAsia="Courier New" w:hAnsi="Courier New"/>
          <w:sz w:val="14"/>
          <w:szCs w:val="14"/>
          <w:color w:val="auto"/>
        </w:rPr>
        <w:t>from the Chapter 11 Case. The Company made aggregate retention payments under the plan of $1.0 million on both August 18, 2001 and February 18, 2002, and, based on the sale to Designs, $2.1 million on May 15, 2002.</w:t>
      </w:r>
    </w:p>
    <w:p>
      <w:pPr>
        <w:spacing w:after="0" w:line="161"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At February 2, 2002 and February 3, 2001, the Company was contingently liable under letters of credit totaling $0.8 million and $1.9 million, respectively. These letters of credit, which have terms ranging from one month to one year, are used primarily to collateralize obligations to third parties for the purchase of the Company's inventory. The fair value of these letters of credit is estimated to be the same as the contract values based on the nature of fee arrangements with the issuing banks. No material loss is anticipated due to nonperformance by counterparties to these arrangements.</w:t>
      </w:r>
    </w:p>
    <w:p>
      <w:pPr>
        <w:spacing w:after="0" w:line="172" w:lineRule="exact"/>
        <w:rPr>
          <w:sz w:val="20"/>
          <w:szCs w:val="20"/>
          <w:color w:val="auto"/>
        </w:rPr>
      </w:pPr>
    </w:p>
    <w:p>
      <w:pPr>
        <w:ind w:left="440" w:hanging="343"/>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is authorized by vote or votes, from time to time adopted, to provide for the issuance of Preferred Stock in one or more series and to fix and state the voting powers, designations, preferences and relative participating, optional, or other special rights of the shares of each series and the qualifications, limitations, and restrictions thereof.</w:t>
      </w:r>
    </w:p>
    <w:p>
      <w:pPr>
        <w:spacing w:after="0" w:line="174" w:lineRule="exact"/>
        <w:rPr>
          <w:rFonts w:ascii="Courier New" w:cs="Courier New" w:eastAsia="Courier New" w:hAnsi="Courier New"/>
          <w:sz w:val="15"/>
          <w:szCs w:val="15"/>
          <w:color w:val="auto"/>
        </w:rPr>
      </w:pPr>
    </w:p>
    <w:p>
      <w:pPr>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December 15, 1994, the Company's board of directors adopted a Shareholder Rights Agreement (the Rights Agreement) designed to enhance the Company's ability to protect shareholder interests and to ensure shareholders receive fair treatment in the event any future coercive takeover attempt of the Company is made. Pursuant to the Rights Agreement, the board of directors declared a dividend distribution of one preferred stock purchase right (the Right) for each outstanding share of the Company's common stock to shareholders of record as of the close of business on January 6, 1995. Each right entitles the holder to purchase from the Company a unit consisting of one ten thousandth (1/10,000) of a share of Series A Junior Participating Cumulative Preferred Stock, par value $1.00 per share, at a cash exercise price of $70 per unit, subject to adjustment, upon the occurrence of certain events as set forth in the Rights Agreement. These events include the earliest to occur of: (i) the acquisition of 15% or more of the Company's outstanding common stock by any person or group; (ii) the commencement of a tender or exchange offer that would result upon its consummation in a person or a group becoming the beneficial owner of 15% or more of the Company's outstanding common stock; or (iii) the determination by the board of directors that any person is an "Adverse Person", as defined in the Rights Agreement. The Rights are not exercisable until or following the occurrence of one of the above events and will expire on December 14, 2004 unless previously redeemed or exchanged by the Company, as provided in the Rights Agreement.</w:t>
      </w:r>
    </w:p>
    <w:p>
      <w:pPr>
        <w:spacing w:after="0" w:line="33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Schedules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schedule to consolidated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580" w:type="dxa"/>
            <w:vAlign w:val="bottom"/>
          </w:tcPr>
          <w:p>
            <w:pPr>
              <w:ind w:left="760"/>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020" w:type="dxa"/>
            <w:vAlign w:val="bottom"/>
          </w:tcPr>
          <w:p>
            <w:pPr>
              <w:spacing w:after="0"/>
              <w:rPr>
                <w:sz w:val="14"/>
                <w:szCs w:val="14"/>
                <w:color w:val="auto"/>
              </w:rPr>
            </w:pP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$11,764,208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21,612,192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16,141,233</w:t>
            </w: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15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371,187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1,373,971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2,235,758</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Schedule of noncash financing</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activity:</w:t>
            </w: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Warrants issued with senior</w:t>
            </w: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subordinated debt</w:t>
            </w:r>
          </w:p>
        </w:tc>
        <w:tc>
          <w:tcPr>
            <w:tcW w:w="158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3,300,000</w:t>
            </w:r>
          </w:p>
        </w:tc>
      </w:tr>
      <w:tr>
        <w:trPr>
          <w:trHeight w:val="336"/>
        </w:trPr>
        <w:tc>
          <w:tcPr>
            <w:tcW w:w="3020" w:type="dxa"/>
            <w:vAlign w:val="bottom"/>
          </w:tcPr>
          <w:p>
            <w:pPr>
              <w:spacing w:after="0"/>
              <w:rPr>
                <w:sz w:val="24"/>
                <w:szCs w:val="24"/>
                <w:color w:val="auto"/>
              </w:rPr>
            </w:pP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Supplemental schedule for the allowance for doubtful accounts: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98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220,000</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charged to expense</w:t>
            </w:r>
          </w:p>
        </w:tc>
        <w:tc>
          <w:tcPr>
            <w:tcW w:w="6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Write-offs, net of recoveries</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(92,000)</w:t>
            </w:r>
          </w:p>
        </w:tc>
      </w:tr>
      <w:tr>
        <w:trPr>
          <w:trHeight w:val="168"/>
        </w:trPr>
        <w:tc>
          <w:tcPr>
            <w:tcW w:w="29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900,000</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200,000</w:t>
            </w:r>
          </w:p>
        </w:tc>
      </w:tr>
      <w:tr>
        <w:trPr>
          <w:trHeight w:val="168"/>
        </w:trPr>
        <w:tc>
          <w:tcPr>
            <w:tcW w:w="29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6" w:name="page27"/>
    <w:bookmarkEnd w:id="26"/>
    <w:p>
      <w:pPr>
        <w:ind w:left="1060" w:hanging="1050"/>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pro forma financial information is subject to revision, which could have a significant impact on total assets, total liabilities and stockholders' equity (deficit), depreciation and amortization, interest expense and income taxes:</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96"/>
              </w:rPr>
              <w:t>Unaudited Pro Forma Condensed</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Consolidated Balance Sheet as of May 4,</w:t>
            </w:r>
          </w:p>
        </w:tc>
      </w:tr>
      <w:tr>
        <w:trPr>
          <w:trHeight w:val="168"/>
        </w:trPr>
        <w:tc>
          <w:tcPr>
            <w:tcW w:w="258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2002</w:t>
            </w:r>
          </w:p>
        </w:tc>
        <w:tc>
          <w:tcPr>
            <w:tcW w:w="3620" w:type="dxa"/>
            <w:vAlign w:val="bottom"/>
          </w:tcPr>
          <w:p>
            <w:pPr>
              <w:spacing w:after="0"/>
              <w:rPr>
                <w:sz w:val="14"/>
                <w:szCs w:val="14"/>
                <w:color w:val="auto"/>
              </w:rPr>
            </w:pPr>
          </w:p>
        </w:tc>
      </w:tr>
      <w:tr>
        <w:trPr>
          <w:trHeight w:val="168"/>
        </w:trPr>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Unaudited Pro Forma Condensed</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Consolidated Statements of Operations for</w:t>
            </w:r>
          </w:p>
        </w:tc>
      </w:tr>
      <w:tr>
        <w:trPr>
          <w:trHeight w:val="168"/>
        </w:trPr>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three months ended May</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4, 2002</w:t>
            </w:r>
          </w:p>
        </w:tc>
      </w:tr>
      <w:tr>
        <w:trPr>
          <w:trHeight w:val="168"/>
        </w:trPr>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Unaudited Pro Forma Condensed</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Consolidated Statements of Operations for</w:t>
            </w:r>
          </w:p>
        </w:tc>
      </w:tr>
      <w:tr>
        <w:trPr>
          <w:trHeight w:val="168"/>
        </w:trPr>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year ended February 2,</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800" w:right="4379" w:hanging="261"/>
        <w:spacing w:after="0" w:line="234" w:lineRule="auto"/>
        <w:rPr>
          <w:sz w:val="20"/>
          <w:szCs w:val="20"/>
          <w:color w:val="auto"/>
        </w:rPr>
      </w:pPr>
      <w:r>
        <w:rPr>
          <w:rFonts w:ascii="Courier New" w:cs="Courier New" w:eastAsia="Courier New" w:hAnsi="Courier New"/>
          <w:sz w:val="15"/>
          <w:szCs w:val="15"/>
          <w:color w:val="auto"/>
        </w:rPr>
        <w:t>Notes to Unaudited Pro Forma Condensed Consolidated Financial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unaudited pro forma financial information included herein gives effect to the Company's acquisition of Casual Male and to the financing transactions completed by the Company as of May 14, 2002. The Unaudited Pro Forma Condensed Consolidated Statements of Operations for the three months ended May 4, 2002 and the year ended February 2, 2002 are based on historical data as reported by the separate companies, and reflect adjustments prepared as if the acquisition had occurred on February 3, 2002 and February 4, 2001, respectively. The Unaudited Pro Forma Condensed Consolidated Balance Sheet is based on historical data as reported by the separate companies, and reflects adjustments prepared as if the acquisition had occurred on May 4, 2002.</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acquisition of Casual Male has been accounted for using the purchase method of accounting. Accordingly, the assets acquired and liabilities assumed have been recorded at their estimated fair values, with appropriate recognition given to the Company's borrowing rates, accounting policies, and income taxes. The Company's management does not expect that the final allocation of the purchase price for the acquisition of Casual Male will differ materially from the allocations used to prepare the unaudited pro forma financial information presented herein.</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Condensed Consolidated Financial Statements contained herein (the "Statements") have been prepared based on available information, using assumptions that the Company's management believes are reasonable. The Statements do not purport to represent the actual financial position or results of operations that would have occurred if the acquisition had occurred on the dates specified. The Statements are not necessarily indicative of the results that may be achieved in the future. The Statements do not reflect any adjustments for the effect of certain operating synergies or expected cost reductions that the Company may realize as a result of the acquisition. No assurances can be given as to the amount of financial benefits, if any, that may actually be realized as the result of the acquisition.</w:t>
      </w:r>
    </w:p>
    <w:p>
      <w:pPr>
        <w:spacing w:after="0" w:line="16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assumptions used and adjustments made in preparing the Statements are described in the Notes to the Unaudited Pro Forma Condensed Consolidated Financial Statements contained herein (the "Notes"), which should be read in conjunction with the Statements contained herein. The Statements and related Notes contained herein should be read in conjunction with the consolidated financial statements and related notes of the Company included in its Annual Report on Form 10-K for the year ended February 2, 2002, and the consolidated financial statements and related notes of Casual Male included above.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7" w:name="page28"/>
    <w:bookmarkEnd w:id="27"/>
    <w:p>
      <w:pPr>
        <w:ind w:left="4120"/>
        <w:spacing w:after="0"/>
        <w:rPr>
          <w:sz w:val="20"/>
          <w:szCs w:val="20"/>
          <w:color w:val="auto"/>
        </w:rPr>
      </w:pPr>
      <w:r>
        <w:rPr>
          <w:rFonts w:ascii="Courier New" w:cs="Courier New" w:eastAsia="Courier New" w:hAnsi="Courier New"/>
          <w:sz w:val="15"/>
          <w:szCs w:val="15"/>
          <w:color w:val="auto"/>
        </w:rPr>
        <w:t>DESIGNS, INC.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May 4,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276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2"/>
              </w:rPr>
              <w:t>Casual</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Designs, Inc.</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Male Corp.</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 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4,974</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(4,784)</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278</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4,500</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2,148</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69,273</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98,032</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167,305</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1,082</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3,012</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5,109</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8,899</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Assets held for sale</w:t>
            </w:r>
          </w:p>
        </w:tc>
        <w:tc>
          <w:tcPr>
            <w:tcW w:w="4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124,996</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(124,996)</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73,645</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135,248</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(29,269)</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179,624</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20,052</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65,474</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85,526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7,326</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15,326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1,072</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39,992</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41,075</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$ 102,095</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$ 135,259</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84,197</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$ 321,551</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35,263</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(34,443)</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820</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15,367</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24,642</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41,164</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12,420</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4,132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8,107</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24,659</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Borrowings under revolver</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33,641</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45,268</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(15,113)</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63,796</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61,428</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85,818</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(16,807)</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130,439</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portion (Note 5)</w:t>
            </w:r>
          </w:p>
        </w:tc>
        <w:tc>
          <w:tcPr>
            <w:tcW w:w="44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54,607</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a,b</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54,607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subject to compromise</w:t>
            </w:r>
          </w:p>
        </w:tc>
        <w:tc>
          <w:tcPr>
            <w:tcW w:w="4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148,244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(148,244)</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61,428</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234,062</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(110,444)</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185,046</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Series B convertible preferred stock</w:t>
            </w:r>
          </w:p>
        </w:tc>
        <w:tc>
          <w:tcPr>
            <w:tcW w:w="4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176</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7,104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56,237</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121,534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(33,890)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143,881</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 retained earnings</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(7,099)</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(227,441)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235,441</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b,c</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(8,450)</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(8,450)</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 receivable from officer</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w:t>
            </w:r>
          </w:p>
        </w:tc>
        <w:tc>
          <w:tcPr>
            <w:tcW w:w="38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40,667</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(98,803)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194,641</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136,505</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6"/>
              </w:rPr>
              <w:t>Total liabilities and stockholders' equity</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$ 102,095</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$ 135,259</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84,197</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$ 321,551</w:t>
            </w:r>
          </w:p>
        </w:tc>
      </w:tr>
      <w:tr>
        <w:trPr>
          <w:trHeight w:val="168"/>
        </w:trPr>
        <w:tc>
          <w:tcPr>
            <w:tcW w:w="50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540"/>
          </w:cols>
          <w:pgMar w:left="220" w:top="1122" w:right="139" w:bottom="1440" w:gutter="0" w:footer="0" w:header="0"/>
        </w:sectPr>
      </w:pPr>
    </w:p>
    <w:bookmarkStart w:id="28" w:name="page29"/>
    <w:bookmarkEnd w:id="28"/>
    <w:p>
      <w:pPr>
        <w:ind w:left="4900"/>
        <w:spacing w:after="0"/>
        <w:rPr>
          <w:sz w:val="20"/>
          <w:szCs w:val="20"/>
          <w:color w:val="auto"/>
        </w:rPr>
      </w:pPr>
      <w:r>
        <w:rPr>
          <w:rFonts w:ascii="Courier New" w:cs="Courier New" w:eastAsia="Courier New" w:hAnsi="Courier New"/>
          <w:sz w:val="15"/>
          <w:szCs w:val="15"/>
          <w:color w:val="auto"/>
        </w:rPr>
        <w:t>DESIGNS, INC.</w:t>
      </w:r>
    </w:p>
    <w:p>
      <w:pPr>
        <w:ind w:left="290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STATEMENTS OF OPERATIONS</w:t>
      </w:r>
    </w:p>
    <w:p>
      <w:pPr>
        <w:spacing w:after="0" w:line="5"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 three months ended May 4,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3280" w:type="dxa"/>
            <w:vAlign w:val="bottom"/>
            <w:gridSpan w:val="4"/>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Casual</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spacing w:after="0"/>
              <w:rPr>
                <w:sz w:val="14"/>
                <w:szCs w:val="14"/>
                <w:color w:val="auto"/>
              </w:rPr>
            </w:pP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Designs, Inc.</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Male Corp.</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Note 4</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4260" w:type="dxa"/>
            <w:vAlign w:val="bottom"/>
          </w:tcPr>
          <w:p>
            <w:pPr>
              <w:spacing w:after="0"/>
              <w:rPr>
                <w:sz w:val="14"/>
                <w:szCs w:val="14"/>
                <w:color w:val="auto"/>
              </w:rPr>
            </w:pPr>
          </w:p>
        </w:tc>
        <w:tc>
          <w:tcPr>
            <w:tcW w:w="19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36,441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78,371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4"/>
                <w:szCs w:val="2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$ 114,812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including occupancy</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28,448</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35,494</w:t>
            </w:r>
          </w:p>
        </w:tc>
        <w:tc>
          <w:tcPr>
            <w:tcW w:w="48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9,715</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73,657</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7,993</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42,877</w:t>
            </w:r>
          </w:p>
        </w:tc>
        <w:tc>
          <w:tcPr>
            <w:tcW w:w="4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(9,715)</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41,155</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9,077</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37,904</w:t>
            </w:r>
          </w:p>
        </w:tc>
        <w:tc>
          <w:tcPr>
            <w:tcW w:w="4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(10,912)</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36,069</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Reorganization costs</w:t>
            </w:r>
          </w:p>
        </w:tc>
        <w:tc>
          <w:tcPr>
            <w:tcW w:w="10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2,098</w:t>
            </w:r>
          </w:p>
        </w:tc>
        <w:tc>
          <w:tcPr>
            <w:tcW w:w="4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(2,098)</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w:t>
            </w:r>
          </w:p>
        </w:tc>
        <w:tc>
          <w:tcPr>
            <w:tcW w:w="4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1,411</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2,254</w:t>
            </w:r>
          </w:p>
        </w:tc>
        <w:tc>
          <w:tcPr>
            <w:tcW w:w="4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(554)</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3,111</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10,488</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42,256</w:t>
            </w:r>
          </w:p>
        </w:tc>
        <w:tc>
          <w:tcPr>
            <w:tcW w:w="4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(13,564)</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39,180</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(2,495)</w:t>
            </w:r>
          </w:p>
        </w:tc>
        <w:tc>
          <w:tcPr>
            <w:tcW w:w="34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621</w:t>
            </w:r>
          </w:p>
        </w:tc>
        <w:tc>
          <w:tcPr>
            <w:tcW w:w="48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3,849</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0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c>
          <w:tcPr>
            <w:tcW w:w="34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2,546</w:t>
            </w:r>
          </w:p>
        </w:tc>
        <w:tc>
          <w:tcPr>
            <w:tcW w:w="48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w:t>
            </w: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d</w:t>
            </w:r>
          </w:p>
        </w:tc>
        <w:tc>
          <w:tcPr>
            <w:tcW w:w="4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2,942</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0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(2,848)</w:t>
            </w:r>
          </w:p>
        </w:tc>
        <w:tc>
          <w:tcPr>
            <w:tcW w:w="34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(1,925)</w:t>
            </w:r>
          </w:p>
        </w:tc>
        <w:tc>
          <w:tcPr>
            <w:tcW w:w="48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3,806</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0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(1,053)</w:t>
            </w:r>
          </w:p>
        </w:tc>
        <w:tc>
          <w:tcPr>
            <w:tcW w:w="3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696</w:t>
            </w: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e</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3,110</w:t>
            </w:r>
          </w:p>
        </w:tc>
        <w:tc>
          <w:tcPr>
            <w:tcW w:w="122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168"/>
        </w:trPr>
        <w:tc>
          <w:tcPr>
            <w:tcW w:w="4260" w:type="dxa"/>
            <w:vAlign w:val="bottom"/>
          </w:tcPr>
          <w:p>
            <w:pPr>
              <w:spacing w:after="0"/>
              <w:rPr>
                <w:sz w:val="14"/>
                <w:szCs w:val="14"/>
                <w:color w:val="auto"/>
              </w:rPr>
            </w:pPr>
          </w:p>
        </w:tc>
        <w:tc>
          <w:tcPr>
            <w:tcW w:w="1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per share - basic</w:t>
            </w:r>
          </w:p>
        </w:tc>
        <w:tc>
          <w:tcPr>
            <w:tcW w:w="10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c>
          <w:tcPr>
            <w:tcW w:w="34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($0.14)</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 - diluted</w:t>
            </w:r>
          </w:p>
        </w:tc>
        <w:tc>
          <w:tcPr>
            <w:tcW w:w="10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($0.12)</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shares outstanding:</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14,576</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14,206</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36,187</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1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14,576</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14,206</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36,187</w:t>
            </w:r>
          </w:p>
        </w:tc>
      </w:tr>
    </w:tbl>
    <w:p>
      <w:pPr>
        <w:spacing w:after="0" w:line="335"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460"/>
          </w:cols>
          <w:pgMar w:left="220" w:top="1122" w:right="219" w:bottom="1440" w:gutter="0" w:footer="0" w:header="0"/>
        </w:sectPr>
      </w:pPr>
    </w:p>
    <w:bookmarkStart w:id="29" w:name="page30"/>
    <w:bookmarkEnd w:id="29"/>
    <w:p>
      <w:pPr>
        <w:ind w:left="4900"/>
        <w:spacing w:after="0"/>
        <w:rPr>
          <w:sz w:val="20"/>
          <w:szCs w:val="20"/>
          <w:color w:val="auto"/>
        </w:rPr>
      </w:pPr>
      <w:r>
        <w:rPr>
          <w:rFonts w:ascii="Courier New" w:cs="Courier New" w:eastAsia="Courier New" w:hAnsi="Courier New"/>
          <w:sz w:val="15"/>
          <w:szCs w:val="15"/>
          <w:color w:val="auto"/>
        </w:rPr>
        <w:t>DESIGNS, INC.</w:t>
      </w:r>
    </w:p>
    <w:p>
      <w:pPr>
        <w:ind w:left="290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STATEMENTS OF OPERATIONS</w:t>
      </w:r>
    </w:p>
    <w:p>
      <w:pPr>
        <w:spacing w:after="0" w:line="5"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8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 fiscal year ended February 2,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02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Historical</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3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Casual</w:t>
            </w:r>
          </w:p>
        </w:tc>
        <w:tc>
          <w:tcPr>
            <w:tcW w:w="1060" w:type="dxa"/>
            <w:vAlign w:val="bottom"/>
          </w:tcPr>
          <w:p>
            <w:pPr>
              <w:spacing w:after="0"/>
              <w:rPr>
                <w:sz w:val="14"/>
                <w:szCs w:val="14"/>
                <w:color w:val="auto"/>
              </w:rPr>
            </w:pP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Designs, Inc.</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Male Corp.</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Adjustments</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Note 4</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$ 195,119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$ 430,807</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(98,275)</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$ 527,651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including occupancy</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147,898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246,468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(48,693)</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345,673</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47,221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184,339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(49,582)</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181,978</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39,743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190,585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(88,505)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141,823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Reorganization costs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37,974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(37,974)</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b</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impairment of assets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(12,292)</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b</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5,398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(5,832)</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c</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12,199</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45,141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253,484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(144,603)</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154,022</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2,080</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(69,145)</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95,021</w:t>
            </w:r>
          </w:p>
        </w:tc>
        <w:tc>
          <w:tcPr>
            <w:tcW w:w="106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27,956</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1,905</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13,671</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(3,313)</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d</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12,263</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(82,816)</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98,334</w:t>
            </w:r>
          </w:p>
        </w:tc>
        <w:tc>
          <w:tcPr>
            <w:tcW w:w="106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15,693</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8,056</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(2,562)</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e</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5,798</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(7,881)</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(83,120)</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$ 100,896</w:t>
            </w:r>
          </w:p>
        </w:tc>
        <w:tc>
          <w:tcPr>
            <w:tcW w:w="106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9,895</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 income per share - basic</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($0.54)</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($5.85)</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 per share - diluted</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($0.54)</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$0.27</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preferred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14,486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14,206</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14,486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14,206</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36,674</w:t>
            </w:r>
          </w:p>
        </w:tc>
      </w:tr>
    </w:tbl>
    <w:p>
      <w:pPr>
        <w:spacing w:after="0" w:line="335"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460"/>
          </w:cols>
          <w:pgMar w:left="220" w:top="1122" w:right="219" w:bottom="1440" w:gutter="0" w:footer="0" w:header="0"/>
        </w:sectPr>
      </w:pPr>
    </w:p>
    <w:bookmarkStart w:id="30" w:name="page31"/>
    <w:bookmarkEnd w:id="30"/>
    <w:p>
      <w:pPr>
        <w:ind w:left="2980"/>
        <w:spacing w:after="0"/>
        <w:rPr>
          <w:sz w:val="20"/>
          <w:szCs w:val="20"/>
          <w:color w:val="auto"/>
        </w:rPr>
      </w:pPr>
      <w:r>
        <w:rPr>
          <w:rFonts w:ascii="Courier New" w:cs="Courier New" w:eastAsia="Courier New" w:hAnsi="Courier New"/>
          <w:sz w:val="15"/>
          <w:szCs w:val="15"/>
          <w:color w:val="auto"/>
        </w:rPr>
        <w:t>DESIGNS, INC.</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Pro Forma Condensed Consolidated Financial Information</w:t>
      </w:r>
    </w:p>
    <w:p>
      <w:pPr>
        <w:spacing w:after="0" w:line="166" w:lineRule="exact"/>
        <w:rPr>
          <w:sz w:val="20"/>
          <w:szCs w:val="20"/>
          <w:color w:val="auto"/>
        </w:rPr>
      </w:pPr>
    </w:p>
    <w:p>
      <w:pPr>
        <w:ind w:left="540" w:hanging="530"/>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financial information included herein gives effect to the acquisition by Designs, Inc. (the "Company") of substantially all the assets of Casual Male Corp. and certain of its subsidiaries ("Casual Male"). The Unaudited Pro Forma Condensed Consolidated Statements of Operations for the three months ended May 4, 2002 and the year ended February 2, 2002 are based on historical data as reported by the separate companies, and reflect adjustments prepared as if the acquisition had occurred on February 3, 2002 and February 4, 2001, respectively. The Unaudited Pro Forma Condensed Consolidated Balance Sheet is based on historical data as reported by the separate companies, and reflects adjustments prepared as if the acquisition had occurred on May 4, 2002.</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acquisition of Casual Male has been accounted for using the purchase method of accounting. Accordingly, the assets acquired and liabilities assumed have been recorded at their estimated fair values, with appropriate recognition given to the Company's borrowing rates, accounting policies, and income taxes. The Company's management does not expect that the final allocation of the purchase price for the acquisition of Casual Male will differ materially from the allocations used to prepare the unaudited pro forma financial information presented herein.</w:t>
      </w:r>
    </w:p>
    <w:p>
      <w:pPr>
        <w:spacing w:after="0" w:line="171" w:lineRule="exact"/>
        <w:rPr>
          <w:sz w:val="20"/>
          <w:szCs w:val="20"/>
          <w:color w:val="auto"/>
        </w:rPr>
      </w:pPr>
    </w:p>
    <w:p>
      <w:pPr>
        <w:ind w:left="540" w:hanging="530"/>
        <w:spacing w:after="0"/>
        <w:tabs>
          <w:tab w:leader="none" w:pos="5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Acquisition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May 14, 2002, the Company completed the acquisition of substantially all of the operating assets of Casual Male, including the retail stores and the catalog and e-commerce business, for a purchase price of approximately $170 million plus the assumption of certain operating liabilities. The acquisition was pursuant to an Asset Purchase Agreement entered into as of May 2, 2002 (the "Asset Purchase Agreement") by and among Designs, Inc. and Casual Male. The Company was selected as the highest and best bidder for the Casual Male assets at a bankruptcy court ordered auction commencing May 1, 2002 and concluded on May 2, 2002. The U.S. Bankruptcy Court for the Southern District of New York subsequently granted its approval for the acquisition of Casual Male by the Company on May 7, 2002.</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in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 (equivalent to approximately 18.0 million shares of Common Stock, conditioned upon shareholder approval for conversion), and (vi) the assumption of a mortgage note in the principal amount of approximately $12.2 million.</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convertibility of the Series B Preferred Stock and the exercisability of certain such warrants are subject to approval by the stockholders of the Company. The newly issued Common Stock and the Common Stock issuable upon conversion of the Series B Preferred Stock and the exercise of warrants are subject to certain rights to require registration under the Securities Act of 1933, as amended.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1" w:name="page32"/>
    <w:bookmarkEnd w:id="31"/>
    <w:p>
      <w:pPr>
        <w:ind w:left="540" w:hanging="53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as of May 4, 2002</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pro forma adjustments to the unaudited pro forma condensed consolidated balance sheet reflect the purchase of Casual Male and the allocation of the pro forma purchase price to the acquired assets and the assumed liabilities based on the preliminary estimate of their fair market value at the date of acquisition.</w:t>
      </w:r>
    </w:p>
    <w:p>
      <w:pPr>
        <w:spacing w:after="0" w:line="164" w:lineRule="exact"/>
        <w:rPr>
          <w:sz w:val="20"/>
          <w:szCs w:val="20"/>
          <w:color w:val="auto"/>
        </w:rPr>
      </w:pPr>
    </w:p>
    <w:p>
      <w:pPr>
        <w:ind w:left="280" w:right="3399" w:hanging="270"/>
        <w:spacing w:after="0" w:line="234"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reflects the funds raised in connection with the Casual Male acquisition, as follows:</w:t>
      </w:r>
    </w:p>
    <w:p>
      <w:pPr>
        <w:spacing w:after="0" w:line="5"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$30.2 million in borrowings under a senior secured credit facility with FRFI.</w:t>
      </w:r>
    </w:p>
    <w:p>
      <w:pPr>
        <w:spacing w:after="0" w:line="5"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million term loan with a subsidiary of FRFI, Back Bay Capital.</w:t>
      </w:r>
    </w:p>
    <w:p>
      <w:pPr>
        <w:spacing w:after="0" w:line="4" w:lineRule="exact"/>
        <w:rPr>
          <w:rFonts w:ascii="Courier New" w:cs="Courier New" w:eastAsia="Courier New" w:hAnsi="Courier New"/>
          <w:sz w:val="14"/>
          <w:szCs w:val="14"/>
          <w:color w:val="auto"/>
        </w:rPr>
      </w:pPr>
    </w:p>
    <w:p>
      <w:pPr>
        <w:ind w:left="880" w:hanging="433"/>
        <w:spacing w:after="0" w:line="237" w:lineRule="auto"/>
        <w:tabs>
          <w:tab w:leader="none" w:pos="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 million principal amount of 5% senior subordinated notes.</w:t>
      </w:r>
    </w:p>
    <w:p>
      <w:pPr>
        <w:spacing w:after="0" w:line="5"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$24.5 million principal amount of 12% senior subordinated notes, and the issuance of warrants to purchase 1,715,000 shares of Common Stock at an exercise price of $.01 per share. In addition, $10.0 million of the $24.5 million senior subordinated notes were issued together with additional detachable warrants to acquire 1,176,471 shares at an exercise price of $8.50 per share.</w:t>
      </w:r>
    </w:p>
    <w:p>
      <w:pPr>
        <w:spacing w:after="0" w:line="6"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$82.5 million of gross proceeds from the private placement of approximately 1.4 million shares of Common Stock and 180,162 shares of Series B Preferred Stock, less offering costs of approximately $2 million (in addition to warrants to purchase 500,000 shares of Common Stock at an exercise price of $4.25 per share issued to a financial advisor).</w:t>
      </w:r>
    </w:p>
    <w:p>
      <w:pPr>
        <w:spacing w:after="0" w:line="174" w:lineRule="exact"/>
        <w:rPr>
          <w:rFonts w:ascii="Courier New" w:cs="Courier New" w:eastAsia="Courier New" w:hAnsi="Courier New"/>
          <w:sz w:val="15"/>
          <w:szCs w:val="15"/>
          <w:color w:val="auto"/>
        </w:rPr>
      </w:pPr>
    </w:p>
    <w:p>
      <w:pPr>
        <w:ind w:left="280" w:right="3239" w:hanging="270"/>
        <w:spacing w:after="0" w:line="236"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reflects the consummation of the acquisition, including payment to the Casual Male Corp. for certain assets held for sale, payment of certain related fees and expenses, accrual for estimated transaction costs, and the elimination of the net assets of Casual Male Corp. The adjustment also reflects the allocation of the purchase price, as follows: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to Casual Male Corp. (1)</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$ 159,004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transaction and severance costs</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8,750</w:t>
            </w:r>
          </w:p>
        </w:tc>
      </w:tr>
      <w:tr>
        <w:trPr>
          <w:trHeight w:val="168"/>
        </w:trPr>
        <w:tc>
          <w:tcPr>
            <w:tcW w:w="4460" w:type="dxa"/>
            <w:vAlign w:val="bottom"/>
          </w:tcPr>
          <w:p>
            <w:pPr>
              <w:spacing w:after="0"/>
              <w:rPr>
                <w:sz w:val="14"/>
                <w:szCs w:val="14"/>
                <w:color w:val="auto"/>
              </w:rPr>
            </w:pPr>
          </w:p>
        </w:tc>
        <w:tc>
          <w:tcPr>
            <w:tcW w:w="14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4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Cost of the acquisition of Casual Male</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$ 167,754</w:t>
            </w:r>
          </w:p>
        </w:tc>
      </w:tr>
      <w:tr>
        <w:trPr>
          <w:trHeight w:val="168"/>
        </w:trPr>
        <w:tc>
          <w:tcPr>
            <w:tcW w:w="4460" w:type="dxa"/>
            <w:vAlign w:val="bottom"/>
          </w:tcPr>
          <w:p>
            <w:pPr>
              <w:spacing w:after="0"/>
              <w:rPr>
                <w:sz w:val="14"/>
                <w:szCs w:val="14"/>
                <w:color w:val="auto"/>
              </w:rPr>
            </w:pPr>
          </w:p>
        </w:tc>
        <w:tc>
          <w:tcPr>
            <w:tcW w:w="14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4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Debit (Credit)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1,870</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Merchandise inventory</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98,032</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5,887</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65,474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6,659</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Casual Male trademark</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29,544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lists</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(25,797)</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and other current</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liabilities</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(3,489)</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(12,216)</w:t>
            </w:r>
          </w:p>
        </w:tc>
      </w:tr>
      <w:tr>
        <w:trPr>
          <w:trHeight w:val="168"/>
        </w:trPr>
        <w:tc>
          <w:tcPr>
            <w:tcW w:w="446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Estimated fair value of net assets acquired</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167,754</w:t>
            </w:r>
          </w:p>
        </w:tc>
      </w:tr>
      <w:tr>
        <w:trPr>
          <w:trHeight w:val="168"/>
        </w:trPr>
        <w:tc>
          <w:tcPr>
            <w:tcW w:w="446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540" w:right="3499" w:hanging="261"/>
        <w:spacing w:after="0" w:line="235" w:lineRule="auto"/>
        <w:rPr>
          <w:sz w:val="20"/>
          <w:szCs w:val="20"/>
          <w:color w:val="auto"/>
        </w:rPr>
      </w:pPr>
      <w:r>
        <w:rPr>
          <w:rFonts w:ascii="Courier New" w:cs="Courier New" w:eastAsia="Courier New" w:hAnsi="Courier New"/>
          <w:sz w:val="15"/>
          <w:szCs w:val="15"/>
          <w:color w:val="auto"/>
        </w:rPr>
        <w:t>(1)Amount is net of offering costs of $2.0 million and financing fees of $2.2 million. The offering costs are reflected as a reduction of equity and the financing fees are reflected in other assets on the pro forma condensed consolidated balance sheet.</w:t>
      </w:r>
    </w:p>
    <w:p>
      <w:pPr>
        <w:spacing w:after="0" w:line="175" w:lineRule="exact"/>
        <w:rPr>
          <w:sz w:val="20"/>
          <w:szCs w:val="20"/>
          <w:color w:val="auto"/>
        </w:rPr>
      </w:pPr>
    </w:p>
    <w:p>
      <w:pPr>
        <w:ind w:left="280" w:right="3239" w:hanging="270"/>
        <w:spacing w:after="0" w:line="235" w:lineRule="auto"/>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$8.0 million charge against the Company's deferred tax assets in the year ended February 2, 2002 was eliminated as a non-recurring cost due to the availability of pro forma taxable income.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2" w:name="page33"/>
    <w:bookmarkEnd w:id="32"/>
    <w:p>
      <w:pPr>
        <w:ind w:left="440" w:right="3239" w:hanging="430"/>
        <w:spacing w:after="0" w:line="234"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for the Three Months Ended May 4, 2002 and the Fiscal Year Ended February 2, 2002</w:t>
      </w:r>
    </w:p>
    <w:p>
      <w:pPr>
        <w:spacing w:after="0" w:line="173" w:lineRule="exact"/>
        <w:rPr>
          <w:sz w:val="20"/>
          <w:szCs w:val="20"/>
          <w:color w:val="auto"/>
        </w:rPr>
      </w:pPr>
    </w:p>
    <w:p>
      <w:pPr>
        <w:jc w:val="both"/>
        <w:ind w:right="3679"/>
        <w:spacing w:after="0" w:line="258" w:lineRule="auto"/>
        <w:rPr>
          <w:sz w:val="20"/>
          <w:szCs w:val="20"/>
          <w:color w:val="auto"/>
        </w:rPr>
      </w:pPr>
      <w:r>
        <w:rPr>
          <w:rFonts w:ascii="Courier New" w:cs="Courier New" w:eastAsia="Courier New" w:hAnsi="Courier New"/>
          <w:sz w:val="14"/>
          <w:szCs w:val="14"/>
          <w:color w:val="auto"/>
        </w:rPr>
        <w:t>The pro forma adjustments to the unaudited pro forma condensed consolidated income statement reflect the purchase of Casual Male and the conforming of Casual Male's financial statement presentation to that of the Company.</w:t>
      </w:r>
    </w:p>
    <w:p>
      <w:pPr>
        <w:spacing w:after="0" w:line="161" w:lineRule="exact"/>
        <w:rPr>
          <w:sz w:val="20"/>
          <w:szCs w:val="20"/>
          <w:color w:val="auto"/>
        </w:rPr>
      </w:pPr>
    </w:p>
    <w:p>
      <w:pPr>
        <w:ind w:left="280" w:right="3319" w:hanging="270"/>
        <w:spacing w:after="0" w:line="235" w:lineRule="auto"/>
        <w:tabs>
          <w:tab w:leader="none" w:pos="2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is intended to reflect the pro forma results of the Statement of Operations on a continuing basis and include adjustments for the following:</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operations of the Casual Male Corp. Work n' Gear business sold to Sandy Point LLC effective May 4, 2002;</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non-continuing sales, cost of goods sold and selling, general and administrative costs associated with closing 134 stores;</w:t>
      </w:r>
    </w:p>
    <w:p>
      <w:pPr>
        <w:spacing w:after="0" w:line="5"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the corporate overhead of Casual Male Corp. due to downsizing as a result of closing 134 stores;</w:t>
      </w:r>
    </w:p>
    <w:p>
      <w:pPr>
        <w:spacing w:after="0" w:line="5"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certain overhead costs relating to the relocation of the Casual Male Corp. catalog business, Think Big Direct, from Alpharetta, Georgia to Canton, Massachusetts;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non-recurring write-offs and reserves relating to the discontinuance of Casual Male Corp.;</w:t>
      </w:r>
    </w:p>
    <w:p>
      <w:pPr>
        <w:spacing w:after="0" w:line="5"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for costs associated with terminated corporate employees of Casual Male Corp.; and</w:t>
      </w:r>
    </w:p>
    <w:p>
      <w:pPr>
        <w:spacing w:after="0" w:line="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of the Company's corporate headquarters and distribution facilities.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Cost of</w:t>
            </w:r>
          </w:p>
        </w:tc>
        <w:tc>
          <w:tcPr>
            <w:tcW w:w="8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Three Months Ended May 4, 2002</w:t>
            </w: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4"/>
                <w:szCs w:val="14"/>
                <w:color w:val="auto"/>
              </w:rPr>
            </w:pPr>
          </w:p>
        </w:tc>
        <w:tc>
          <w:tcPr>
            <w:tcW w:w="10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Sales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SG&amp;A</w:t>
            </w: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ind w:left="280"/>
              <w:spacing w:after="0"/>
              <w:rPr>
                <w:sz w:val="20"/>
                <w:szCs w:val="20"/>
                <w:color w:val="auto"/>
              </w:rPr>
            </w:pPr>
            <w:r>
              <w:rPr>
                <w:rFonts w:ascii="Courier New" w:cs="Courier New" w:eastAsia="Courier New" w:hAnsi="Courier New"/>
                <w:sz w:val="15"/>
                <w:szCs w:val="15"/>
                <w:color w:val="auto"/>
              </w:rPr>
              <w:t>Costs relating to terminated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corporate employees</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consolidation</w:t>
            </w:r>
          </w:p>
        </w:tc>
        <w:tc>
          <w:tcPr>
            <w:tcW w:w="110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Subtotal</w:t>
            </w:r>
          </w:p>
        </w:tc>
        <w:tc>
          <w:tcPr>
            <w:tcW w:w="110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(1,197)</w:t>
            </w: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Reclassification of occupancy</w:t>
            </w:r>
          </w:p>
        </w:tc>
        <w:tc>
          <w:tcPr>
            <w:tcW w:w="110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9,715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(9,715)</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 (1)</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adjustment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9,715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(10,912)</w:t>
            </w:r>
          </w:p>
        </w:tc>
      </w:tr>
      <w:tr>
        <w:trPr>
          <w:trHeight w:val="168"/>
        </w:trPr>
        <w:tc>
          <w:tcPr>
            <w:tcW w:w="320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Cost of</w:t>
            </w:r>
          </w:p>
        </w:tc>
        <w:tc>
          <w:tcPr>
            <w:tcW w:w="88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February 2, 2002</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4"/>
                <w:szCs w:val="14"/>
                <w:color w:val="auto"/>
              </w:rPr>
            </w:pPr>
          </w:p>
        </w:tc>
        <w:tc>
          <w:tcPr>
            <w:tcW w:w="10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Sales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SG&amp;A</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Work n' Gear operations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$(53,970)</w:t>
            </w:r>
          </w:p>
        </w:tc>
        <w:tc>
          <w:tcPr>
            <w:tcW w:w="22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(33,842)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(24,650)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closures</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(44,305)</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(40,425)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(21,887)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Think Big Direct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Write-offs and reserves</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relating to terminated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employees</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consolidation</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ind w:left="800"/>
              <w:spacing w:after="0"/>
              <w:rPr>
                <w:sz w:val="20"/>
                <w:szCs w:val="20"/>
                <w:color w:val="auto"/>
              </w:rPr>
            </w:pPr>
            <w:r>
              <w:rPr>
                <w:rFonts w:ascii="Courier New" w:cs="Courier New" w:eastAsia="Courier New" w:hAnsi="Courier New"/>
                <w:sz w:val="15"/>
                <w:szCs w:val="15"/>
                <w:color w:val="auto"/>
              </w:rPr>
              <w:t>Subtotal</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(98,275)</w:t>
            </w:r>
          </w:p>
        </w:tc>
        <w:tc>
          <w:tcPr>
            <w:tcW w:w="22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(74,267)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(62,931)</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 occupancy</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 (1)</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38,120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(38,120)</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 cost of</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(1)</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(12,546)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12,546</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adjustment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$(98,275)</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(48,693)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(88,505)</w:t>
            </w:r>
          </w:p>
        </w:tc>
      </w:tr>
      <w:tr>
        <w:trPr>
          <w:trHeight w:val="168"/>
        </w:trPr>
        <w:tc>
          <w:tcPr>
            <w:tcW w:w="32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540" w:right="3239" w:hanging="530"/>
        <w:spacing w:after="0" w:line="236"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occupancy expenses for Casual Male are reclassified from selling, general and administrative expenses to cost of goods sold to conform to the Company's presentation. In addition, certain overhead costs included in the historical cost of goods sold of Casual Male are reclassified to selling, general and administrative expenses to conform to the Company's presentation.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3" w:name="page34"/>
    <w:bookmarkEnd w:id="33"/>
    <w:p>
      <w:pPr>
        <w:ind w:left="280" w:right="3239" w:hanging="270"/>
        <w:spacing w:after="0" w:line="234" w:lineRule="auto"/>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reflects the elimination of reorganization costs and provision for impairment of assets.</w:t>
      </w:r>
    </w:p>
    <w:p>
      <w:pPr>
        <w:spacing w:after="0" w:line="173" w:lineRule="exact"/>
        <w:rPr>
          <w:rFonts w:ascii="Courier New" w:cs="Courier New" w:eastAsia="Courier New" w:hAnsi="Courier New"/>
          <w:sz w:val="15"/>
          <w:szCs w:val="15"/>
          <w:color w:val="auto"/>
        </w:rPr>
      </w:pPr>
    </w:p>
    <w:p>
      <w:pPr>
        <w:ind w:left="280" w:right="3239" w:hanging="270"/>
        <w:spacing w:after="0" w:line="236" w:lineRule="auto"/>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expense was adjusted to reflect the fair market revaluation of Casual Male property and equipment, as well as the amortization of the deferred financing costs over a 3-year period. In addition, depreciation expense was adjusted for the Casual Male Corp. stores closed during the year ended February 2, 2002. The corporate headquarters building located in Canton, Massachusetts is depreciated over a 30-year remaining useful life and the average remaining useful life of stores purchased in the acquisition is 7 years.</w:t>
      </w:r>
    </w:p>
    <w:p>
      <w:pPr>
        <w:spacing w:after="0" w:line="177" w:lineRule="exact"/>
        <w:rPr>
          <w:rFonts w:ascii="Courier New" w:cs="Courier New" w:eastAsia="Courier New" w:hAnsi="Courier New"/>
          <w:sz w:val="15"/>
          <w:szCs w:val="15"/>
          <w:color w:val="auto"/>
        </w:rPr>
      </w:pPr>
    </w:p>
    <w:p>
      <w:pPr>
        <w:ind w:left="280" w:right="3679" w:hanging="270"/>
        <w:spacing w:after="0" w:line="234" w:lineRule="auto"/>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adjusted to reflect debt levels and varied rates of interest used to acquire the assets of Casual Male.</w:t>
      </w:r>
    </w:p>
    <w:p>
      <w:pPr>
        <w:spacing w:after="0" w:line="173" w:lineRule="exact"/>
        <w:rPr>
          <w:rFonts w:ascii="Courier New" w:cs="Courier New" w:eastAsia="Courier New" w:hAnsi="Courier New"/>
          <w:sz w:val="15"/>
          <w:szCs w:val="15"/>
          <w:color w:val="auto"/>
        </w:rPr>
      </w:pPr>
    </w:p>
    <w:p>
      <w:pPr>
        <w:ind w:left="280" w:right="3239" w:hanging="270"/>
        <w:spacing w:after="0" w:line="236" w:lineRule="auto"/>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were adjusted to record the tax effect of the pro forma adjustments at an effective tax rate of 37%. In addition, the $8.0 million charge against the Company's deferred tax assets in the year ended February 2, 2002 was eliminated as a non-recurring cost due to the availability of pro forma taxable income.</w:t>
      </w:r>
    </w:p>
    <w:p>
      <w:pPr>
        <w:spacing w:after="0" w:line="335" w:lineRule="exact"/>
        <w:rPr>
          <w:sz w:val="20"/>
          <w:szCs w:val="20"/>
          <w:color w:val="auto"/>
        </w:rPr>
      </w:pPr>
    </w:p>
    <w:p>
      <w:pPr>
        <w:ind w:left="540" w:hanging="530"/>
        <w:spacing w:after="0"/>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long-term debt as of May 4, 2002 was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12% senior subordinated notes due 2007 (a)</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17,211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 (b)</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5% senior subordinated notes due 2007</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 (c)</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12,216</w:t>
            </w:r>
          </w:p>
        </w:tc>
      </w:tr>
      <w:tr>
        <w:trPr>
          <w:trHeight w:val="168"/>
        </w:trPr>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55,427</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Less: current portion of mortgage note</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68"/>
        </w:trPr>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less current portion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54,607</w:t>
            </w:r>
          </w:p>
        </w:tc>
      </w:tr>
      <w:tr>
        <w:trPr>
          <w:trHeight w:val="168"/>
        </w:trPr>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73" w:lineRule="exact"/>
        <w:rPr>
          <w:sz w:val="20"/>
          <w:szCs w:val="20"/>
          <w:color w:val="auto"/>
        </w:rPr>
      </w:pPr>
    </w:p>
    <w:p>
      <w:pPr>
        <w:ind w:left="280" w:right="3239" w:hanging="270"/>
        <w:spacing w:after="0" w:line="236" w:lineRule="auto"/>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12% senior subordinated notes of $24.5 million is net of warrants to purchase 1,715,000 shares of Common Stock at an exercise price of $.01 per warrant, and additional detachable warrants to acquire 1,176,471 shares of Common Stock at an exercise price of $8.50 per share. The total estimated value of the warrants of $7,289,000 will be amortized over the five-year life of the notes as interest expense.</w:t>
      </w:r>
    </w:p>
    <w:p>
      <w:pPr>
        <w:spacing w:after="0" w:line="174" w:lineRule="exact"/>
        <w:rPr>
          <w:rFonts w:ascii="Courier New" w:cs="Courier New" w:eastAsia="Courier New" w:hAnsi="Courier New"/>
          <w:sz w:val="15"/>
          <w:szCs w:val="15"/>
          <w:color w:val="auto"/>
        </w:rPr>
      </w:pPr>
    </w:p>
    <w:p>
      <w:pPr>
        <w:ind w:left="280" w:right="3239" w:hanging="270"/>
        <w:spacing w:after="0" w:line="234" w:lineRule="auto"/>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three-year term loan includes a 12% coupon, 3% paid-in-kind interest, and 3% annual commitment fee, for a total annual yield of 18%.</w:t>
      </w:r>
    </w:p>
    <w:p>
      <w:pPr>
        <w:spacing w:after="0" w:line="173" w:lineRule="exact"/>
        <w:rPr>
          <w:rFonts w:ascii="Courier New" w:cs="Courier New" w:eastAsia="Courier New" w:hAnsi="Courier New"/>
          <w:sz w:val="15"/>
          <w:szCs w:val="15"/>
          <w:color w:val="auto"/>
        </w:rPr>
      </w:pPr>
    </w:p>
    <w:p>
      <w:pPr>
        <w:ind w:left="280" w:right="3399" w:hanging="270"/>
        <w:spacing w:after="0" w:line="261" w:lineRule="auto"/>
        <w:tabs>
          <w:tab w:leader="none" w:pos="2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mortgage note is payable in equal monthly installments of principal and interest over its remaining term of 10 years and bears interest at 9.0%.</w:t>
      </w:r>
    </w:p>
    <w:p>
      <w:pPr>
        <w:spacing w:after="0" w:line="153" w:lineRule="exact"/>
        <w:rPr>
          <w:sz w:val="20"/>
          <w:szCs w:val="20"/>
          <w:color w:val="auto"/>
        </w:rPr>
      </w:pPr>
    </w:p>
    <w:p>
      <w:pPr>
        <w:ind w:left="540" w:hanging="530"/>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(Loss) Per Share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 forma basic earnings per share for the three months ended May 4, 2002 and the year ended February 2, 2002 assumes that the Series B Preferred Stock was converted to 18,016,200 shares of Common Stock and certain warrants were fully exercised for 2,215,000 shares of Common Stock on February 3, 2002 and February 4, 2001, respectively. Pro forma diluted earnings per share is determined by giving effect to the exercise of stock options and warrants using the treasury stock method.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4" w:name="page35"/>
    <w:bookmarkEnd w:id="34"/>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weighted-average common shares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Three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Months Ended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May 4,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36,187</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36,096</w:t>
      </w:r>
    </w:p>
    <w:p>
      <w:pPr>
        <w:spacing w:after="0" w:line="1" w:lineRule="exact"/>
        <w:rPr>
          <w:sz w:val="20"/>
          <w:szCs w:val="20"/>
          <w:color w:val="auto"/>
        </w:rPr>
      </w:pPr>
    </w:p>
    <w:p>
      <w:pPr>
        <w:sectPr>
          <w:pgSz w:w="11900" w:h="16838" w:orient="portrait"/>
          <w:cols w:equalWidth="0" w:num="3">
            <w:col w:w="3140" w:space="440"/>
            <w:col w:w="1140" w:space="340"/>
            <w:col w:w="4899"/>
          </w:cols>
          <w:pgMar w:left="500" w:top="617" w:right="1440" w:bottom="1440" w:gutter="0" w:footer="0" w:header="0"/>
        </w:sectPr>
      </w:pPr>
    </w:p>
    <w:p>
      <w:pPr>
        <w:ind w:left="160"/>
        <w:spacing w:after="0" w:line="237"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excluding anti-dilutive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options of 764 shares for the</w:t>
      </w:r>
    </w:p>
    <w:p>
      <w:pPr>
        <w:sectPr>
          <w:pgSz w:w="11900" w:h="16838" w:orient="portrait"/>
          <w:cols w:equalWidth="0" w:num="1">
            <w:col w:w="9959"/>
          </w:cols>
          <w:pgMar w:left="500" w:top="617" w:right="1440" w:bottom="1440" w:gutter="0" w:footer="0" w:header="0"/>
          <w:type w:val="continuous"/>
        </w:sectPr>
      </w:pPr>
    </w:p>
    <w:p>
      <w:pPr>
        <w:spacing w:after="0" w:line="5" w:lineRule="exact"/>
        <w:rPr>
          <w:sz w:val="20"/>
          <w:szCs w:val="20"/>
          <w:color w:val="auto"/>
        </w:rPr>
      </w:pPr>
    </w:p>
    <w:p>
      <w:pPr>
        <w:ind w:right="60" w:firstLine="175"/>
        <w:spacing w:after="0" w:line="351" w:lineRule="auto"/>
        <w:rPr>
          <w:sz w:val="20"/>
          <w:szCs w:val="20"/>
          <w:color w:val="auto"/>
        </w:rPr>
      </w:pPr>
      <w:r>
        <w:rPr>
          <w:rFonts w:ascii="Courier New" w:cs="Courier New" w:eastAsia="Courier New" w:hAnsi="Courier New"/>
          <w:sz w:val="15"/>
          <w:szCs w:val="15"/>
          <w:color w:val="auto"/>
        </w:rPr>
        <w:t>three months ended May 4, 2002 Diluted weighted-average shares outstanding</w:t>
      </w:r>
    </w:p>
    <w:p>
      <w:pPr>
        <w:spacing w:after="0" w:line="20" w:lineRule="exact"/>
        <w:rPr>
          <w:sz w:val="20"/>
          <w:szCs w:val="20"/>
          <w:color w:val="auto"/>
        </w:rPr>
      </w:pPr>
      <w:r>
        <w:rPr>
          <w:sz w:val="20"/>
          <w:szCs w:val="20"/>
          <w:color w:val="auto"/>
        </w:rPr>
        <w:br w:type="column"/>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36,187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759"/>
        <w:spacing w:after="0" w:line="237" w:lineRule="auto"/>
        <w:rPr>
          <w:sz w:val="20"/>
          <w:szCs w:val="20"/>
          <w:color w:val="auto"/>
        </w:rPr>
      </w:pPr>
      <w:r>
        <w:rPr>
          <w:rFonts w:ascii="Courier New" w:cs="Courier New" w:eastAsia="Courier New" w:hAnsi="Courier New"/>
          <w:sz w:val="15"/>
          <w:szCs w:val="15"/>
          <w:color w:val="auto"/>
        </w:rPr>
        <w:t>578</w:t>
      </w:r>
    </w:p>
    <w:p>
      <w:pPr>
        <w:spacing w:after="0" w:line="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36,674</w:t>
      </w:r>
    </w:p>
    <w:p>
      <w:pPr>
        <w:spacing w:after="0" w:line="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4"/>
          <w:szCs w:val="14"/>
          <w:color w:val="auto"/>
        </w:rPr>
        <w:t>=============</w:t>
      </w:r>
    </w:p>
    <w:p>
      <w:pPr>
        <w:spacing w:after="0" w:line="282" w:lineRule="exact"/>
        <w:rPr>
          <w:sz w:val="20"/>
          <w:szCs w:val="20"/>
          <w:color w:val="auto"/>
        </w:rPr>
      </w:pPr>
    </w:p>
    <w:p>
      <w:pPr>
        <w:sectPr>
          <w:pgSz w:w="11900" w:h="16838" w:orient="portrait"/>
          <w:cols w:equalWidth="0" w:num="3">
            <w:col w:w="2860" w:space="720"/>
            <w:col w:w="1040" w:space="440"/>
            <w:col w:w="4899"/>
          </w:cols>
          <w:pgMar w:left="500" w:top="617" w:right="1440" w:bottom="1440" w:gutter="0" w:footer="0" w:header="0"/>
          <w:type w:val="continuous"/>
        </w:sectPr>
      </w:pPr>
    </w:p>
    <w:p>
      <w:pPr>
        <w:spacing w:after="0" w:line="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Options to purchase shares of Common Stock of 178,350 and 933,900 for the three months ended May 4, 2002 and the year ended February 2, 2002, respectively, and warrants to purchase 1,176,471 shares of Common Stock at an exercise price of $8.50 per share, were assumed outstanding during the respective periods but were not included in the computation of diluted earnings per share because the exercise prices of the options and warrants were greater than the average market price of the Common Stock for the period reported.</w:t>
      </w:r>
    </w:p>
    <w:p>
      <w:pPr>
        <w:spacing w:after="0" w:line="200" w:lineRule="exact"/>
        <w:rPr>
          <w:sz w:val="20"/>
          <w:szCs w:val="20"/>
          <w:color w:val="auto"/>
        </w:rPr>
      </w:pPr>
    </w:p>
    <w:p>
      <w:pPr>
        <w:spacing w:after="0" w:line="30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617" w:right="1440" w:bottom="1440" w:gutter="0" w:footer="0" w:header="0"/>
          <w:type w:val="continuous"/>
        </w:sectPr>
      </w:pPr>
    </w:p>
    <w:bookmarkStart w:id="35" w:name="page36"/>
    <w:bookmarkEnd w:id="35"/>
    <w:p>
      <w:pPr>
        <w:ind w:left="963" w:hanging="963"/>
        <w:spacing w:after="0"/>
        <w:tabs>
          <w:tab w:leader="none" w:pos="96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443"/>
        <w:spacing w:after="0"/>
        <w:tabs>
          <w:tab w:leader="none" w:pos="1462"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LLP.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2"/>
          </w:cols>
          <w:pgMar w:left="317" w:top="617" w:right="1440" w:bottom="1440" w:gutter="0" w:footer="0" w:header="0"/>
        </w:sectPr>
      </w:pPr>
    </w:p>
    <w:bookmarkStart w:id="36" w:name="page37"/>
    <w:bookmarkEnd w:id="3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hereunto duly authorized.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DESIGNS, INC.</w:t>
      </w:r>
    </w:p>
    <w:p>
      <w:pPr>
        <w:spacing w:after="0" w:line="237" w:lineRule="auto"/>
        <w:rPr>
          <w:sz w:val="20"/>
          <w:szCs w:val="20"/>
          <w:color w:val="auto"/>
        </w:rPr>
      </w:pPr>
      <w:r>
        <w:rPr>
          <w:rFonts w:ascii="Courier New" w:cs="Courier New" w:eastAsia="Courier New" w:hAnsi="Courier New"/>
          <w:sz w:val="15"/>
          <w:szCs w:val="15"/>
          <w:color w:val="auto"/>
        </w:rPr>
        <w:t>Date: June 14, 2002</w:t>
      </w:r>
    </w:p>
    <w:p>
      <w:pPr>
        <w:spacing w:after="0" w:line="16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By: /s/ DENNIS R. HERNREICH</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tabs>
          <w:tab w:leader="none" w:pos="4360" w:val="left"/>
        </w:tabs>
        <w:rPr>
          <w:sz w:val="20"/>
          <w:szCs w:val="20"/>
          <w:color w:val="auto"/>
        </w:rPr>
      </w:pPr>
      <w:r>
        <w:rPr>
          <w:rFonts w:ascii="Courier New" w:cs="Courier New" w:eastAsia="Courier New" w:hAnsi="Courier New"/>
          <w:sz w:val="15"/>
          <w:szCs w:val="15"/>
          <w:color w:val="auto"/>
        </w:rPr>
        <w:t>Name:</w:t>
        <w:tab/>
        <w:t>Dennis R. Hernreich</w:t>
      </w:r>
    </w:p>
    <w:p>
      <w:pPr>
        <w:ind w:left="3780"/>
        <w:spacing w:after="0" w:line="237" w:lineRule="auto"/>
        <w:rPr>
          <w:sz w:val="20"/>
          <w:szCs w:val="20"/>
          <w:color w:val="auto"/>
        </w:rPr>
      </w:pPr>
      <w:r>
        <w:rPr>
          <w:rFonts w:ascii="Courier New" w:cs="Courier New" w:eastAsia="Courier New" w:hAnsi="Courier New"/>
          <w:sz w:val="15"/>
          <w:szCs w:val="15"/>
          <w:color w:val="auto"/>
        </w:rPr>
        <w:t>Title: Senior Vice President</w:t>
      </w:r>
    </w:p>
    <w:p>
      <w:pPr>
        <w:jc w:val="right"/>
        <w:ind w:right="3499"/>
        <w:spacing w:after="0" w:line="238" w:lineRule="auto"/>
        <w:rPr>
          <w:sz w:val="20"/>
          <w:szCs w:val="20"/>
          <w:color w:val="auto"/>
        </w:rPr>
      </w:pPr>
      <w:r>
        <w:rPr>
          <w:rFonts w:ascii="Courier New" w:cs="Courier New" w:eastAsia="Courier New" w:hAnsi="Courier New"/>
          <w:sz w:val="15"/>
          <w:szCs w:val="15"/>
          <w:color w:val="auto"/>
        </w:rPr>
        <w:t>and Chief Financial Officer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37" w:name="page38"/>
    <w:bookmarkEnd w:id="37"/>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Casual Male Corp.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inclusion in the report on Form 8-K/A of Designs, Inc. dated June 14, 2002, of our report dated May 18, 2002, with respect to the consolidated balance sheets of Casual Male Corp. and subsidaries as of February 2, 2002 and February 3, 2001, and the related consolidated statements of operations, stockholders' equity (deficit), and cash flows for each of the years in the three-years ended February 2, 2002, February 3, 2001 and January 29, 2000.</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report dated May 18, 2002, contains an explanatory paragraph that states that most of the assets of the Company have been sold. The Company will continue operations primarily to liquidate any remaining assets and settle the Company's remaining liabilities, including liabilities subject to compromise, to the extent possible. After the settlements have occurred, it is expected that the Company will cease operations. The consolidated financial statements do not include any adjustments that might result from the outcome of this uncertainty.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June 14, 2002</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3"/>
    </w:lvl>
  </w:abstractNum>
  <w:abstractNum w:abstractNumId="4">
    <w:nsid w:val="6763845E"/>
    <w:multiLevelType w:val="hybridMultilevel"/>
    <w:lvl w:ilvl="0">
      <w:lvlJc w:val="left"/>
      <w:lvlText w:val="(%1)"/>
      <w:numFmt w:val="lowerLetter"/>
      <w:start w:val="4"/>
    </w:lvl>
    <w:lvl w:ilvl="1">
      <w:lvlJc w:val="left"/>
      <w:lvlText w:val="(%2)"/>
      <w:numFmt w:val="lowerLetter"/>
      <w:start w:val="5"/>
    </w:lvl>
  </w:abstractNum>
  <w:abstractNum w:abstractNumId="5">
    <w:nsid w:val="75A2A8D4"/>
    <w:multiLevelType w:val="hybridMultilevel"/>
    <w:lvl w:ilvl="0">
      <w:lvlJc w:val="left"/>
      <w:lvlText w:val="(%1)"/>
      <w:numFmt w:val="lowerLetter"/>
      <w:start w:val="6"/>
    </w:lvl>
  </w:abstractNum>
  <w:abstractNum w:abstractNumId="6">
    <w:nsid w:val="8EDBDAB"/>
    <w:multiLevelType w:val="hybridMultilevel"/>
    <w:lvl w:ilvl="0">
      <w:lvlJc w:val="left"/>
      <w:lvlText w:val="(%1)"/>
      <w:numFmt w:val="lowerLetter"/>
      <w:start w:val="7"/>
    </w:lvl>
  </w:abstractNum>
  <w:abstractNum w:abstractNumId="7">
    <w:nsid w:val="79838CB2"/>
    <w:multiLevelType w:val="hybridMultilevel"/>
    <w:lvl w:ilvl="0">
      <w:lvlJc w:val="left"/>
      <w:lvlText w:val="(%1)"/>
      <w:numFmt w:val="lowerLetter"/>
      <w:start w:val="8"/>
    </w:lvl>
  </w:abstractNum>
  <w:abstractNum w:abstractNumId="8">
    <w:nsid w:val="4353D0CD"/>
    <w:multiLevelType w:val="hybridMultilevel"/>
    <w:lvl w:ilvl="0">
      <w:lvlJc w:val="left"/>
      <w:lvlText w:val="(%1)"/>
      <w:numFmt w:val="lowerRoman"/>
      <w:start w:val="1"/>
    </w:lvl>
  </w:abstractNum>
  <w:abstractNum w:abstractNumId="9">
    <w:nsid w:val="B03E0C6"/>
    <w:multiLevelType w:val="hybridMultilevel"/>
    <w:lvl w:ilvl="0">
      <w:lvlJc w:val="left"/>
      <w:lvlText w:val="(%1)"/>
      <w:numFmt w:val="lowerLetter"/>
      <w:start w:val="10"/>
    </w:lvl>
  </w:abstractNum>
  <w:abstractNum w:abstractNumId="10">
    <w:nsid w:val="189A769B"/>
    <w:multiLevelType w:val="hybridMultilevel"/>
    <w:lvl w:ilvl="0">
      <w:lvlJc w:val="left"/>
      <w:lvlText w:val="(%1)"/>
      <w:numFmt w:val="lowerLetter"/>
      <w:start w:val="11"/>
    </w:lvl>
  </w:abstractNum>
  <w:abstractNum w:abstractNumId="11">
    <w:nsid w:val="54E49EB4"/>
    <w:multiLevelType w:val="hybridMultilevel"/>
    <w:lvl w:ilvl="0">
      <w:lvlJc w:val="left"/>
      <w:lvlText w:val="(%1)"/>
      <w:numFmt w:val="lowerLetter"/>
      <w:start w:val="12"/>
    </w:lvl>
  </w:abstractNum>
  <w:abstractNum w:abstractNumId="12">
    <w:nsid w:val="71F32454"/>
    <w:multiLevelType w:val="hybridMultilevel"/>
    <w:lvl w:ilvl="0">
      <w:lvlJc w:val="left"/>
      <w:lvlText w:val="(%1)"/>
      <w:numFmt w:val="lowerLetter"/>
      <w:start w:val="13"/>
    </w:lvl>
  </w:abstractNum>
  <w:abstractNum w:abstractNumId="13">
    <w:nsid w:val="2CA88611"/>
    <w:multiLevelType w:val="hybridMultilevel"/>
    <w:lvl w:ilvl="0">
      <w:lvlJc w:val="left"/>
      <w:lvlText w:val="(%1)"/>
      <w:numFmt w:val="lowerLetter"/>
      <w:start w:val="14"/>
    </w:lvl>
  </w:abstractNum>
  <w:abstractNum w:abstractNumId="14">
    <w:nsid w:val="836C40E"/>
    <w:multiLevelType w:val="hybridMultilevel"/>
    <w:lvl w:ilvl="0">
      <w:lvlJc w:val="left"/>
      <w:lvlText w:val="(%1)"/>
      <w:numFmt w:val="lowerLetter"/>
      <w:start w:val="15"/>
    </w:lvl>
  </w:abstractNum>
  <w:abstractNum w:abstractNumId="15">
    <w:nsid w:val="2901D82"/>
    <w:multiLevelType w:val="hybridMultilevel"/>
    <w:lvl w:ilvl="0">
      <w:lvlJc w:val="left"/>
      <w:lvlText w:val="(%1)"/>
      <w:numFmt w:val="lowerLetter"/>
      <w:start w:val="16"/>
    </w:lvl>
  </w:abstractNum>
  <w:abstractNum w:abstractNumId="16">
    <w:nsid w:val="3A95F874"/>
    <w:multiLevelType w:val="hybridMultilevel"/>
    <w:lvl w:ilvl="0">
      <w:lvlJc w:val="left"/>
      <w:lvlText w:val="(%1)"/>
      <w:numFmt w:val="lowerLetter"/>
      <w:start w:val="17"/>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3"/>
    </w:lvl>
  </w:abstractNum>
  <w:abstractNum w:abstractNumId="19">
    <w:nsid w:val="7C3DBD3D"/>
    <w:multiLevelType w:val="hybridMultilevel"/>
    <w:lvl w:ilvl="0">
      <w:lvlJc w:val="left"/>
      <w:lvlText w:val="(%1)"/>
      <w:numFmt w:val="decimal"/>
      <w:start w:val="4"/>
    </w:lvl>
  </w:abstractNum>
  <w:abstractNum w:abstractNumId="20">
    <w:nsid w:val="737B8DDC"/>
    <w:multiLevelType w:val="hybridMultilevel"/>
    <w:lvl w:ilvl="0">
      <w:lvlJc w:val="left"/>
      <w:lvlText w:val="(%1)"/>
      <w:numFmt w:val="decimal"/>
      <w:start w:val="5"/>
    </w:lvl>
  </w:abstractNum>
  <w:abstractNum w:abstractNumId="21">
    <w:nsid w:val="6CEAF087"/>
    <w:multiLevelType w:val="hybridMultilevel"/>
    <w:lvl w:ilvl="0">
      <w:lvlJc w:val="left"/>
      <w:lvlText w:val="(%1)"/>
      <w:numFmt w:val="decimal"/>
      <w:start w:val="6"/>
    </w:lvl>
  </w:abstractNum>
  <w:abstractNum w:abstractNumId="22">
    <w:nsid w:val="22221A70"/>
    <w:multiLevelType w:val="hybridMultilevel"/>
    <w:lvl w:ilvl="0">
      <w:lvlJc w:val="left"/>
      <w:lvlText w:val="(%1)"/>
      <w:numFmt w:val="decimal"/>
      <w:start w:val="7"/>
    </w:lvl>
  </w:abstractNum>
  <w:abstractNum w:abstractNumId="23">
    <w:nsid w:val="4516DDE9"/>
    <w:multiLevelType w:val="hybridMultilevel"/>
    <w:lvl w:ilvl="0">
      <w:lvlJc w:val="left"/>
      <w:lvlText w:val="(%1)"/>
      <w:numFmt w:val="decimal"/>
      <w:start w:val="8"/>
    </w:lvl>
  </w:abstractNum>
  <w:abstractNum w:abstractNumId="24">
    <w:nsid w:val="3006C83E"/>
    <w:multiLevelType w:val="hybridMultilevel"/>
    <w:lvl w:ilvl="0">
      <w:lvlJc w:val="left"/>
      <w:lvlText w:val="(%1)"/>
      <w:numFmt w:val="decimal"/>
      <w:start w:val="9"/>
    </w:lvl>
  </w:abstractNum>
  <w:abstractNum w:abstractNumId="25">
    <w:nsid w:val="614FD4A1"/>
    <w:multiLevelType w:val="hybridMultilevel"/>
    <w:lvl w:ilvl="0">
      <w:lvlJc w:val="left"/>
      <w:lvlText w:val="(%1)"/>
      <w:numFmt w:val="lowerLetter"/>
      <w:start w:val="2"/>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decimal"/>
      <w:start w:val="3"/>
    </w:lvl>
  </w:abstractNum>
  <w:abstractNum w:abstractNumId="32">
    <w:nsid w:val="7724C67E"/>
    <w:multiLevelType w:val="hybridMultilevel"/>
    <w:lvl w:ilvl="0">
      <w:lvlJc w:val="left"/>
      <w:lvlText w:val="%1)"/>
      <w:numFmt w:val="lowerLetter"/>
      <w:start w:val="1"/>
    </w:lvl>
    <w:lvl w:ilvl="1">
      <w:lvlJc w:val="left"/>
      <w:lvlText w:val="%2)"/>
      <w:numFmt w:val="lowerRoman"/>
      <w:start w:val="1"/>
    </w:lvl>
  </w:abstractNum>
  <w:abstractNum w:abstractNumId="33">
    <w:nsid w:val="5C482A97"/>
    <w:multiLevelType w:val="hybridMultilevel"/>
    <w:lvl w:ilvl="0">
      <w:lvlJc w:val="left"/>
      <w:lvlText w:val="%1)"/>
      <w:numFmt w:val="lowerLetter"/>
      <w:start w:val="3"/>
    </w:lvl>
  </w:abstractNum>
  <w:abstractNum w:abstractNumId="34">
    <w:nsid w:val="2463B9EA"/>
    <w:multiLevelType w:val="hybridMultilevel"/>
    <w:lvl w:ilvl="0">
      <w:lvlJc w:val="left"/>
      <w:lvlText w:val="%1."/>
      <w:numFmt w:val="decimal"/>
      <w:start w:val="4"/>
    </w:lvl>
  </w:abstractNum>
  <w:abstractNum w:abstractNumId="35">
    <w:nsid w:val="5E884ADC"/>
    <w:multiLevelType w:val="hybridMultilevel"/>
    <w:lvl w:ilvl="0">
      <w:lvlJc w:val="left"/>
      <w:lvlText w:val="%1)"/>
      <w:numFmt w:val="lowerLetter"/>
      <w:start w:val="1"/>
    </w:lvl>
    <w:lvl w:ilvl="1">
      <w:lvlJc w:val="left"/>
      <w:lvlText w:val="%2)"/>
      <w:numFmt w:val="lowerRoman"/>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2"/>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6"/>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2019-12-20T00:57:25Z</dcterms:created>
  <dcterms:modified xsi:type="dcterms:W3CDTF">2019-12-20T00:57:25Z</dcterms:modified>
</cp:coreProperties>
</file>