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37"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jc w:val="center"/>
        <w:ind w:right="-399"/>
        <w:spacing w:after="0" w:line="235" w:lineRule="auto"/>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January 15, 2009</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341" w:right="63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41"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00" w:space="720"/>
            <w:col w:w="3000"/>
          </w:cols>
          <w:pgMar w:left="240" w:top="341"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100" w:firstLine="8"/>
        <w:spacing w:after="0" w:line="25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15, 2009, Sheri A. Knight, Senior Vice President, Finance, Corporate Controller and Chief Accounting Officer, resigned from Casual Male Retail Group, Inc. (the “Company”). Ms. Knight has agreed, however, to continue in her role with the Company in order to effectuate a smooth transition to a successor who has not yet been identified. Ms. Knight’s resignation was due to personal reasons and not the result of any disagreement with the Company or any of its officers or directors.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22, 2009</w:t>
      </w:r>
    </w:p>
    <w:sectPr>
      <w:pgSz w:w="11900" w:h="16838" w:orient="portrait"/>
      <w:cols w:equalWidth="0" w:num="1">
        <w:col w:w="10980"/>
      </w:cols>
      <w:pgMar w:left="240" w:top="2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2019-12-10T07:18:27Z</dcterms:created>
  <dcterms:modified xsi:type="dcterms:W3CDTF">2019-12-10T07:18:27Z</dcterms:modified>
</cp:coreProperties>
</file>