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ind w:left="1560"/>
        <w:spacing w:after="0"/>
        <w:rPr>
          <w:sz w:val="20"/>
          <w:szCs w:val="20"/>
          <w:color w:val="auto"/>
        </w:rPr>
      </w:pPr>
      <w:r>
        <w:rPr>
          <w:rFonts w:ascii="Courier New" w:cs="Courier New" w:eastAsia="Courier New" w:hAnsi="Courier New"/>
          <w:sz w:val="14"/>
          <w:szCs w:val="14"/>
          <w:color w:val="auto"/>
        </w:rPr>
        <w:t>ANNUAL REPORT PURSUANT TO SECTION 13 OR 15(d)</w:t>
      </w:r>
    </w:p>
    <w:p>
      <w:pPr>
        <w:spacing w:after="0" w:line="7"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OF THE SECURITIES EXCHANGE ACT OF 1934</w:t>
      </w:r>
    </w:p>
    <w:p>
      <w:pPr>
        <w:sectPr>
          <w:pgSz w:w="11900" w:h="16838" w:orient="portrait"/>
          <w:cols w:equalWidth="0" w:num="1">
            <w:col w:w="10239"/>
          </w:cols>
          <w:pgMar w:left="220" w:top="230" w:right="1440" w:bottom="0" w:gutter="0" w:footer="0" w:header="0"/>
        </w:sectPr>
      </w:pPr>
    </w:p>
    <w:p>
      <w:pPr>
        <w:spacing w:after="0" w:line="173" w:lineRule="exact"/>
        <w:rPr>
          <w:sz w:val="24"/>
          <w:szCs w:val="24"/>
          <w:color w:val="auto"/>
        </w:rPr>
      </w:pPr>
    </w:p>
    <w:p>
      <w:pPr>
        <w:ind w:right="820" w:firstLine="172"/>
        <w:spacing w:after="0" w:line="255" w:lineRule="auto"/>
        <w:rPr>
          <w:sz w:val="20"/>
          <w:szCs w:val="20"/>
          <w:color w:val="auto"/>
        </w:rPr>
      </w:pPr>
      <w:r>
        <w:rPr>
          <w:rFonts w:ascii="Courier New" w:cs="Courier New" w:eastAsia="Courier New" w:hAnsi="Courier New"/>
          <w:sz w:val="14"/>
          <w:szCs w:val="14"/>
          <w:color w:val="auto"/>
        </w:rPr>
        <w:t>For the fiscal year ended February 2, 2002 (Fiscal 2002)</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 0-15898</w:t>
      </w:r>
    </w:p>
    <w:p>
      <w:pPr>
        <w:spacing w:after="0" w:line="338" w:lineRule="exact"/>
        <w:rPr>
          <w:sz w:val="24"/>
          <w:szCs w:val="24"/>
          <w:color w:val="auto"/>
        </w:rPr>
      </w:pPr>
    </w:p>
    <w:p>
      <w:pPr>
        <w:sectPr>
          <w:pgSz w:w="11900" w:h="16838" w:orient="portrait"/>
          <w:cols w:equalWidth="0" w:num="2">
            <w:col w:w="3420" w:space="720"/>
            <w:col w:w="6099"/>
          </w:cols>
          <w:pgMar w:left="220" w:top="230" w:right="1440" w:bottom="0" w:gutter="0" w:footer="0" w:header="0"/>
          <w:type w:val="continuous"/>
        </w:sectPr>
      </w:pPr>
    </w:p>
    <w:p>
      <w:pPr>
        <w:jc w:val="center"/>
        <w:ind w:right="3239"/>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0" w:gutter="0" w:footer="0" w:header="0"/>
          <w:type w:val="continuous"/>
        </w:sectPr>
      </w:pPr>
    </w:p>
    <w:p>
      <w:pPr>
        <w:spacing w:after="0" w:line="173"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incorporation of principal executive offices)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04-2623104</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(IRS Employer Identification No.)</w:t>
      </w:r>
    </w:p>
    <w:p>
      <w:pPr>
        <w:spacing w:after="0" w:line="338" w:lineRule="exact"/>
        <w:rPr>
          <w:sz w:val="24"/>
          <w:szCs w:val="24"/>
          <w:color w:val="auto"/>
        </w:rPr>
      </w:pPr>
    </w:p>
    <w:p>
      <w:pPr>
        <w:sectPr>
          <w:pgSz w:w="11900" w:h="16838" w:orient="portrait"/>
          <w:cols w:equalWidth="0" w:num="2">
            <w:col w:w="3880" w:space="180"/>
            <w:col w:w="6179"/>
          </w:cols>
          <w:pgMar w:left="220" w:top="230" w:right="1440" w:bottom="0" w:gutter="0" w:footer="0" w:header="0"/>
          <w:type w:val="continuous"/>
        </w:sectPr>
      </w:pPr>
    </w:p>
    <w:p>
      <w:pPr>
        <w:jc w:val="center"/>
        <w:ind w:right="1680"/>
        <w:spacing w:after="0"/>
        <w:rPr>
          <w:sz w:val="20"/>
          <w:szCs w:val="20"/>
          <w:color w:val="auto"/>
        </w:rPr>
      </w:pPr>
      <w:r>
        <w:rPr>
          <w:rFonts w:ascii="Courier New" w:cs="Courier New" w:eastAsia="Courier New" w:hAnsi="Courier New"/>
          <w:sz w:val="14"/>
          <w:szCs w:val="14"/>
          <w:color w:val="auto"/>
        </w:rPr>
        <w:t>66 B Street, Needham, MA</w:t>
      </w:r>
    </w:p>
    <w:p>
      <w:pPr>
        <w:spacing w:after="0" w:line="7" w:lineRule="exact"/>
        <w:rPr>
          <w:sz w:val="24"/>
          <w:szCs w:val="24"/>
          <w:color w:val="auto"/>
        </w:rPr>
      </w:pPr>
    </w:p>
    <w:p>
      <w:pPr>
        <w:jc w:val="center"/>
        <w:ind w:right="168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4"/>
          <w:szCs w:val="14"/>
          <w:color w:val="auto"/>
        </w:rPr>
        <w:t>02494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4"/>
          <w:szCs w:val="24"/>
          <w:color w:val="auto"/>
        </w:rPr>
      </w:pPr>
    </w:p>
    <w:p>
      <w:pPr>
        <w:sectPr>
          <w:pgSz w:w="11900" w:h="16838" w:orient="portrait"/>
          <w:cols w:equalWidth="0" w:num="2">
            <w:col w:w="5140" w:space="720"/>
            <w:col w:w="4379"/>
          </w:cols>
          <w:pgMar w:left="220" w:top="230" w:right="1440" w:bottom="0" w:gutter="0" w:footer="0" w:header="0"/>
          <w:type w:val="continuous"/>
        </w:sectPr>
      </w:pPr>
    </w:p>
    <w:p>
      <w:pPr>
        <w:jc w:val="center"/>
        <w:ind w:right="3339"/>
        <w:spacing w:after="0"/>
        <w:rPr>
          <w:sz w:val="20"/>
          <w:szCs w:val="20"/>
          <w:color w:val="auto"/>
        </w:rPr>
      </w:pPr>
      <w:r>
        <w:rPr>
          <w:rFonts w:ascii="Courier New" w:cs="Courier New" w:eastAsia="Courier New" w:hAnsi="Courier New"/>
          <w:sz w:val="14"/>
          <w:szCs w:val="14"/>
          <w:color w:val="auto"/>
        </w:rPr>
        <w:t>(781) 444-7222</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Securities registered pursuant to Section 12(b) of the Act: None</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Common Stock, $0.01 par value</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(Title of each Class)</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65" w:lineRule="exact"/>
        <w:rPr>
          <w:sz w:val="24"/>
          <w:szCs w:val="24"/>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ectPr>
          <w:pgSz w:w="11900" w:h="16838" w:orient="portrait"/>
          <w:cols w:equalWidth="0" w:num="1">
            <w:col w:w="10239"/>
          </w:cols>
          <w:pgMar w:left="220" w:top="230" w:right="1440" w:bottom="0" w:gutter="0" w:footer="0" w:header="0"/>
          <w:type w:val="continuous"/>
        </w:sectPr>
      </w:pPr>
    </w:p>
    <w:p>
      <w:pPr>
        <w:spacing w:after="0" w:line="165"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aggregate market value of the voting stock of the registrant held by non-affiliates of the registrant, based on the last sales price of such stock on April 8, 2002, was approximately $44.4 million.</w:t>
      </w:r>
    </w:p>
    <w:p>
      <w:pPr>
        <w:spacing w:after="0" w:line="163" w:lineRule="exact"/>
        <w:rPr>
          <w:sz w:val="24"/>
          <w:szCs w:val="24"/>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The registrant had 14,567,886 shares of Common Stock, $0.01 par value, outstanding as of April 8, 2002.</w:t>
      </w:r>
    </w:p>
    <w:p>
      <w:pPr>
        <w:spacing w:after="0" w:line="160"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5260" w:type="dxa"/>
            <w:vAlign w:val="bottom"/>
          </w:tcPr>
          <w:p>
            <w:pPr>
              <w:jc w:val="center"/>
              <w:spacing w:after="0"/>
              <w:rPr>
                <w:sz w:val="20"/>
                <w:szCs w:val="20"/>
                <w:color w:val="auto"/>
              </w:rPr>
            </w:pPr>
            <w:r>
              <w:rPr>
                <w:rFonts w:ascii="Courier New" w:cs="Courier New" w:eastAsia="Courier New" w:hAnsi="Courier New"/>
                <w:sz w:val="14"/>
                <w:szCs w:val="14"/>
                <w:color w:val="auto"/>
              </w:rPr>
              <w:t>DESIGNS, INC.</w:t>
            </w:r>
          </w:p>
        </w:tc>
        <w:tc>
          <w:tcPr>
            <w:tcW w:w="44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526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331"/>
        </w:trPr>
        <w:tc>
          <w:tcPr>
            <w:tcW w:w="86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Courier New" w:cs="Courier New" w:eastAsia="Courier New" w:hAnsi="Courier New"/>
                <w:sz w:val="14"/>
                <w:szCs w:val="14"/>
                <w:color w:val="auto"/>
              </w:rPr>
              <w:t>Index to Annual Report on Form 10-K</w:t>
            </w:r>
          </w:p>
        </w:tc>
        <w:tc>
          <w:tcPr>
            <w:tcW w:w="440" w:type="dxa"/>
            <w:vAlign w:val="bottom"/>
          </w:tcPr>
          <w:p>
            <w:pPr>
              <w:spacing w:after="0"/>
              <w:rPr>
                <w:sz w:val="24"/>
                <w:szCs w:val="24"/>
                <w:color w:val="auto"/>
              </w:rPr>
            </w:pPr>
          </w:p>
        </w:tc>
      </w:tr>
      <w:tr>
        <w:trPr>
          <w:trHeight w:val="166"/>
        </w:trPr>
        <w:tc>
          <w:tcPr>
            <w:tcW w:w="860" w:type="dxa"/>
            <w:vAlign w:val="bottom"/>
          </w:tcPr>
          <w:p>
            <w:pPr>
              <w:spacing w:after="0"/>
              <w:rPr>
                <w:sz w:val="14"/>
                <w:szCs w:val="14"/>
                <w:color w:val="auto"/>
              </w:rPr>
            </w:pPr>
          </w:p>
        </w:tc>
        <w:tc>
          <w:tcPr>
            <w:tcW w:w="5260" w:type="dxa"/>
            <w:vAlign w:val="bottom"/>
          </w:tcPr>
          <w:p>
            <w:pPr>
              <w:jc w:val="center"/>
              <w:spacing w:after="0"/>
              <w:rPr>
                <w:sz w:val="20"/>
                <w:szCs w:val="20"/>
                <w:color w:val="auto"/>
              </w:rPr>
            </w:pPr>
            <w:r>
              <w:rPr>
                <w:rFonts w:ascii="Courier New" w:cs="Courier New" w:eastAsia="Courier New" w:hAnsi="Courier New"/>
                <w:sz w:val="14"/>
                <w:szCs w:val="14"/>
                <w:color w:val="auto"/>
              </w:rPr>
              <w:t>Year Ended February 2, 2002</w:t>
            </w:r>
          </w:p>
        </w:tc>
        <w:tc>
          <w:tcPr>
            <w:tcW w:w="440" w:type="dxa"/>
            <w:vAlign w:val="bottom"/>
          </w:tcPr>
          <w:p>
            <w:pPr>
              <w:spacing w:after="0"/>
              <w:rPr>
                <w:sz w:val="14"/>
                <w:szCs w:val="14"/>
                <w:color w:val="auto"/>
              </w:rPr>
            </w:pPr>
          </w:p>
        </w:tc>
      </w:tr>
      <w:tr>
        <w:trPr>
          <w:trHeight w:val="497"/>
        </w:trPr>
        <w:tc>
          <w:tcPr>
            <w:tcW w:w="860" w:type="dxa"/>
            <w:vAlign w:val="bottom"/>
          </w:tcPr>
          <w:p>
            <w:pPr>
              <w:spacing w:after="0"/>
              <w:rPr>
                <w:sz w:val="20"/>
                <w:szCs w:val="20"/>
                <w:color w:val="auto"/>
              </w:rPr>
            </w:pPr>
            <w:r>
              <w:rPr>
                <w:rFonts w:ascii="Courier New" w:cs="Courier New" w:eastAsia="Courier New" w:hAnsi="Courier New"/>
                <w:sz w:val="14"/>
                <w:szCs w:val="14"/>
                <w:color w:val="auto"/>
              </w:rPr>
              <w:t>PART I</w:t>
            </w:r>
          </w:p>
        </w:tc>
        <w:tc>
          <w:tcPr>
            <w:tcW w:w="52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Business .................................................</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Properties ...............................................</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Legal Proceedings ........................................</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Submission of Matters to a Vote of Security Holders ......</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PART II</w:t>
            </w:r>
          </w:p>
        </w:tc>
        <w:tc>
          <w:tcPr>
            <w:tcW w:w="5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Market for Registrant's Common Equity and Related</w:t>
            </w:r>
          </w:p>
        </w:tc>
        <w:tc>
          <w:tcPr>
            <w:tcW w:w="440" w:type="dxa"/>
            <w:vAlign w:val="bottom"/>
          </w:tcPr>
          <w:p>
            <w:pPr>
              <w:spacing w:after="0"/>
              <w:rPr>
                <w:sz w:val="24"/>
                <w:szCs w:val="24"/>
                <w:color w:val="auto"/>
              </w:rPr>
            </w:pPr>
          </w:p>
        </w:tc>
      </w:tr>
      <w:tr>
        <w:trPr>
          <w:trHeight w:val="166"/>
        </w:trPr>
        <w:tc>
          <w:tcPr>
            <w:tcW w:w="860" w:type="dxa"/>
            <w:vAlign w:val="bottom"/>
          </w:tcPr>
          <w:p>
            <w:pPr>
              <w:spacing w:after="0"/>
              <w:rPr>
                <w:sz w:val="14"/>
                <w:szCs w:val="14"/>
                <w:color w:val="auto"/>
              </w:rPr>
            </w:pPr>
          </w:p>
        </w:tc>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Stockholder Matters ......................................</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Selected Financial Data ..................................</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Management's Discussion and Analysis of</w:t>
            </w:r>
          </w:p>
        </w:tc>
        <w:tc>
          <w:tcPr>
            <w:tcW w:w="440" w:type="dxa"/>
            <w:vAlign w:val="bottom"/>
          </w:tcPr>
          <w:p>
            <w:pPr>
              <w:spacing w:after="0"/>
              <w:rPr>
                <w:sz w:val="24"/>
                <w:szCs w:val="24"/>
                <w:color w:val="auto"/>
              </w:rPr>
            </w:pPr>
          </w:p>
        </w:tc>
      </w:tr>
      <w:tr>
        <w:trPr>
          <w:trHeight w:val="166"/>
        </w:trPr>
        <w:tc>
          <w:tcPr>
            <w:tcW w:w="860" w:type="dxa"/>
            <w:vAlign w:val="bottom"/>
          </w:tcPr>
          <w:p>
            <w:pPr>
              <w:spacing w:after="0"/>
              <w:rPr>
                <w:sz w:val="14"/>
                <w:szCs w:val="14"/>
                <w:color w:val="auto"/>
              </w:rPr>
            </w:pPr>
          </w:p>
        </w:tc>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Financial Condition and Results of Operations ............</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7A.</w:t>
            </w:r>
          </w:p>
        </w:tc>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Quantitative and Qualitative Disclosures About Market Risk</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Financial Statements and Supplementary Data ..............</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9.</w:t>
            </w:r>
          </w:p>
        </w:tc>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Changes in and Disagreements with Accountants</w:t>
            </w:r>
          </w:p>
        </w:tc>
        <w:tc>
          <w:tcPr>
            <w:tcW w:w="440" w:type="dxa"/>
            <w:vAlign w:val="bottom"/>
          </w:tcPr>
          <w:p>
            <w:pPr>
              <w:spacing w:after="0"/>
              <w:rPr>
                <w:sz w:val="24"/>
                <w:szCs w:val="24"/>
                <w:color w:val="auto"/>
              </w:rPr>
            </w:pPr>
          </w:p>
        </w:tc>
      </w:tr>
      <w:tr>
        <w:trPr>
          <w:trHeight w:val="166"/>
        </w:trPr>
        <w:tc>
          <w:tcPr>
            <w:tcW w:w="860" w:type="dxa"/>
            <w:vAlign w:val="bottom"/>
          </w:tcPr>
          <w:p>
            <w:pPr>
              <w:spacing w:after="0"/>
              <w:rPr>
                <w:sz w:val="14"/>
                <w:szCs w:val="14"/>
                <w:color w:val="auto"/>
              </w:rPr>
            </w:pPr>
          </w:p>
        </w:tc>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on Accounting and Financial Disclosure ...................</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PART III</w:t>
            </w:r>
          </w:p>
        </w:tc>
        <w:tc>
          <w:tcPr>
            <w:tcW w:w="5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5260" w:type="dxa"/>
            <w:vAlign w:val="bottom"/>
          </w:tcPr>
          <w:p>
            <w:pPr>
              <w:ind w:left="180"/>
              <w:spacing w:after="0"/>
              <w:rPr>
                <w:sz w:val="20"/>
                <w:szCs w:val="20"/>
                <w:color w:val="auto"/>
              </w:rPr>
            </w:pPr>
            <w:r>
              <w:rPr>
                <w:rFonts w:ascii="Courier New" w:cs="Courier New" w:eastAsia="Courier New" w:hAnsi="Courier New"/>
                <w:sz w:val="14"/>
                <w:szCs w:val="14"/>
                <w:color w:val="auto"/>
              </w:rPr>
              <w:t>Directors and Executive Officers of the Registrant .......</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w:t>
            </w:r>
          </w:p>
        </w:tc>
      </w:tr>
    </w:tbl>
    <w:p>
      <w:pPr>
        <w:sectPr>
          <w:pgSz w:w="11900" w:h="16838" w:orient="portrait"/>
          <w:cols w:equalWidth="0" w:num="1">
            <w:col w:w="10239"/>
          </w:cols>
          <w:pgMar w:left="220" w:top="230"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Executive Compensation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Security Ownership of Certain Beneficial Owners</w:t>
            </w:r>
          </w:p>
        </w:tc>
        <w:tc>
          <w:tcPr>
            <w:tcW w:w="300" w:type="dxa"/>
            <w:vAlign w:val="bottom"/>
          </w:tcPr>
          <w:p>
            <w:pPr>
              <w:spacing w:after="0"/>
              <w:rPr>
                <w:sz w:val="24"/>
                <w:szCs w:val="24"/>
                <w:color w:val="auto"/>
              </w:rPr>
            </w:pPr>
          </w:p>
        </w:tc>
      </w:tr>
      <w:tr>
        <w:trPr>
          <w:trHeight w:val="166"/>
        </w:trPr>
        <w:tc>
          <w:tcPr>
            <w:tcW w:w="860" w:type="dxa"/>
            <w:vAlign w:val="bottom"/>
          </w:tcPr>
          <w:p>
            <w:pPr>
              <w:spacing w:after="0"/>
              <w:rPr>
                <w:sz w:val="14"/>
                <w:szCs w:val="14"/>
                <w:color w:val="auto"/>
              </w:rPr>
            </w:pPr>
          </w:p>
        </w:tc>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and Management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Certain Relationships and Related Transactions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PART IV</w:t>
            </w:r>
          </w:p>
        </w:tc>
        <w:tc>
          <w:tcPr>
            <w:tcW w:w="5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Exhibits, Financial Statement Schedules, and</w:t>
            </w:r>
          </w:p>
        </w:tc>
        <w:tc>
          <w:tcPr>
            <w:tcW w:w="300" w:type="dxa"/>
            <w:vAlign w:val="bottom"/>
          </w:tcPr>
          <w:p>
            <w:pPr>
              <w:spacing w:after="0"/>
              <w:rPr>
                <w:sz w:val="24"/>
                <w:szCs w:val="24"/>
                <w:color w:val="auto"/>
              </w:rPr>
            </w:pPr>
          </w:p>
        </w:tc>
      </w:tr>
      <w:tr>
        <w:trPr>
          <w:trHeight w:val="166"/>
        </w:trPr>
        <w:tc>
          <w:tcPr>
            <w:tcW w:w="860" w:type="dxa"/>
            <w:vAlign w:val="bottom"/>
          </w:tcPr>
          <w:p>
            <w:pPr>
              <w:spacing w:after="0"/>
              <w:rPr>
                <w:sz w:val="14"/>
                <w:szCs w:val="14"/>
                <w:color w:val="auto"/>
              </w:rPr>
            </w:pPr>
          </w:p>
        </w:tc>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Reports on Form 8-K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497"/>
        </w:trPr>
        <w:tc>
          <w:tcPr>
            <w:tcW w:w="860" w:type="dxa"/>
            <w:vAlign w:val="bottom"/>
          </w:tcPr>
          <w:p>
            <w:pPr>
              <w:spacing w:after="0"/>
              <w:rPr>
                <w:sz w:val="24"/>
                <w:szCs w:val="24"/>
                <w:color w:val="auto"/>
              </w:rPr>
            </w:pPr>
          </w:p>
        </w:tc>
        <w:tc>
          <w:tcPr>
            <w:tcW w:w="5300" w:type="dxa"/>
            <w:vAlign w:val="bottom"/>
          </w:tcPr>
          <w:p>
            <w:pPr>
              <w:ind w:left="2500"/>
              <w:spacing w:after="0"/>
              <w:rPr>
                <w:sz w:val="20"/>
                <w:szCs w:val="20"/>
                <w:color w:val="auto"/>
              </w:rPr>
            </w:pPr>
            <w:r>
              <w:rPr>
                <w:rFonts w:ascii="Courier New" w:cs="Courier New" w:eastAsia="Courier New" w:hAnsi="Courier New"/>
                <w:sz w:val="14"/>
                <w:szCs w:val="14"/>
                <w:color w:val="auto"/>
              </w:rPr>
              <w:t>2</w:t>
            </w:r>
          </w:p>
        </w:tc>
        <w:tc>
          <w:tcPr>
            <w:tcW w:w="30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2" w:name="page3"/>
    <w:bookmarkEnd w:id="2"/>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Designs, Inc. (together with its subsidiaries, the "Company") is a retailer specializing in selling quality branded apparel and accessories in outlet malls throughout the eastern part of the United States and Puerto Rico. For over 25 years, through a license agreement with Levi Strauss &amp; Co., the Company has owned and operated retail outlet stores selling exclusively Levi's(R) branded merchandise. The Company is expanding upon its core competency of operating branded retail stores in factory outlet malls for branded manufacturers.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January 2002, the Company entered into a license agreement with Candie's, Inc. ("Candie's"), a publicly owned company and a leading designer and marketer of young women's footwear, apparel and accessories. Under this license agreement, the Company plans, over the next five years, to open and operate 75 Candies(R) branded retail stores in outlet malls and value centers throughout the United States. The Company plans to open 11 Candies(R) branded stores in outlet malls during the fiscal year ending February 1, 2003 ("fiscal 2003").</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Subsequent to the fiscal year ended February 2, 2002 ("fiscal 2002"), the Company announced that it had entered into a joint venture with EcKo Complex, LLC ("EcKo"), a privately held company and leading design-driven lifestyle brand targeting young men and women. EcKo has worldwide annual sales exceeding $200 million. Under this joint venture agreement, the Company will exclusively open and operate 75 EcKo(R) branded outlet stores throughout the United States over a six-year period. The basic terms of the joint venture agreement, which is the Company's preferred business structure with branded manufacturers, provides for sharing the operating profits where the Company will hold a 50.5% interest in the venture with the remaining 49.5% interest being held by EcKo. The agreement requires EcKo to contribute the inventory requirements for the retail stores and provide the branded trademarks and branded knowledge, and requires the Company to contribute its retail operational expertise and operating expenses for the retail stores. The Company plans to open 5 EcKo(R) branded outlet stores during fiscal 2003.</w:t>
      </w:r>
    </w:p>
    <w:p>
      <w:pPr>
        <w:spacing w:after="0" w:line="17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is continuing discussions with several other manufacturers as it strives to become a premier operator of branded retail outlet stores. The Company believes that manufacturers will find the Company as their logical solution for an outlet channel of distribution for their branded merchandise.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 Expansion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plan for fiscal 2003 is to open a total of 15 to 20 new outlet stores, 16 of which are scheduled to open in time for the important back-to-school selling season. The Company expects to open eleven new Candie's(R) junior footwear and apparel outlet stores by mid-year. Four of these stores will be built utilizing space from the Company's existing Levi's(R)/Dockers(R) stores which are located in outlet centers in New York, New England and Puerto Rico. Several of the Company's existing higher volume Levi's(R)/Dockers(R) outlet stores currently average 13,000 to 15,000 square feet which is more than the Company's ideal prototype store size of 9,000 square feet. By utilizing this excess space for the new Candie's(R) outlet stores, the Company can leverage expenses while increasing profitability. The remaining seven Candie's(R) outlet stores to be open will include five in California, one in Las Vegas, Nevada and one in Miami, Florida.</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plans to open its first EcKo(R) outlet stores by the back-to-school season, of which two stores will be built utilizing space in existing Levi's(R)/Dockers(R) stores. Other new store locations may be planned for other branded manufacturers with which the Company is having discussions regarding potential joint venture arrangements, similar to the arrangement with EcKo.</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 w:name="page4"/>
    <w:bookmarkEnd w:id="3"/>
    <w:p>
      <w:pPr>
        <w:ind w:right="3419"/>
        <w:spacing w:after="0" w:line="252" w:lineRule="auto"/>
        <w:rPr>
          <w:sz w:val="20"/>
          <w:szCs w:val="20"/>
          <w:color w:val="auto"/>
        </w:rPr>
      </w:pPr>
      <w:r>
        <w:rPr>
          <w:rFonts w:ascii="Courier New" w:cs="Courier New" w:eastAsia="Courier New" w:hAnsi="Courier New"/>
          <w:sz w:val="14"/>
          <w:szCs w:val="14"/>
          <w:color w:val="auto"/>
        </w:rPr>
        <w:t>Capital expenditures for fiscal 2003 are expected to be approximately $4.0 million, of which $2.5 million relates to the expansion plan discussed above. This amount is net of committed landlord allowances that the Company expects to receive.</w:t>
      </w:r>
    </w:p>
    <w:p>
      <w:pPr>
        <w:spacing w:after="0" w:line="16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continually evaluates the performance of its stores and may, from time to time, decide to close or reduce the size of or remodel certain store locations.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History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which started in 1977 and subsequently went public in 1987, operated exclusively Levi Strauss &amp; Co. branded outlet and full retail priced mall-based stores until fiscal 1996. In fiscal 1996, the Company embarked on a private label diversification strategy, acquiring the Boston Traders(R) brand and 33 existing Boston Traders(R) outlet stores. By fiscal 1997 the Company had abandoned its private label strategy and had begun to liquidate its private label merchandise and the Boston Traders(R) stores. The Company incurred approximately $85 million in operating losses during the fiscal years 1998, 1999 and 2000 as a result of this failed private label diversification strategy.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October 1999, the stockholders of the Company elected a new board of directors and then in April 2000 appointed a new Chairman of the Board in addition to a new Chief Executive Officer and President of the Company. The following September 2000 a new Chief Financial Officer was also hired. Under new management, the Company significantly reduced its selling, general and administrative expenses, reduced its inventory shrink rates from almost 4% to just over 2%, invested substantial amounts of capital in its inventory management systems, remodeled the Company's most profitable stores and renewed the Company's strategy of marketing and selling branded merchandise in the outlet mall arena, thereby expanding its retail presence. The Company has had significant improvement in EBITDA (earnings before interest, taxes, depreciation and amortization) since this management change.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Store Formats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fiscal 2002, the Company owned stores operating under the names, "Levi's(R) Outlet by Designs," "Dockers(R) Outlet by Designs," "Levi's(R)/Dockers(R) Outlet by Designs." In January 2002, in conjunction with the Company entering into a license agreement with Candie's, the Company also acquired an existing Candie's(R) Outlet store located in Wrentham, Massachusetts.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fiscal 2002, the Company continued to update its existing chain of stores to its updated store proto-type, the Levi's(R)/Dockers(R) Outlet by Designs store. The Company's preferred proto-type, which is generally 9,000 square feet, is a combined Dockers(R) Outlet store and Levi's(R) Outlet store that separately displays each brand in its own unique environment. This differs from the Company's older Levi's(R) Outlet store format, which averages 10,000 to 12,000 square feet and has no prominent marketing of the individual Levi's(R), Dockers(R) and Slates(R) brands. By updating the store fixtures and enhancing visual merchandising, the strong identity of each brand is maximized for the customer. The total average square footage of the chain has decreased to approximately 9,800 as the Company continues to open new stores and remodel its existing stores to the smaller, more profitable proto-type.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February 2, 2002, the Company operated 102 stores of which 48 are in the combined Levi's(R)/Dockers(R) Outlet by Designs format. The Company also operated 11 Dockers(R) Outlet stores, which sell exclusively Dockers(R) and Slates(R) brand products, and 13 Levi's(R) Outlet stores, which sell exclusively Levi's(R) brand products. At year end, the Company also owned one Candie's(R) Outlet store. The remaining 29 stores are the older Levi's(R) Outlet stores that carry a combination of Levi's(R), Dockers(R) and Slates(R) apparel. The Company plans to continue to update its store base, where feasible, by remodeling its remaining older stores to the combined format, relocating or closing stores and combining the individual Dockers(R) and Levi's(R) outlet stores. Several of the Company's smaller Dockers(R) and Levi's(R) only stores are located in the same outlet center and are adjacent to each other. Through fiscal 2002, the Company had combined six pairs of its standalone Dockers(R) and Levi's(R) outlet stores that were located in the same mall into combined Levi's(R)/Dockers(R) Outlet stores.</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Customer Base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Levi's(R) and Dockers(R) Outlet stores continue to attract the loyal Levi's(R), Dockers(R) and Slates(R) brand customers as well as foreign travelers looking for these well-known brands. The product selection offered in these stores is designed to satisfy the casual apparel needs of customers in all groups and income brackets.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Candie's(R) brand, consisting of fashion and casual footwear, is designed primarily to attract women and girls aged 6 to 35. The brand is synonymous with young, fun and fashionable footwear marketed by innovative advertising and celebrity spokespersons. The Company believes that Candie's has developed its merchandise into a strong footwear brand appealing to women and girls in this generation "Y" demographic.</w:t>
      </w:r>
    </w:p>
    <w:p>
      <w:pPr>
        <w:spacing w:after="0" w:line="164"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The Company believes that its EcKo(R) Unltd. outlet stores will represent an opportunity in the outlet marketplace for the underdeveloped young men's and junior market. EcKo(R) is considered one of the few truly cross-over youth brands appealing to both the urban and suburban youth with a core customer between the ages of 14 to 24 years of age.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Merchandising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merchandising department is composed of buyers, merchandise buyers and merchandise allocators, all playing a key role in deciding the appropriate merchandise assortments to purchase in the stores, the appropriate timing and quantities for the stores, with adequate replenishment quantities for the stores in the warehouse, and in determining the appropriate quantities for each store after considering regional, demographic data, and historical patterns of each and every store. The Company has separate merchants for each of the brands that the Company sells. The Company believes that this is important as each brand has different merchandise characteristics and requires separate merchandise plans, distribution and allocation methodologies to maximize the respective brand's performance in the stores.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Levi's(R)/Dockers(R)/Slates(R) brands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offers an exclusive selection of Levi Strauss &amp; Co. brands of merchandise which include Levi's(R), Dockers(R) and Slates(R) brands. The Levi Strauss &amp; Co. brands target customers in all age groups and income levels. The Levi's(R) brand includes various men's, women's and kids' jeanswear products as well as an assortment of woven and knit tops and accessories. The Dockers(R) brand includes a broad range of casual pants and are complemented by a variety of tops and seasonal pant products in a range of fits, fabrics, colors and styles. The Dockers(R) brand is primarily targeted towards the casual workplace attire customer. The Slates(R) brand collection of pants, shirts, sweaters and outerwear combines contemporary styles with modern fabrics and colors. The Slates(R) brand for both men and women targets the 25- to 34-year old consumers' desire for a younger and more sophisticated casual look.</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Company's merchandise sales performance of its Levi's(R)/Dockers(R)stores is dependent upon the acceptance and growth of the Levi Strauss &amp; Co. brands of merchandise. Since 1996, Levi Strauss &amp; Co. sales have declined 35% from approximately $7.1 billion to $4.3 billion for that company's fiscal year ended November 25, 2001. The Levi Strauss &amp; Co. brands have significant competition across all brands. Private labels which include VF Corporation, marketer of the Lee, Wrangler, and Rustler brands; fashion labels including names such as Polo Ralph Lauren Corporation, Calvin Klein, Nautica Enterprises, Guess?, Inc. and Tommy Hilfiger Corp.; vertically integrated specialty stores such as Gap, Inc., Abercrombie &amp; Fitch, American Eagle Outfitters, Inc., J. Crew and Eddie Bauer, Inc.; lower-volume but high visibility fashion-forward jeanswear brands that appeal to the teenage market, including FUBU, JNCO, Lucky, MUDD and Diesel brands; casual wear manufacturers, including Haggar Corp., Liz Claiborne, Inc., and Savane International Corp.; retailer private labels including J.C. Penney's Arizona brand and Sears' Canyon River Blues and Canyon River Khakis brands; and mass merchandisers, including Wal-Mart Stores, Inc., Target and Kmart. Levi Strauss &amp; Co. has placed great emphasis on its business turnaround strategy through supply chain improvements, product improvements, product innovation, new marketing campaigns and improved retail presentation.</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5" w:name="page6"/>
    <w:bookmarkEnd w:id="5"/>
    <w:p>
      <w:pPr>
        <w:ind w:right="3339"/>
        <w:spacing w:after="0" w:line="251" w:lineRule="auto"/>
        <w:rPr>
          <w:sz w:val="20"/>
          <w:szCs w:val="20"/>
          <w:color w:val="auto"/>
        </w:rPr>
      </w:pPr>
      <w:r>
        <w:rPr>
          <w:rFonts w:ascii="Courier New" w:cs="Courier New" w:eastAsia="Courier New" w:hAnsi="Courier New"/>
          <w:sz w:val="14"/>
          <w:szCs w:val="14"/>
          <w:color w:val="auto"/>
        </w:rPr>
        <w:t>Through the Company's license agreement with Levi Strauss &amp; Co., merchandise product is made available to the Company throughout the year. The Company has worked closely with Levi Strauss &amp; Co. to make wider assortments of its brand offerings regularly available to the Company. The Company has historically purchased manufacturing overruns, discontinued lines and irregulars from Levi Strauss &amp; Co. at wholesale cost which has historically been much less than the wholesale cost of other merchandise purchases from Levi Strauss &amp; Co. The Company's gross margins have been influenced in part by the varying availability of this lower wholesale cost merchandise from Levi Strauss &amp; Co.</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Candies(R) brand</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Candie's(R) footwear features a variety of styles. The retail price of Candie's(R) footwear generally ranges from $30 - $80 for women's styles and $35</w:t>
      </w:r>
    </w:p>
    <w:p>
      <w:pPr>
        <w:spacing w:after="0" w:line="1" w:lineRule="exact"/>
        <w:rPr>
          <w:sz w:val="20"/>
          <w:szCs w:val="20"/>
          <w:color w:val="auto"/>
        </w:rPr>
      </w:pPr>
    </w:p>
    <w:p>
      <w:pPr>
        <w:ind w:right="3339" w:firstLine="8"/>
        <w:spacing w:after="0" w:line="251" w:lineRule="auto"/>
        <w:tabs>
          <w:tab w:leader="none" w:pos="172"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$50 for girls' styles. Four major and two interim times per year, as part of its Spring and Fall collections, 30 to 50 different styles are designed and marketed. Approximately one-third of Candie's(R) women's styles are "updates" of the their most popular styles from prior periods, which they consider their "core" products. Approximately three-quarters of the girls' styles are versions of the best selling women's styles and the remaining one-quarter are designed specifically for the girls' line.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Designers from Candie's analyze and interpret fashion trends and translate such trends into shoe styles consistent with the Candie's(R) image and price points. Fashion trend information is compiled by the Candie's design team through various methods, including travel to Europe and throughout the world to identify and confirm seasonal trends and shop relevant markets, utilization of outside fashion forecasting services and attendance at trade shows. Each season, subsequent to the final determination of that season's line by the design team and management (including colors, trim, fabrics, constructions and decorations), members of the Candie's design team will travel to their various manufacturers to oversee the production of the initial sample lines.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EcKo(R) brand</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Company's EcKo(R) Unltd. outlet stores will be geared towards the youth market offering men and women a broad selection of merchandise that identifies with everything from hip-hop to extreme sports, and street-wear to fraternity wear. EcKo's core menswear line consists of fleece, twill and denim bottoms, wovens, printed tee shirts, shirts, knits and sweaters.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operates two distribution centers, both located in Orlando, Florida, which it uses to regulate the flow of merchandise to its stores. The Company's distribution strategy is (1) to maintain warehouse facilities that regulate the flow of merchandise to the stores in order to facilitate improved store-level inventory management, and (2) to flow through (cross-dock) the higher volume product in order to maintain optimum inventory levels in the stores and maximize sales.</w:t>
      </w:r>
    </w:p>
    <w:p>
      <w:pPr>
        <w:spacing w:after="0" w:line="16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Prior to the Company opening its own distribution centers in fiscal 2001, much of the Company's merchandise was shipped directly to the stores, which resulted in an unbalance of merchandise throughout the chain.</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fiscal 2002, the Company partnered with United Parcel Services ("UPS") to improve upon its distribution methods and reduce shipping costs as a result of not having to use third party trucking companies. By utilizing UPS, the Company is able to track all deliveries from the warehouse to its individual stores and gives the Company the added visibility to the status of in-transit shipments.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Levi Strauss &amp; Co. Trademark License Agreement</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operates under a trademark license agreement with Levi Strauss &amp; Co., which was most recently amended in October 1998 (as amended, the "Levi Outlet License Agreement"). This Levi Outlet License Agreement authorizes the Company to use certain Levi Strauss &amp; Co. trademarks in connection with the operation of the Company's Levi's(R) Outlet by Designs and Dockers(R) Outlet by Designs stores in 25 states in the eastern portion of the United States and in Puerto Rico. Subject to certain default provisions, the term of the Levi Outlet License Agreement was extended to September 30, 2004, and the license for any particular store is the period co-terminous with the lease term for such store (including extension options). The Levi Outlet License Agreement provides that the Company has the opportunity to extend the term of the license associated with one or more of the Company's older Levi's(R) Outlet by Designs stores by either renovating the store or replacing the store with a new store that has updated format and fixturing. In order to extend the license associated with each of the Company's then 59 older outlet stores, the Company must, subject to certain grace periods, complete these renovations or the construction of replacement stores by December 31, 2004. Through the end of fiscal 2002, the Company had completed remodels and or relocations on 30 of the 59 older outlet stores. As leases expire, the Company may lose the right to use the Levi's(R) trademark in connection with certain Levi's(R) Outlet by Designs stores and Dockers(R) Outlet by Designs stores. At February 2, 2002, the average remaining lease term (including extension options) of the Company's Levi's(R) Outlet by Designs and Dockers(R) Outlet by Designs stores was approximately 8.3 years.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Candie's Trademark License Agreement</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January 2002, the Company entered into a similar trademark license agreement with Candie's, Inc., which authorizes the Company to use certain Candie's(R) trademarks in connection with the operation of the Company's Candie's(R) Outlet stores. The Candie's license agreement provides the Company with the exclusive right to open and operate Candie's(R) branded stores in outlet malls and value centers throughout the United States and Puerto Rico as long as the Company opens the requisite number of outlet stores per year, and reaches 75 outlet stores in five years. Generally, to maintain the exclusivity in the value centers, the Company must open approximately five stores per year. If the Company does not maintain the store opening schedule required in the license agreement, the Company may lose the right to operate the existing stores within an exclusive radius until the expiration of the term. The license agreement also establishes that product purchased from Candie's will be priced according to a cost-plus formula. Among other terms of the license agreement, the Company could source its own Candie's(R) merchandise product for the retail stores if Candie's or its licensees cannot supply the appropriate merchandise assortments or quantities, as deemed by the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Joint Venture Agreement with EcKo Complex, LLC</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Subsequent to fiscal 2002, the Company entered into a joint venture agreement in principle with EcKo Complex, LLC under which the Company, a 50.5% partner, would own and manage retail outlet stores bearing the name EcKo Unltd. and featuring EcKo(R) branded merchandise. EcKo, a 49.5% partner, will contribute to the joint venture the use of its trademark and the merchandise requirements, at cost, by the retail outlet stores. The Company will contribute all real estate and operating requirements of the retail outlet stores, including but not limited to, the real estate leases, payroll needs and advertising. Each partner will share in the operating profits of the joint venture, after each partner has received reimbursement for its cost contributions. Under the terms of the agreement, the Company must maintain a prescribed store opening schedule and open 75 stores over a six-year period in order to maintain the joint venture's exclusivity. At certain times during the term of the agreement, the Company may exercise a put option to sell its share of the retail joint venture, and EcKo has an option to acquire the Company's share of the retail joint venture at a price based on the performance of the retail outlet stores.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"Dockers(R)," "Levi's(R)" and "Slates(R)" are registered trademarks of Levi Strauss &amp; Co. "Candie's(R)" is a registered trademark of Candie's, Inc. "EcKo(R)" is a registered trademark of EcKo Complex, LLC.</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Store Operations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currently employs one Senior Vice President of Operations and one Director of Stores. In order to provide management development and guidance to individual store managers, the Company employs 13 district managers. Each district manager is responsible for hiring and developing store managers at the stores assigned to that district manager's area and for the sales and overall profitability of those stores. District managers report directly to the Director of Stores.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stores utilize interior design and merchandise layout plans designed by the Company's visual merchandising team which are specifically designed to promote customer identification as a specialty outlet store selling quality branded apparel and accessories. The merchandise layout is further customized by store management and the Company's visual merchandising department to suit each particular store location. The stores prominently display Levi's(R), Dockers(R), Slates(R) and Candie's(R) brand logos and utilize distinctive promotional displays. The Company uses Levi Strauss &amp; Co. logos and trademarks on store signs with the permission of Levi Strauss &amp; Co. and similarly uses Candie's Inc. logos and trademarks on store signs in its Candie's(R) Outlet stores.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fiscal 2001, in conjunction with the Company's initiatives to improve shrink and inventory management, the Company out-sourced its loss prevention department to LP Innovations, Inc., a leader in loss prevention management. By utilizing exception-based reporting software in addition to implementing stronger and more effective loss prevention controls, the Company has been able to reduce shrink from 4% to 2% over an approximate two year period.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Service &amp; Training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"Designs University" was established in fiscal 1996 to offer associate training and development programs throughout the organization. Sales associate expectations are established at all levels of training, beginning with the Sales Associate Development Program. This program introduces the associate to the Company's operational policies, product information and customer service objectives. Through this program, associates are taught that servicing the customer is the highest priority. Management believes that sales associates are trained towards accomplishing the goal of reinforcing the customer's perception of the Company's stores as branded specialty stores and of differentiating its stores from those of the Company's competitors.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All members of store management participate in the Store Management Development Program. Associates learn how to perform critical management functions required to successfully operate a store. The Store Management Development Program focuses on fundamental operational procedures, expense control and personnel management.</w:t>
      </w:r>
    </w:p>
    <w:p>
      <w:pPr>
        <w:spacing w:after="0" w:line="32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Each Levi's(R) Outlet by Designs and Dockers(R) Outlet by Designs store employs approximately 17 associates. The Company expects that each of the new Candie's(R) Outlet stores and EcKo(R) Unltd. Outlet stores will employ approximately 10 associates. Store staffing typically includes a store manager, one or more assistant managers and shift supervisors, and a team of full-time and part-time sales associates. Store manager candidates or assistant manager candidates may also be included on the team in specific stores. The store management team is responsible for all operational matters in the store, including the hiring and training of sales associates.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fiscal 2003, the Company is standardizing its store managerial functions and staffing requirements among stores, depending upon store size and sales volumes. The Company has established sales productivity goals among stores as well as scheduling sales staff based on the hourly sales volume at each store. As a result, the Company expects to see improvements in fiscal 2003 in its store labor productivity.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Management Information Systems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management information systems, located at both its corporate headquarters in Needham, Massachusetts and all of its retail stores, consist of a full range of retail merchandising and financial systems which include merchandise planning and reporting, distribution center processing, inventory allocation, in-store systems, sales reporting, and financial processing and reporting. The Company's primary business applications, JDA Merchandising Management Systems and Lawson Financial Systems, operate on an IBM AS/400 platform.</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 of the Company's stores have point-of-sale terminals supplied by IBM and supported by point-of-sale business application provided by CRS, that captures daily transaction information by item, color and size (SKU). The Company utilizes barcode technology in tracking sales, inventory and pricing information. Communication between the corporate office and all stores is facilitated on a daily basis through the use of an electronic mail system. The JDA Merchandising Management System is updated daily with all store transactions and provide daily sales, inventory, pricing and merchandise information and management reports in assisting the Company operate its retail business. Its merchandising system applications also facilitate the placement of purchase orders and their tracking, primarily through electronic data interchange (EDI). The Company evaluates this information, together with weekly reports on merchandise statistics, prior to making merchandising decisions regarding reorders of fast-selling items and the allocation of merchandise.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fiscal 2001, the Company purchased JDA Arthur, a planning and allocation system that should further enhance the Company's inventory management and visibility. The added inventory management applications were installed and implemented during fiscal 2002. In addition, the Company will be enhancing its warehouse management systems either through the further development of its existing system with JDA, or through the purchase of a warehouse management application from a third-party provider. These added applications should greatly enhance the Company's inventory management capabilities.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utilizes a client-server based network with mixed NT and Novell environment running on a local area network to communicate and work-share within its corporate headquarters. The Company also utilizes the services of ADP, an outside payroll processing provider, to prepare, distribute and report its weekly payroll.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relies on the visibility and recognition of the Levi's(R), Dockers(R) and Slates(R) and most recently the Candie's(R) brand names, as well as the natural flow of traffic that results from locating stores in areas of high retail activity including destination outlet centers and regional malls. The Levi Outlet License Agreement with Levi Strauss &amp; Co. limits the Company's advertising ability to billboards and specific outlet center promotions.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a complete visual merchandising program that, through the use of in-store signage, focuses on product knowledge and marketing of the individual Levi's(R), Dockers(R), Slates(R) and Candie's(R) brands and communicates its value to the customers. During fiscal 2002, the Company updated its visual marketing programs by redesigning its communication and education in-store signage for better guidance of the customers through the shopping experience. Also during fiscal 2002, the Company introduced a gift card program to its customers in which gift certificates issued in the form of credit cards are sold to customers for redemption at a later date. Balances and transaction information are stored electronically and communicated to the customers on their purchase receipts.</w:t>
      </w:r>
    </w:p>
    <w:p>
      <w:pPr>
        <w:spacing w:after="0" w:line="329"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 fiscal 2003, the Company intends to introduce a customer loyalty program under a similar concept, whereby frequent customers will be rewarded for their loyalty to Designs operated stores.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United States casual apparel market is highly competitive with many national and regional department stores, specialty apparel retailers and discount stores offering a broad range of apparel products similar to those sold by the Company. The Company considers any casual apparel manufacturer operating in outlet parks throughout the United States to be a competitor in the casual apparel market.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business involves the sale of branded apparel and accessories sold by or manufactured under license from Levi Strauss &amp; Co. Levi Strauss &amp; Co. is involved in the highly competitive fashion apparel industry. Levi's(R) brand jeans have been impacted by the increased competition from private labels as well as fashion jeans market entrants and by a decrease in national sales trends of Levi's(R) brand products.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Management believes that the Company competes with other apparel retailers by offering superior selection, quality merchandise, knowledgeable in-store service and competitive price points. The Company stresses product training with its sales staff and, with the assistance of merchandise materials from its manufacturers, it can provide its sales personnel with substantial product knowledge training across all product lines.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it relates to the Company's future Candie's(R) Outlet stores, the footwear industry is extremely competitive in the United States and has substantial competition in each of its product lines from, among other brands, Skechers, Steve Madden and Esprit. In general, competitive factors include quality, price, style, name recognition and service. The presence in the marketplace of various fashion trends and the limited availability of shelf space also can affect competition.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As of February 2, 2002, the Company employed approximately 1,500 associates, of whom 950 were full-time personnel. The Company hires additional temporary employees during the peak Fall and Holiday seasons.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 qualified full-time employees are entitled, when eligible, to life, medical, disability and dental insurance and to participate in the Company's 401(k) retirement savings plan. Store managers, district managers, and corporate office employees are eligible to receive incentive compensation subject to the achievement of specific performance objectives related to sales, profitability and expense control. District managers and certain corporate office employees are also entitled to use an automobile provided by the Company or to receive an automobile allowance. Sales personnel are compensated on an hourly basis and, generally, receive no commissions, but from time to time are eligible to earn sales incentive payments from individual store sales contests. District managers, store managers and certain corporate office employees have been granted stock options to purchase shares of the Company's common stock, par value $0.01 per share ("Common Stock"). None of the Company's employees are represented by any collective bargaining agreement.</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As of February 2, 2002, the Company operated 102 stores operating under the names Levi's(R)/Dockers(R) Outlet by Designs, Levi's(R) Outlet by Designs, Dockers(R) Outlets by Designs and its first Candie's(R) Outlet store. All of these stores are leased by the Company directly from outlet center owners. In the past two years, the Company has decreased the average square footage of the chain to approximately 9,800 as a result of opening new smaller size stores and remodeling some of its existing stores to a smaller, more profitable prototype. The store leases are generally five years in length and contain renewal options extending their terms to between 10 and 15 years. Most of the Company's outlet store leases provide for annual rent based on a percentage of store sales, subject to guaranteed minimum amounts.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Sites for store expansion are selected on the basis of several factors intended to maximize the exposure of each store to the Company's target customers. These factors include the demographic profile of the area in which the site is located, the types of stores and other retailers in the area, the location of the store within the center and the attractiveness of the store layout. The Company also utilizes financial models to project the profitability of each location using assumptions such as the center's sales per square foot averages, estimated occupancy costs and return on investment requirements. The Company believes that its selection of locations enables the Company's stores to attract customers from the general shopping traffic and to generate its own customers from surrounding areas.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lease for the Company's headquarters office, at 66 B Street, Needham Massachusetts, which began in November 1995, is for a period of ten years. The lease provides for the Company to pay all occupancy costs associated with the land and the 80,000 square foot building. Beginning in fiscal 1998, the Company began subleasing excess office space as a result of its downsizing. As of February 2, 2002, the Company had two subtenants that collectively lease approximately 29,800 of the 80,000 square feet. These leases are for five-year terms, expiring in March and July 2003.</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November 13, 2000, the Company announced that it had entered into an option agreement with the landlord of its corporate headquarters. The agreement provided the landlord with the option, if exercised within 15 months from November 2000, which was the date of the agreement, to terminate the Company's lease for its corporate headquarters, which currently will expire on January 31, 2006. If such option, which terminated on February 1, 2002, had been exercised by the landlord, then the Company would have been entitled to receive $8.9 million for vacating the leased property.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fiscal 2001, the Company opened its own 60,000 square foot distribution center located in Orlando, Florida. The Company has leased the property for five years through August 14, 2005 at which time the Company has the option to extend its lease for an additional five years. The lease also contains certain exit rights, which would allow the Company to terminate the lease on August 14, 2002 with six months prior notice. In fiscal 2002, the Company entered into another lease agreement to lease an additional 16,000 square feet of warehouse space in Orlando, Florida. The lease for the additional space expires March 31, 2005 and also contains certain exit rights, which would allow the Company to terminate the lease on March 31, 2003 with three months prior notice. In fiscal 2002, the Company also ended its usage of a 30,000 square foot third-party distribution center in Mansfield, Massachusetts, which it had used to distribute merchandise until September 2001.</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See "Management's Discussion and Analysis of Financial Condition and Results of Operations - Liquidity and Capital Resources - Capital Expenditures."</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The Company is a party to litigation and claims arising in the course of its business. Management does not expect the results of these actions to have a material adverse effect on the Company's business or financial condition.</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May 1995, the Company purchased from Boston Trading Ltd., Inc. certain assets including various trademarks and license agreements. The terms of the Asset Purchase Agreement, which was dated April 25, 1995 (the "Purchase Agreement"), included the Company delivering a $1 million promissory note ("Purchase Note") for the balance of the purchase price. The principal amount of the Purchase Note was stated to be payable in two equal annual installments through May 1997. In the first quarter of fiscal 1997, the Company asserted certain indemnification rights under the Purchase Agreement. In accordance with the terms of the Purchase Agreement, the Company, when exercising its indemnification rights, had the right, among other courses of action, to offset against the payment of principal and interest due and payable under the Purchase Note. Accordingly, the Company did not make the two $500,000 principal payments on the Purchase Note that were due on May 2, 1996 and May 2, 1997. The Company paid all interest on the original principal amount through May 2, 1996 and continued to pay interest thereafter through January 31, 1998 on $500,000 of principal. In January 1998, Atlantic Harbor, Inc. filed a lawsuit against the Company for failing to pay the outstanding principal amount of the Purchase Note, which was issued to Boston Trading Ltd., Inc. (d/b/a Atlantic Harbor, Inc.). In March 1998, the Company filed a counterclaim against Atlantic Harbor, Inc. alleging that the Company suffered damages in excess of $1 million because of the breach of certain representations and warranties made by Atlantic Harbor, Inc. and its stockholders concerning the existence and condition of certain foreign trademark registrations and license agreements.</w:t>
      </w:r>
    </w:p>
    <w:p>
      <w:pPr>
        <w:spacing w:after="0" w:line="34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first quarter of fiscal 2002, the Company entered into a settlement agreement with Atlantic Harbor, Inc. whereby the Company agreed to pay $450,000 to Atlantic Harbor, Inc. as settlement for all obligations outstanding under the Purchase Note. In exchange, the Company agreed to transfer and assign all trademarks and license agreements acquired as part of the Purchase Agreement to a new entity in which the Company would have a 15% equity interest, with Atlantic Harbor, Inc. and its affiliates retaining the remaining interest. The Company would also be entitled to receive up to an additional $150,000 from existing license royalties over the next four years. In the fourth quarter of fiscal 2001, the Company recorded a gain related to the settlement of this matter in the amount of $550,000, which was included in "Provision for impairment of assets, store closings and severance" on the Consolidated Statements of Operations.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Item 5. Market for the Registrant's Common Equity and Related Stockholder Matters</w:t>
      </w:r>
    </w:p>
    <w:p>
      <w:pPr>
        <w:spacing w:after="0" w:line="160"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Company's Common Stock trades on the Nasdaq National Market tier of The Nasdaq Stock Market under the symbol "DESI."</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following table sets forth, for the periods indicated, the high and low per share closing sales prices for the Common Stock, as reported on the Nasdaq consolidated reporting system.</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spacing w:after="0"/>
        <w:tabs>
          <w:tab w:leader="none" w:pos="3520" w:val="left"/>
          <w:tab w:leader="none" w:pos="5160" w:val="left"/>
        </w:tabs>
        <w:rPr>
          <w:sz w:val="20"/>
          <w:szCs w:val="20"/>
          <w:color w:val="auto"/>
        </w:rPr>
      </w:pPr>
      <w:r>
        <w:rPr>
          <w:rFonts w:ascii="Courier New" w:cs="Courier New" w:eastAsia="Courier New" w:hAnsi="Courier New"/>
          <w:sz w:val="14"/>
          <w:szCs w:val="14"/>
          <w:color w:val="auto"/>
        </w:rPr>
        <w:t>February 2, 2002</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2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3.0000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1.8750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2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2.7500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2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4.6300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2.0200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2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4.1900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2.3000</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Fiscal Year Ended</w:t>
            </w:r>
          </w:p>
        </w:tc>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February 3, 2001</w:t>
            </w:r>
          </w:p>
        </w:tc>
        <w:tc>
          <w:tcPr>
            <w:tcW w:w="2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High</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Low</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2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1.5000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1.0938</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Second Quarter</w:t>
            </w:r>
          </w:p>
        </w:tc>
        <w:tc>
          <w:tcPr>
            <w:tcW w:w="2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2.1250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1.1875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2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2.5625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1.9375</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Fourth Quarter</w:t>
            </w:r>
          </w:p>
        </w:tc>
        <w:tc>
          <w:tcPr>
            <w:tcW w:w="2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2.4688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r>
    </w:tbl>
    <w:p>
      <w:pPr>
        <w:spacing w:after="0" w:line="17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As of April 8, 2002, based upon data provided by independent shareholder communication services and the transfer agent for the Common Stock, there were approximately 285 holders of record of Common Stock.</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has not paid and does not anticipate paying cash dividends on its common stock. For a description of financial covenants in the Company's loan agreement that may restrict dividend payments, see Note C of Notes to Consolidated Financial Statements.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Item 6. Selected Financial Data</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60" w:type="dxa"/>
            <w:vAlign w:val="bottom"/>
            <w:gridSpan w:val="4"/>
          </w:tcPr>
          <w:p>
            <w:pPr>
              <w:jc w:val="right"/>
              <w:ind w:right="408"/>
              <w:spacing w:after="0"/>
              <w:rPr>
                <w:sz w:val="20"/>
                <w:szCs w:val="20"/>
                <w:color w:val="auto"/>
              </w:rPr>
            </w:pPr>
            <w:r>
              <w:rPr>
                <w:rFonts w:ascii="Courier New" w:cs="Courier New" w:eastAsia="Courier New" w:hAnsi="Courier New"/>
                <w:sz w:val="14"/>
                <w:szCs w:val="14"/>
                <w:color w:val="auto"/>
              </w:rPr>
              <w:t>Fiscal Years Ended (1)</w:t>
            </w: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3620" w:type="dxa"/>
            <w:vAlign w:val="bottom"/>
          </w:tcPr>
          <w:p>
            <w:pPr>
              <w:spacing w:after="0"/>
              <w:rPr>
                <w:sz w:val="24"/>
                <w:szCs w:val="24"/>
                <w:color w:val="auto"/>
              </w:rPr>
            </w:pP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February 2,</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February 3,</w:t>
            </w:r>
          </w:p>
        </w:tc>
        <w:tc>
          <w:tcPr>
            <w:tcW w:w="14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January 29,</w:t>
            </w:r>
          </w:p>
        </w:tc>
        <w:tc>
          <w:tcPr>
            <w:tcW w:w="186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January 30,</w:t>
            </w: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January 31,</w:t>
            </w:r>
          </w:p>
        </w:tc>
      </w:tr>
      <w:tr>
        <w:trPr>
          <w:trHeight w:val="166"/>
        </w:trPr>
        <w:tc>
          <w:tcPr>
            <w:tcW w:w="3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2002</w:t>
            </w:r>
          </w:p>
        </w:tc>
        <w:tc>
          <w:tcPr>
            <w:tcW w:w="48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spacing w:after="0"/>
              <w:rPr>
                <w:sz w:val="14"/>
                <w:szCs w:val="14"/>
                <w:color w:val="auto"/>
              </w:rPr>
            </w:pPr>
          </w:p>
        </w:tc>
        <w:tc>
          <w:tcPr>
            <w:tcW w:w="10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2000</w:t>
            </w:r>
          </w:p>
        </w:tc>
        <w:tc>
          <w:tcPr>
            <w:tcW w:w="700" w:type="dxa"/>
            <w:vAlign w:val="bottom"/>
          </w:tcPr>
          <w:p>
            <w:pPr>
              <w:spacing w:after="0"/>
              <w:rPr>
                <w:sz w:val="14"/>
                <w:szCs w:val="14"/>
                <w:color w:val="auto"/>
              </w:rPr>
            </w:pPr>
          </w:p>
        </w:tc>
        <w:tc>
          <w:tcPr>
            <w:tcW w:w="1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1999</w:t>
            </w:r>
          </w:p>
        </w:tc>
        <w:tc>
          <w:tcPr>
            <w:tcW w:w="520" w:type="dxa"/>
            <w:vAlign w:val="bottom"/>
          </w:tcPr>
          <w:p>
            <w:pPr>
              <w:spacing w:after="0"/>
              <w:rPr>
                <w:sz w:val="14"/>
                <w:szCs w:val="14"/>
                <w:color w:val="auto"/>
              </w:rPr>
            </w:pPr>
          </w:p>
        </w:tc>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1998</w:t>
            </w:r>
          </w:p>
        </w:tc>
      </w:tr>
      <w:tr>
        <w:trPr>
          <w:trHeight w:val="166"/>
        </w:trPr>
        <w:tc>
          <w:tcPr>
            <w:tcW w:w="3620" w:type="dxa"/>
            <w:vAlign w:val="bottom"/>
          </w:tcPr>
          <w:p>
            <w:pPr>
              <w:spacing w:after="0"/>
              <w:rPr>
                <w:sz w:val="14"/>
                <w:szCs w:val="14"/>
                <w:color w:val="auto"/>
              </w:rPr>
            </w:pP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(Fiscal 2002)</w:t>
            </w: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(Fiscal 2001)</w:t>
            </w:r>
          </w:p>
        </w:tc>
        <w:tc>
          <w:tcPr>
            <w:tcW w:w="14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(Fiscal 2000)</w:t>
            </w:r>
          </w:p>
        </w:tc>
        <w:tc>
          <w:tcPr>
            <w:tcW w:w="186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(Fiscal 1999)</w:t>
            </w: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(Fiscal 1998)</w:t>
            </w:r>
          </w:p>
        </w:tc>
      </w:tr>
      <w:tr>
        <w:trPr>
          <w:trHeight w:val="166"/>
        </w:trPr>
        <w:tc>
          <w:tcPr>
            <w:tcW w:w="3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40" w:type="dxa"/>
            <w:vAlign w:val="bottom"/>
            <w:gridSpan w:val="4"/>
          </w:tcPr>
          <w:p>
            <w:pPr>
              <w:jc w:val="right"/>
              <w:ind w:right="48"/>
              <w:spacing w:after="0"/>
              <w:rPr>
                <w:sz w:val="20"/>
                <w:szCs w:val="20"/>
                <w:color w:val="auto"/>
              </w:rPr>
            </w:pPr>
            <w:r>
              <w:rPr>
                <w:rFonts w:ascii="Courier New" w:cs="Courier New" w:eastAsia="Courier New" w:hAnsi="Courier New"/>
                <w:sz w:val="14"/>
                <w:szCs w:val="14"/>
                <w:color w:val="auto"/>
              </w:rPr>
              <w:t>(IN THOUSANDS, EXCEPT PER SHARE</w:t>
            </w:r>
          </w:p>
        </w:tc>
        <w:tc>
          <w:tcPr>
            <w:tcW w:w="186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AND OPERATING DATA)</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INCOME STATEMENT DATA:</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195,119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194,530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192,192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201,634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265,726</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Gross profit, net of occupancy costs</w:t>
            </w:r>
          </w:p>
        </w:tc>
        <w:tc>
          <w:tcPr>
            <w:tcW w:w="40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47,221</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54,985</w:t>
            </w:r>
          </w:p>
        </w:tc>
        <w:tc>
          <w:tcPr>
            <w:tcW w:w="44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47,440(4)</w:t>
            </w:r>
          </w:p>
        </w:tc>
        <w:tc>
          <w:tcPr>
            <w:tcW w:w="7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42,249(5)</w:t>
            </w:r>
          </w:p>
        </w:tc>
        <w:tc>
          <w:tcPr>
            <w:tcW w:w="5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38,358(6)</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Provision for impairment of assets, store</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closing and severance</w:t>
            </w:r>
          </w:p>
        </w:tc>
        <w:tc>
          <w:tcPr>
            <w:tcW w:w="40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w:t>
            </w:r>
          </w:p>
        </w:tc>
        <w:tc>
          <w:tcPr>
            <w:tcW w:w="44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14,535(4)</w:t>
            </w:r>
          </w:p>
        </w:tc>
        <w:tc>
          <w:tcPr>
            <w:tcW w:w="7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15,729(5)</w:t>
            </w:r>
          </w:p>
        </w:tc>
        <w:tc>
          <w:tcPr>
            <w:tcW w:w="5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21,600(6)</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EBITDA(2)</w:t>
            </w:r>
          </w:p>
        </w:tc>
        <w:tc>
          <w:tcPr>
            <w:tcW w:w="40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7,478</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12,671</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(2,569)</w:t>
            </w:r>
          </w:p>
        </w:tc>
        <w:tc>
          <w:tcPr>
            <w:tcW w:w="700" w:type="dxa"/>
            <w:vAlign w:val="bottom"/>
          </w:tcPr>
          <w:p>
            <w:pPr>
              <w:spacing w:after="0"/>
              <w:rPr>
                <w:sz w:val="14"/>
                <w:szCs w:val="14"/>
                <w:color w:val="auto"/>
              </w:rPr>
            </w:pP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(20,659)</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(34,945)</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Pre-tax income(loss)</w:t>
            </w:r>
          </w:p>
        </w:tc>
        <w:tc>
          <w:tcPr>
            <w:tcW w:w="400" w:type="dxa"/>
            <w:vAlign w:val="bottom"/>
          </w:tcPr>
          <w:p>
            <w:pPr>
              <w:spacing w:after="0"/>
              <w:rPr>
                <w:sz w:val="24"/>
                <w:szCs w:val="2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w:t>
            </w:r>
          </w:p>
        </w:tc>
        <w:tc>
          <w:tcPr>
            <w:tcW w:w="48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5,488</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(10,278)(4)</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(29,269)(5)</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(46,562)(6)</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income(loss)</w:t>
            </w: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(7,881)(3)</w:t>
            </w:r>
          </w:p>
        </w:tc>
        <w:tc>
          <w:tcPr>
            <w:tcW w:w="4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3,216</w:t>
            </w:r>
          </w:p>
        </w:tc>
        <w:tc>
          <w:tcPr>
            <w:tcW w:w="44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(12,493)</w:t>
            </w:r>
          </w:p>
        </w:tc>
        <w:tc>
          <w:tcPr>
            <w:tcW w:w="700" w:type="dxa"/>
            <w:vAlign w:val="bottom"/>
          </w:tcPr>
          <w:p>
            <w:pPr>
              <w:spacing w:after="0"/>
              <w:rPr>
                <w:sz w:val="14"/>
                <w:szCs w:val="14"/>
                <w:color w:val="auto"/>
              </w:rPr>
            </w:pP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(18,541)</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(29,063)</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Earnings(loss) per share- basic</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Earnings(loss) per share- diluted</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average shares</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 earnings per</w:t>
            </w:r>
          </w:p>
        </w:tc>
        <w:tc>
          <w:tcPr>
            <w:tcW w:w="19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share- basic</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14,486</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16,015</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16,088</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15,810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15,649</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average shares</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1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 earnings per</w:t>
            </w:r>
          </w:p>
        </w:tc>
        <w:tc>
          <w:tcPr>
            <w:tcW w:w="19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share -diluted</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14,486</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16,292</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16,088</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15,810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15,649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13,277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16,306</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19,624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24,078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42,104</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40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57,734</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57,675</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57,022</w:t>
            </w:r>
          </w:p>
        </w:tc>
        <w:tc>
          <w:tcPr>
            <w:tcW w:w="6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57,925</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54,972</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40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20,912</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18,577</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16,737</w:t>
            </w:r>
          </w:p>
        </w:tc>
        <w:tc>
          <w:tcPr>
            <w:tcW w:w="6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17,788</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35,307</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0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90,901</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95,070</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95,077</w:t>
            </w:r>
          </w:p>
        </w:tc>
        <w:tc>
          <w:tcPr>
            <w:tcW w:w="6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99,317</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116,399</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40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42,414</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49,825</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52,269</w:t>
            </w:r>
          </w:p>
        </w:tc>
        <w:tc>
          <w:tcPr>
            <w:tcW w:w="6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63,956</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82,380</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sales per square foot</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190</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Number of stores open at fiscal year end</w:t>
            </w:r>
          </w:p>
        </w:tc>
        <w:tc>
          <w:tcPr>
            <w:tcW w:w="40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102</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w:t>
            </w:r>
          </w:p>
        </w:tc>
        <w:tc>
          <w:tcPr>
            <w:tcW w:w="48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w:t>
            </w:r>
          </w:p>
        </w:tc>
        <w:tc>
          <w:tcPr>
            <w:tcW w:w="6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w:t>
            </w:r>
          </w:p>
        </w:tc>
        <w:tc>
          <w:tcPr>
            <w:tcW w:w="6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bl>
    <w:p>
      <w:pPr>
        <w:spacing w:after="0" w:line="335" w:lineRule="exact"/>
        <w:rPr>
          <w:sz w:val="20"/>
          <w:szCs w:val="20"/>
          <w:color w:val="auto"/>
        </w:rPr>
      </w:pPr>
    </w:p>
    <w:p>
      <w:pPr>
        <w:ind w:left="520" w:right="4640" w:hanging="512"/>
        <w:spacing w:after="0" w:line="252"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fiscal year is a 52 or 53 week period ending on the Saturday closest to January 31. The fiscal year ended February 3, 2001 included 53 weeks.</w:t>
      </w:r>
    </w:p>
    <w:p>
      <w:pPr>
        <w:spacing w:after="0" w:line="162" w:lineRule="exact"/>
        <w:rPr>
          <w:rFonts w:ascii="Courier New" w:cs="Courier New" w:eastAsia="Courier New" w:hAnsi="Courier New"/>
          <w:sz w:val="14"/>
          <w:szCs w:val="14"/>
          <w:color w:val="auto"/>
        </w:rPr>
      </w:pPr>
    </w:p>
    <w:p>
      <w:pPr>
        <w:ind w:left="520" w:right="4900" w:hanging="512"/>
        <w:spacing w:after="0" w:line="255"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defines EBITDA as Net Income before Taxes, Interest expense net and Depreciation and amortization.</w:t>
      </w:r>
    </w:p>
    <w:p>
      <w:pPr>
        <w:spacing w:after="0" w:line="159" w:lineRule="exact"/>
        <w:rPr>
          <w:rFonts w:ascii="Courier New" w:cs="Courier New" w:eastAsia="Courier New" w:hAnsi="Courier New"/>
          <w:sz w:val="14"/>
          <w:szCs w:val="14"/>
          <w:color w:val="auto"/>
        </w:rPr>
      </w:pPr>
    </w:p>
    <w:p>
      <w:pPr>
        <w:ind w:left="520" w:right="4640" w:hanging="512"/>
        <w:spacing w:after="0" w:line="251"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fourth quarter of fiscal 2002, the Company recorded a special non-cash charge of $8.0 million to reduce the carrying value of certain deferred tax assets. Due to the general weakness of the economy during fiscal 2002, which resulted in reduced earnings from fiscal 2001, the full realizability of certain tax assets can not be assured, accordingly the Company established additional reserves against those assets. As the Company's profitability improves, either from improved performance in its Levi's(R)/Dockers(R) stores, or from its roll-out of the Candies(R), EcKo(R), and other brands, the Company may have the ability to reinstate the full value of its deferred tax assets. Conversely, the amount of the deferred tax assets considered realizable could be reduced in the near term if projections of future taxable income during the carryforward period are reduced or if actual results are less than projections..</w:t>
      </w:r>
    </w:p>
    <w:p>
      <w:pPr>
        <w:spacing w:after="0" w:line="162" w:lineRule="exact"/>
        <w:rPr>
          <w:rFonts w:ascii="Courier New" w:cs="Courier New" w:eastAsia="Courier New" w:hAnsi="Courier New"/>
          <w:sz w:val="14"/>
          <w:szCs w:val="14"/>
          <w:color w:val="auto"/>
        </w:rPr>
      </w:pPr>
    </w:p>
    <w:p>
      <w:pPr>
        <w:ind w:left="520" w:right="4720" w:hanging="512"/>
        <w:spacing w:after="0" w:line="251"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Pre-tax loss for fiscal 2000 includes the $15.2 million charge taken in the fourth quarter related to inventory markdowns, the abandonment of the Company's Boston Traders(R) trademark, severance, and the closure of the Company's five remaining Designs/BTC(TM) stores and its five Buffalo(R) Jeans Factory stores. Of the $15.2 million charge, $7.8 million, or 4.1% of sales, is reflected in gross margin. The pre-tax loss for fiscal 2000 also includes $717,000 of non-recurring income related to excess reserves from the fiscal 1999 restructuring program.</w:t>
      </w:r>
    </w:p>
    <w:p>
      <w:pPr>
        <w:spacing w:after="0" w:line="163" w:lineRule="exact"/>
        <w:rPr>
          <w:rFonts w:ascii="Courier New" w:cs="Courier New" w:eastAsia="Courier New" w:hAnsi="Courier New"/>
          <w:sz w:val="14"/>
          <w:szCs w:val="14"/>
          <w:color w:val="auto"/>
        </w:rPr>
      </w:pPr>
    </w:p>
    <w:p>
      <w:pPr>
        <w:ind w:left="520" w:right="4640" w:hanging="512"/>
        <w:spacing w:after="0" w:line="251"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Pre-tax loss for fiscal 1999 includes the $13.4 million charge taken in the third quarter related to closing 30 unprofitable stores. Also included in the pre-tax loss for fiscal 1999 is the $5.2 million charge related to the closing of one Designs store, three BTC(TM) stores and four Boston Traders(R) outlet stores, all eight of which were closed in fiscal 2000. Of the $5.2 million charge, $800,000, or 0.4% of sales, is reflected in gross margin. In addition, the Company recognized $2.9 million in restructuring income in the fourth quarter which was the result of favorable lease negotiations associated with the original estimated $13.4 million charge.</w:t>
      </w:r>
    </w:p>
    <w:p>
      <w:pPr>
        <w:spacing w:after="0" w:line="329" w:lineRule="exact"/>
        <w:rPr>
          <w:rFonts w:ascii="Courier New" w:cs="Courier New" w:eastAsia="Courier New" w:hAnsi="Courier New"/>
          <w:sz w:val="14"/>
          <w:szCs w:val="14"/>
          <w:color w:val="auto"/>
        </w:rPr>
      </w:pPr>
    </w:p>
    <w:p>
      <w:pPr>
        <w:ind w:left="520" w:right="4720" w:hanging="512"/>
        <w:spacing w:after="0" w:line="251"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Pre-tax loss for fiscal 1998 includes the $20 million charge taken in the second quarter related to the Company's strategy shift and the fourth quarter charge of $1.6 million for the Company's reduction in work force. Of the $20 million charge, $13.9 million, or 5.2% of sales, is reflected in gross margin.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1540"/>
          </w:cols>
          <w:pgMar w:left="220" w:top="616" w:right="139" w:bottom="260" w:gutter="0" w:footer="0" w:header="0"/>
        </w:sectPr>
      </w:pPr>
    </w:p>
    <w:bookmarkStart w:id="14" w:name="page15"/>
    <w:bookmarkEnd w:id="14"/>
    <w:p>
      <w:pPr>
        <w:ind w:right="4480"/>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right="4400"/>
        <w:spacing w:after="0" w:line="251" w:lineRule="auto"/>
        <w:rPr>
          <w:sz w:val="20"/>
          <w:szCs w:val="20"/>
          <w:color w:val="auto"/>
        </w:rPr>
      </w:pPr>
      <w:r>
        <w:rPr>
          <w:rFonts w:ascii="Courier New" w:cs="Courier New" w:eastAsia="Courier New" w:hAnsi="Courier New"/>
          <w:sz w:val="14"/>
          <w:szCs w:val="14"/>
          <w:color w:val="auto"/>
        </w:rPr>
        <w:t>The following table provides a five-year history of the total sales results of the Company, together with a summary of the number of stores in operation and the change in the Company's comparable store sales. "Changes in comparable store sales" measures the percentage change in sales in comparable stores, which are those stores open for at least one full fiscal year.</w:t>
      </w:r>
    </w:p>
    <w:p>
      <w:pPr>
        <w:spacing w:after="0" w:line="200" w:lineRule="exact"/>
        <w:rPr>
          <w:sz w:val="20"/>
          <w:szCs w:val="20"/>
          <w:color w:val="auto"/>
        </w:rPr>
      </w:pPr>
    </w:p>
    <w:p>
      <w:pPr>
        <w:spacing w:after="0" w:line="296" w:lineRule="exact"/>
        <w:rPr>
          <w:sz w:val="20"/>
          <w:szCs w:val="20"/>
          <w:color w:val="auto"/>
        </w:rPr>
      </w:pPr>
    </w:p>
    <w:tbl>
      <w:tblPr>
        <w:tblLayout w:type="fixed"/>
        <w:tblInd w:w="406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306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FISCAL YEARS ENDED (1)</w:t>
            </w: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70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Feb. 2,</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Feb. 3,</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Jan. 29,</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Jan. 30,</w:t>
            </w:r>
          </w:p>
        </w:tc>
        <w:tc>
          <w:tcPr>
            <w:tcW w:w="13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Jan. 31,</w:t>
            </w:r>
          </w:p>
        </w:tc>
      </w:tr>
      <w:tr>
        <w:trPr>
          <w:trHeight w:val="166"/>
        </w:trPr>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2002</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(Fiscal 2002)</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(Fiscal 2001)</w:t>
            </w:r>
          </w:p>
        </w:tc>
        <w:tc>
          <w:tcPr>
            <w:tcW w:w="1580" w:type="dxa"/>
            <w:vAlign w:val="bottom"/>
          </w:tcPr>
          <w:p>
            <w:pPr>
              <w:ind w:left="160"/>
              <w:spacing w:after="0"/>
              <w:rPr>
                <w:sz w:val="20"/>
                <w:szCs w:val="20"/>
                <w:color w:val="auto"/>
              </w:rPr>
            </w:pPr>
            <w:r>
              <w:rPr>
                <w:rFonts w:ascii="Courier New" w:cs="Courier New" w:eastAsia="Courier New" w:hAnsi="Courier New"/>
                <w:sz w:val="14"/>
                <w:szCs w:val="14"/>
                <w:color w:val="auto"/>
              </w:rPr>
              <w:t>(Fiscal 2000)</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(Fiscal 1999)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(Fiscal 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 Sales (In Thousands)</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195,119</w:t>
            </w: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194,530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$192,192</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201,634</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265,726</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Number of stores in operation at end of the</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fiscal year:</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Store Type</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Levi's(R) Outlet and Dockers(R)Outlet by</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Designs</w:t>
            </w:r>
          </w:p>
        </w:tc>
        <w:tc>
          <w:tcPr>
            <w:tcW w:w="5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w:t>
            </w:r>
          </w:p>
        </w:tc>
        <w:tc>
          <w:tcPr>
            <w:tcW w:w="46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102</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w:t>
            </w:r>
          </w:p>
        </w:tc>
        <w:tc>
          <w:tcPr>
            <w:tcW w:w="4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Candies(R) Outlet</w:t>
            </w:r>
          </w:p>
        </w:tc>
        <w:tc>
          <w:tcPr>
            <w:tcW w:w="5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w:t>
            </w: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Store Concepts closed:</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Designs and BTC(TM)(2)</w:t>
            </w:r>
          </w:p>
        </w:tc>
        <w:tc>
          <w:tcPr>
            <w:tcW w:w="5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Buffalo Jeans(R) Factory Outlets(2)</w:t>
            </w:r>
          </w:p>
        </w:tc>
        <w:tc>
          <w:tcPr>
            <w:tcW w:w="5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Boston Trading Co.(R)(2)</w:t>
            </w:r>
          </w:p>
        </w:tc>
        <w:tc>
          <w:tcPr>
            <w:tcW w:w="5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Boston Traders(R) outlets(2)</w:t>
            </w:r>
          </w:p>
        </w:tc>
        <w:tc>
          <w:tcPr>
            <w:tcW w:w="5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Joint Venture:</w:t>
            </w: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Original Levi's Stores(TM)(2)</w:t>
            </w:r>
          </w:p>
        </w:tc>
        <w:tc>
          <w:tcPr>
            <w:tcW w:w="5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Levi's(R) Outlet stores (2)</w:t>
            </w:r>
          </w:p>
        </w:tc>
        <w:tc>
          <w:tcPr>
            <w:tcW w:w="5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gridSpan w:val="3"/>
          </w:tcPr>
          <w:p>
            <w:pPr>
              <w:spacing w:after="0"/>
              <w:rPr>
                <w:sz w:val="20"/>
                <w:szCs w:val="20"/>
                <w:color w:val="auto"/>
              </w:rPr>
            </w:pPr>
            <w:r>
              <w:rPr>
                <w:rFonts w:ascii="Courier New" w:cs="Courier New" w:eastAsia="Courier New" w:hAnsi="Courier New"/>
                <w:sz w:val="14"/>
                <w:szCs w:val="14"/>
                <w:color w:val="auto"/>
              </w:rPr>
              <w:t>Total stores</w:t>
            </w:r>
          </w:p>
        </w:tc>
        <w:tc>
          <w:tcPr>
            <w:tcW w:w="20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102</w:t>
            </w:r>
          </w:p>
        </w:tc>
        <w:tc>
          <w:tcPr>
            <w:tcW w:w="14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102</w:t>
            </w: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103</w:t>
            </w: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Comparable</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stores</w:t>
            </w:r>
          </w:p>
        </w:tc>
        <w:tc>
          <w:tcPr>
            <w:tcW w:w="20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96</w:t>
            </w:r>
          </w:p>
        </w:tc>
        <w:tc>
          <w:tcPr>
            <w:tcW w:w="14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92</w:t>
            </w: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87</w:t>
            </w: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Changes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total sales</w:t>
            </w:r>
          </w:p>
        </w:tc>
        <w:tc>
          <w:tcPr>
            <w:tcW w:w="2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Changes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comparable store sales</w:t>
            </w:r>
          </w:p>
        </w:tc>
        <w:tc>
          <w:tcPr>
            <w:tcW w:w="2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335" w:lineRule="exact"/>
        <w:rPr>
          <w:sz w:val="20"/>
          <w:szCs w:val="20"/>
          <w:color w:val="auto"/>
        </w:rPr>
      </w:pPr>
    </w:p>
    <w:p>
      <w:pPr>
        <w:ind w:left="520" w:right="4400" w:hanging="512"/>
        <w:spacing w:after="0" w:line="252"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fiscal year is a 52 or 53 week period ending on the Saturday closest to January 31. The fiscal year ended February 3, 2001 covered 53 weeks. Comparable store sales for fiscal 2001 were based upon 52-week comparisons.</w:t>
      </w:r>
    </w:p>
    <w:p>
      <w:pPr>
        <w:spacing w:after="0" w:line="162" w:lineRule="exact"/>
        <w:rPr>
          <w:rFonts w:ascii="Courier New" w:cs="Courier New" w:eastAsia="Courier New" w:hAnsi="Courier New"/>
          <w:sz w:val="14"/>
          <w:szCs w:val="14"/>
          <w:color w:val="auto"/>
        </w:rPr>
      </w:pPr>
    </w:p>
    <w:p>
      <w:pPr>
        <w:ind w:left="520" w:right="4920" w:hanging="512"/>
        <w:spacing w:after="0" w:line="255"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part of store closing programs in fiscal 1998, 1999 and 2000, the Company closed all of its non-profitable store concepts.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w:t>
      </w:r>
    </w:p>
    <w:p>
      <w:pPr>
        <w:spacing w:after="0" w:line="173"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Sales for fiscal 2002 were $195.1 million for the 52-week period compared with sales of $194.5 million for the 53-week period of fiscal 2001. On a comparable basis, total sales of $195.1 million for fiscal 2002 increased 1.5% when compared to $192.2 million for the corresponding 52-week period in fiscal 2001. There were 53 weeks in fiscal 2001 and 52 weeks in fiscal 2002 and 2000. Comparable store sales for fiscal 2002 decreased 3.9 %.</w:t>
      </w:r>
    </w:p>
    <w:p>
      <w:pPr>
        <w:spacing w:after="0" w:line="164" w:lineRule="exact"/>
        <w:rPr>
          <w:sz w:val="20"/>
          <w:szCs w:val="20"/>
          <w:color w:val="auto"/>
        </w:rPr>
      </w:pPr>
    </w:p>
    <w:p>
      <w:pPr>
        <w:ind w:right="4400"/>
        <w:spacing w:after="0" w:line="251" w:lineRule="auto"/>
        <w:rPr>
          <w:sz w:val="20"/>
          <w:szCs w:val="20"/>
          <w:color w:val="auto"/>
        </w:rPr>
      </w:pPr>
      <w:r>
        <w:rPr>
          <w:rFonts w:ascii="Courier New" w:cs="Courier New" w:eastAsia="Courier New" w:hAnsi="Courier New"/>
          <w:sz w:val="14"/>
          <w:szCs w:val="14"/>
          <w:color w:val="auto"/>
        </w:rPr>
        <w:t>Fiscal 2002 was a difficult year for the retail industry due to the general economic conditions and the tragic events of September 11, 2001. In an effort to manage inventory levels and improve its sales trends, the Company significantly increased its levels of promotional activities during the second half of fiscal 2002. The impact of this aggressive promotional posture, although negative to the Company's gross margin, significantly benefited its sales trends in the second half of fiscal 2002.</w:t>
      </w:r>
    </w:p>
    <w:p>
      <w:pPr>
        <w:spacing w:after="0" w:line="164" w:lineRule="exact"/>
        <w:rPr>
          <w:sz w:val="20"/>
          <w:szCs w:val="20"/>
          <w:color w:val="auto"/>
        </w:rPr>
      </w:pPr>
    </w:p>
    <w:p>
      <w:pPr>
        <w:ind w:right="4400"/>
        <w:spacing w:after="0" w:line="251" w:lineRule="auto"/>
        <w:rPr>
          <w:sz w:val="20"/>
          <w:szCs w:val="20"/>
          <w:color w:val="auto"/>
        </w:rPr>
      </w:pPr>
      <w:r>
        <w:rPr>
          <w:rFonts w:ascii="Courier New" w:cs="Courier New" w:eastAsia="Courier New" w:hAnsi="Courier New"/>
          <w:sz w:val="14"/>
          <w:szCs w:val="14"/>
          <w:color w:val="auto"/>
        </w:rPr>
        <w:t>Sales for fiscal 2001 were $194.5 million, an increase of 1.2% when compared with fiscal 2000 sales of $192.2 million. The increase in sales in fiscal 2001, as compared to fiscal 2000, was due to an additional week of sales of approximately $2 million and sales from new and remodeled stores offset slightly by a comparable store sale decrease of 3.8% from the prior year. The comparable store sales decrease in fiscal 2001 of 4% was due primarily to lower sales in men's Levi's(R) brand jeans and tops resulting from limited availability and reduced demand for Levi's(R) brand products. This sales decrease was partially offset by increased sales of women's Levi's(R) brand jeans and men's and women's Dockers(R) brand apparel.</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1300"/>
          </w:cols>
          <w:pgMar w:left="220" w:top="616" w:right="37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GROSS MARGIN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Gross margin, which includes occupancy costs, was 24.2% for fiscal 2002 as compared with 28.3% in fiscal 2001. The 4.1 percentage point decrease in margin was primarily the result of the Company's aggressive promotional activity, which resulted in a significantly higher markdown rate as compared to the prior year. The gross margin rate for fiscal 2002 was also negatively impacted by a decrease in initial margins related to increased costs of certain product lines. The Company was able to partially offset these decreases through its improvements in inventory shrink.</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gross margin rate for fiscal 2001 of 28.3% was an improvement of 3.6 percentage points when compared with 24.7% in fiscal 2000. The improved gross margin was primarily due to a substantial markdown reserve recorded in fiscal 2000 of $7.8 million, which was not recurring in fiscal 2001. In addition, through favorable lease negotiations with several existing landlords, the Company has reduced its occupancy costs as a percentage of sales by 0.3 percentage points. These favorable improvements in gross margin were partially offset by a slight deterioration in initial margins due to increasing costs on merchandise purchases. During fiscal 2001, in an effort by the Company to provide full merchandise assortments, the Company's average cost of merchandise purchased increased while retail selling prices remained constant. Merchandise margins in fiscal 2000 included a LIFO benefit of approximately $558,000.</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fiscal 2003, the Company anticipates that its gross margin rate will continue to be negatively impacted by more aggressive promotional programs. The Company expects, by increasing opportunistic purchases of close-out merchandise and special buy merchandise, it will be able to improve its initial margins, which the Company expects will offset this higher markdown rate.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Selling, general and administrative expenses as a percentage of sales were 20.4% or $39.7 million in fiscal 2002, 21.7% or $42.2 million in fiscal 2001 and 22.6% or $43.4 million in fiscal 2000. The steady decrease in selling, general and administrative expenses as a percentage of sales over the past three years is a result of a series of expense reduction actions undertaken since fiscal 1999 that are still ongoing. Through continued improvements in store labor and other such related costs, the Company anticipated that these expenses will continue to show favorable decreases over the prior years.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ASSETS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accounts for long-lived assets in accordance with Statement of Financial Accounting Standards No. 121, "Accounting for the Impairment of Long-Lived Assets and for Long-Lived Assets To Be Disposed Of." The Company reviews its long-lived assets for events or changes in circumstances that indicate the carrying amount of the assets may not be recoverable. The Company assesses the recoverability of the assets by determining whether the carrying value of such assets over the remaining lives can be recovered through projected undiscounted future cash flows. The amount of impairment, if any, is measured based on projected discounted future cash flows using a discount rate reflecting the Company's average cost of funds. No such impairment charge was recorded in fiscal 2002.</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fiscal 2001, the Company recorded an impairment charge of $837,000 related to stores whose expected cash flows from operations are not expected to exceed their net book value prior to the expiration of their expected lease term. In fiscal 2000, the Company recorded an impairment charge of $611,000 for the write-down of fixed assets, included as part of the $15.2 million non-recurring charge recorded in the fourth quarter of fiscal 2000. See "Restructuring - Fiscal 2000" below. These charges are reflected in "Provision for impairment of assets, store closings and severance" on the Consolidated Statements of Operations for fiscal 2001 and 2000.</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RESTRUCTURING-Fiscal 2000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fourth quarter of fiscal 2000, the Company recorded a pre-tax charge of $15.2 million, or $0.59 per share after tax, related to inventory markdowns, the abandonment of the Company's Boston Traders(R) and related trademarks, severance, and the closure of the Company's five Buffalo Jeans(R) Factory stores and its five remaining Designs stores. Of the $15.2 million charge, $7.8 million relating to inventory markdowns was reflected in gross margin in fiscal 2000. This pre-tax charge of $15.2 million included cash costs of approximately $3.6 million related to lease terminations and corporate and store severance, and approximately $11.6 million of non-cash costs related to inventory markdowns and the impairment of trademarks and store assets. There was no remaining reserve balance related to this $15.2 million charge at February 2, 2002.</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a result of the above charges recorded, the Company recorded a net operating loss for fiscal 2000. Because of an additional year of net operating losses, the Company recorded a write-down of tax assets of $6.0 million or $0.37 per share after tax attributable to the potential that certain deferred federal and state tax assets may not be realizable.</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After the recording of these restructuring charges, all assets related to businesses other than the remaining Levi's(R)/Dockers(R) Outlet stores had been written off leaving only the operations and related assets of its retail outlet and factory stores which sell exclusively product made by or for Levi Strauss &amp; Co.</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AND AMORTIZATION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Depreciation and amortization expense for fiscal 2002 was $5.4 million as compared with $5.4 million in fiscal 2001 and $6.5 million in fiscal 2000. The reduced depreciation related to the aging of the Company's older stores is offset by increased depreciation of its new and remodeled stores. "See Liquidity and Capital Resources - Capital Expenditures."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 NET</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Net interest expense for fiscal 2002 was $1.9 million compared to $1.8 million in fiscal 2001 and $1.2 million in fiscal 2000. This increase is primarily a result of higher average borrowing levels offset partially by reduced interest rates under the Company's credit facility as compared to the prior year. Similarly, the increase in interest expense in fiscal 2001 as compared with fiscal 2000 was due to higher average borrowings and increased interest rates. See "Liquidity and Capital Resources."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 PROVISION/(BENEFIT)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income tax provision for fiscal 2002 includes a special, non-cash charge of $8.0 million attributable to an increase in the valuation allowance for the Company's deferred tax assets, related to the potential that certain federal and state tax assets may not be realized. The provision for fiscal 2000 also included a $6.0 million charge against the Company's realizability of certain tax assets.</w:t>
      </w:r>
    </w:p>
    <w:p>
      <w:pPr>
        <w:spacing w:after="0" w:line="32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Realization of the Company's deferred tax assets, which relate principally to federal net operating loss carryforwards which expire from 2017 through 2022, is dependent on generating sufficient taxable income in the following first three years of the carryforward period. Accordingly, the valuation allowance at February 2, 2002 is primarily attributable to the potential that certain deferred federal and state tax assets will not be realizable within this period. Although realization is not assured, management believes it is more likely than not that the balance of the deferred tax assets in excess of the valuation allowance will be realized. In reaching this determination, management considered the Company's historical performance, noting that the losses in fiscal 1998, 1999 and 2000 which generated the net operating loss carryforwards described above were principally the result of charges incurred to exit unprofitable businesses and that the Company's core business of selling Levi Strauss &amp; Co. branded apparel in outlet stores has been consistently profitable. However, considering the general economic weakness and reduced profit margin experienced in fiscal 2002, management increased the valuation allowance further in fiscal 2002. Assuming improved operating results from its core Levi's(R)/Dockers(R) Outlet business, management believes that the balance of deferred tax assets in excess of the valuation allowance may be utilized in the next three years. Although not considered in assessing the realization of the Company's deferred tax assets, management expects that the Company's expansion strategy of opening and operating other branded stores for other brand manufacturers will generate income in the coming years which could result in the realization of deferred tax assets currently reserved for. In the event the Company's performance of its Levi's(R)/Dockers(R) store improves, and/or its expansion into operating branded retail stores for other brand manufacturers improves the Company's overall profitability,</w:t>
      </w:r>
    </w:p>
    <w:p>
      <w:pPr>
        <w:spacing w:after="0" w:line="200" w:lineRule="exact"/>
        <w:rPr>
          <w:sz w:val="20"/>
          <w:szCs w:val="20"/>
          <w:color w:val="auto"/>
        </w:rPr>
      </w:pPr>
    </w:p>
    <w:p>
      <w:pPr>
        <w:spacing w:after="0" w:line="3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7" w:name="page18"/>
    <w:bookmarkEnd w:id="17"/>
    <w:p>
      <w:pPr>
        <w:ind w:right="3419"/>
        <w:spacing w:after="0" w:line="252" w:lineRule="auto"/>
        <w:rPr>
          <w:sz w:val="20"/>
          <w:szCs w:val="20"/>
          <w:color w:val="auto"/>
        </w:rPr>
      </w:pPr>
      <w:r>
        <w:rPr>
          <w:rFonts w:ascii="Courier New" w:cs="Courier New" w:eastAsia="Courier New" w:hAnsi="Courier New"/>
          <w:sz w:val="14"/>
          <w:szCs w:val="14"/>
          <w:color w:val="auto"/>
        </w:rPr>
        <w:t>the Company's valuation allowance for its deferred tax assets may be reduced. Conversely, the amount of the valuation allowance deemed necessary could be increased in the near term if projections of future taxable income during the carryforward period are reduced or if actual results are less than projections.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February 2, 2002, the Company has net operating loss carryforwards of</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$33,622,000 for federal income tax purposes and $49,745,000 for state income tax purposes, which are available to offset future taxable income through fiscal year 2022. Additionally, the Company has alternative minimum tax credit carryforwards of $1,166,000, which are available to reduce further income taxes over an indefinite period.</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first quarter of fiscal 1999, the Internal Revenue Service ("IRS") completed an examination of the Company's federal income tax returns for fiscal years 1992 through 1996. Taxes on the adjustments proposed by the IRS, excluding interest, amounted to approximately $4.9 million. The IRS challenged the fiscal tax years in which various income and expense deductions were recognized, resulting in potential timing differences of previously paid federal income taxes. The Company appealed these proposed adjustments through the IRS appeals process.</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third quarter of fiscal 2002, the Company and the IRS reached a final settlement on the audit of the Company's federal income tax returns for fiscal years 1992 through 1996. In accordance with this settlement, the Company paid to the IRS a total of $1.5 million, which included interest. The settlement of $1.5 million had no material impact on the Company's results of operations for fiscal 2002 due to adequate provisions previously established by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(LOSS)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reported pre-tax income of $0.2 million for fiscal 2002 as compared to pre-tax income of $5.5 million in fiscal 2001 and a pre-tax loss of $10.3 million in fiscal 2000. After a non-cash charge of $8.0 million against the Company's deferred tax assets, the Company reported a net loss of $(7.9) million or $(0.54) per diluted share in fiscal 2002 compared with net income of $3.2 million or $0.20 per diluted share for fiscal 2001 and a net loss of $(12.5) million or $(0.78) per diluted share for fiscal 2000. Fiscal 2000 included non-recurring restructuring charges of $15.2 million, of which $6.0 million related to the write-down of certain tax assets. See "Restructuring - Fiscal 2000" for further discussion.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200" w:lineRule="exact"/>
        <w:rPr>
          <w:sz w:val="20"/>
          <w:szCs w:val="20"/>
          <w:color w:val="auto"/>
        </w:rPr>
      </w:pPr>
    </w:p>
    <w:p>
      <w:pPr>
        <w:spacing w:after="0" w:line="30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tabs>
          <w:tab w:leader="none" w:pos="5500" w:val="left"/>
          <w:tab w:leader="none" w:pos="7920" w:val="left"/>
        </w:tabs>
        <w:rPr>
          <w:sz w:val="20"/>
          <w:szCs w:val="20"/>
          <w:color w:val="auto"/>
        </w:rPr>
      </w:pPr>
      <w:r>
        <w:rPr>
          <w:rFonts w:ascii="Courier New" w:cs="Courier New" w:eastAsia="Courier New" w:hAnsi="Courier New"/>
          <w:sz w:val="14"/>
          <w:szCs w:val="14"/>
          <w:color w:val="auto"/>
        </w:rPr>
        <w:t>FISCAL 2002</w:t>
      </w:r>
      <w:r>
        <w:rPr>
          <w:sz w:val="20"/>
          <w:szCs w:val="20"/>
          <w:color w:val="auto"/>
        </w:rPr>
        <w:tab/>
      </w:r>
      <w:r>
        <w:rPr>
          <w:rFonts w:ascii="Courier New" w:cs="Courier New" w:eastAsia="Courier New" w:hAnsi="Courier New"/>
          <w:sz w:val="14"/>
          <w:szCs w:val="14"/>
          <w:color w:val="auto"/>
        </w:rPr>
        <w:t>FISCAL 2001</w:t>
      </w:r>
      <w:r>
        <w:rPr>
          <w:sz w:val="20"/>
          <w:szCs w:val="20"/>
          <w:color w:val="auto"/>
        </w:rPr>
        <w:tab/>
      </w:r>
      <w:r>
        <w:rPr>
          <w:rFonts w:ascii="Courier New" w:cs="Courier New" w:eastAsia="Courier New" w:hAnsi="Courier New"/>
          <w:sz w:val="14"/>
          <w:szCs w:val="14"/>
          <w:color w:val="auto"/>
        </w:rPr>
        <w:t>FISCAL 2000</w:t>
      </w:r>
    </w:p>
    <w:p>
      <w:pPr>
        <w:spacing w:after="0" w:line="7"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(SALES DOLLARS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39,395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39,379</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39,835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47,698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w:t>
            </w:r>
          </w:p>
        </w:tc>
        <w:tc>
          <w:tcPr>
            <w:tcW w:w="34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45,693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23.5%</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42,907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22.3%</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54,301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w:t>
            </w:r>
          </w:p>
        </w:tc>
        <w:tc>
          <w:tcPr>
            <w:tcW w:w="34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56,587</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29.1%</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56,703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29.5%</w:t>
            </w: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53,725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w:t>
            </w:r>
          </w:p>
        </w:tc>
        <w:tc>
          <w:tcPr>
            <w:tcW w:w="34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52,871</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27.2%</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52,747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27.5%</w:t>
            </w:r>
          </w:p>
        </w:tc>
      </w:tr>
      <w:tr>
        <w:trPr>
          <w:trHeight w:val="166"/>
        </w:trPr>
        <w:tc>
          <w:tcPr>
            <w:tcW w:w="1860" w:type="dxa"/>
            <w:vAlign w:val="bottom"/>
          </w:tcPr>
          <w:p>
            <w:pPr>
              <w:spacing w:after="0"/>
              <w:rPr>
                <w:sz w:val="14"/>
                <w:szCs w:val="14"/>
                <w:color w:val="auto"/>
              </w:rPr>
            </w:pPr>
          </w:p>
        </w:tc>
        <w:tc>
          <w:tcPr>
            <w:tcW w:w="754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60" w:type="dxa"/>
            <w:vAlign w:val="bottom"/>
          </w:tcPr>
          <w:p>
            <w:pPr>
              <w:spacing w:after="0"/>
              <w:rPr>
                <w:sz w:val="14"/>
                <w:szCs w:val="14"/>
                <w:color w:val="auto"/>
              </w:rPr>
            </w:pP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$ 195,119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194,530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192,192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comparison of sales in each quarter of the past three fiscal years is presented above. The amounts shown are not necessarily indicative of actual trends, since such amounts also reflect the addition of new stores and the remodeling and closing of others during these periods. Historically, the Company has experienced seasonal fluctuations in revenues and income, exclusive of non-recurring charges, with increases occurring during the Company's third and fourth quarters as a result of "Fall" and "Holiday" seasons. A comparison of quarterly sales, gross profit, net income (loss) per share for the past two fiscal years is presented in Note K of Notes to Consolidated Financial Statements.</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primary cash needs are for operating expenses, including cash outlays associated with inventory purchases and capital expenditures for new and remodeled stores. The Company expects that cash flow from operations, short-term revolving borrowings and trade credit will enable it to finance its current working capital, remodeling and expansion requirements.</w:t>
      </w:r>
    </w:p>
    <w:p>
      <w:pPr>
        <w:spacing w:after="0" w:line="16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following table sets forth financial data regarding the Company's liquidity position at the end of the past three fiscal years:</w:t>
      </w:r>
    </w:p>
    <w:p>
      <w:pPr>
        <w:spacing w:after="0" w:line="200" w:lineRule="exact"/>
        <w:rPr>
          <w:sz w:val="20"/>
          <w:szCs w:val="20"/>
          <w:color w:val="auto"/>
        </w:rPr>
      </w:pPr>
    </w:p>
    <w:p>
      <w:pPr>
        <w:spacing w:after="0" w:line="291" w:lineRule="exact"/>
        <w:rPr>
          <w:sz w:val="20"/>
          <w:szCs w:val="20"/>
          <w:color w:val="auto"/>
        </w:rPr>
      </w:pPr>
    </w:p>
    <w:p>
      <w:pPr>
        <w:jc w:val="center"/>
        <w:ind w:left="1480"/>
        <w:spacing w:after="0"/>
        <w:rPr>
          <w:sz w:val="20"/>
          <w:szCs w:val="20"/>
          <w:color w:val="auto"/>
        </w:rPr>
      </w:pPr>
      <w:r>
        <w:rPr>
          <w:rFonts w:ascii="Courier New" w:cs="Courier New" w:eastAsia="Courier New" w:hAnsi="Courier New"/>
          <w:sz w:val="14"/>
          <w:szCs w:val="14"/>
          <w:color w:val="auto"/>
        </w:rPr>
        <w:t>FISCAL YEARS</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tabs>
          <w:tab w:leader="none" w:pos="6280" w:val="left"/>
          <w:tab w:leader="none" w:pos="8420" w:val="left"/>
        </w:tabs>
        <w:rPr>
          <w:sz w:val="20"/>
          <w:szCs w:val="20"/>
          <w:color w:val="auto"/>
        </w:rPr>
      </w:pP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Cash provided by (used for)</w:t>
            </w:r>
          </w:p>
        </w:tc>
        <w:tc>
          <w:tcPr>
            <w:tcW w:w="2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operations</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563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6,299</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(1,227)</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Working</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2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13,277</w:t>
            </w:r>
          </w:p>
        </w:tc>
        <w:tc>
          <w:tcPr>
            <w:tcW w:w="9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16,306</w:t>
            </w:r>
          </w:p>
        </w:tc>
        <w:tc>
          <w:tcPr>
            <w:tcW w:w="7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19,624</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ratio</w:t>
            </w:r>
          </w:p>
        </w:tc>
        <w:tc>
          <w:tcPr>
            <w:tcW w:w="2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1.3:1</w:t>
            </w:r>
          </w:p>
        </w:tc>
        <w:tc>
          <w:tcPr>
            <w:tcW w:w="90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1.4:1</w:t>
            </w:r>
          </w:p>
        </w:tc>
        <w:tc>
          <w:tcPr>
            <w:tcW w:w="7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financed its working capital requirements, store remodel and expansion program, stock repurchase programs and acquisitions with cash flow from operations, borrowings under the Company's credit facility, and proceeds from common stock offerings. Cash provided by (used for) operating activities was $0.6 million, $6.3 million and $(1.2) million in fiscal 2002, 2001 and 2000, respectively. The decrease in cash flow in fiscal 2002 was primarily the result of lower earnings as compared to fiscal 2001. The Company used the cash proceeds from operations of $0.6 million and borrowings under its credit facility to finance its store openings and remodeling program and other capital requirements of approximately $4.0 million, net of landlord allowances received. Correspondingly, the Company's net borrowing position increased by approximately $3.4 million to $27.8 million at February 2, 2002 as compared to the prior year.</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addition to cash flow from operations, the Company's other primary source of working capital is its Credit Agreement with Fleet Retail Finance, Inc. This agreement, which was amended on December 7, 2000, provides a revolving line of credit of up to $45 million and the ability to issue documentary and standby letters of credit up to $10 million. The Credit Agreement, which expires on November 30, 2003, was amended to reduce the borrowing costs and tie future interest costs to excess borrowing availability, eliminate all existing financial performance covenants and adopt a minimum availability covenant, increase the amount that can potentially be borrowed by increasing the advance rate formula to 68% of the Company's eligible inventory, provide the Company the ability to enter into stock buyback programs and reduce the total commitment from $50 million to $45 million. The Company's obligation under the Credit Agreement continues to be secured by a lien on all of its assets. The Company is subject to a prepayment penalty through December 7, 2002.</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February 2, 2002, the Company had borrowings of approximately $27.8 million outstanding under this credit facility and had two outstanding standby letters of credit totaling approximately $2.3 million. Average borrowings outstanding under this credit facility for fiscal 2002 were approximately $29.4 million. In fiscal 2002, the average unused availability under this credit facility was approximately $8.0 million.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Inventory</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At February 2, 2002, total inventories of $57.7 million were unchanged when compared to the prior year total inventories of $57.7 million at February 3, 2001. On a per square foot basis, inventory levels decreased 6% in fiscal 2002 to $57.99 per square foot from $61.94 per square foot in fiscal 2001. The Company's increased promotional activities in fiscal 2002 and the Company's continued efforts to control inventory levels were the primary reasons for the decrease on a per square foot basis.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19" w:name="page20"/>
    <w:bookmarkEnd w:id="19"/>
    <w:p>
      <w:pPr>
        <w:ind w:right="3339"/>
        <w:spacing w:after="0" w:line="251" w:lineRule="auto"/>
        <w:rPr>
          <w:sz w:val="20"/>
          <w:szCs w:val="20"/>
          <w:color w:val="auto"/>
        </w:rPr>
      </w:pPr>
      <w:r>
        <w:rPr>
          <w:rFonts w:ascii="Courier New" w:cs="Courier New" w:eastAsia="Courier New" w:hAnsi="Courier New"/>
          <w:sz w:val="14"/>
          <w:szCs w:val="14"/>
          <w:color w:val="auto"/>
        </w:rPr>
        <w:t>In the first quarter of fiscal 2002, the Company changed its method of determining the cost of inventories from the last-in, first-out (LIFO) method to the first-in, first-out (FIFO) method. Management believes that the FIFO method better measures the current value of such inventories and provides a more appropriate matching of revenues and expenses. In the current low-inflationary environment, management believes that the use of the FIFO method more accurately reflects the Company's financial position. The effect of this change was immaterial to the financial results of the prior reporting periods of the Company and therefore did not require retroactive restatement of results for those prior periods.</w:t>
      </w:r>
    </w:p>
    <w:p>
      <w:pPr>
        <w:spacing w:after="0" w:line="329"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continues to evaluate and, within the discretion of management, act upon opportunities to purchase substantial quantities of Levi's(R) and Dockers(R) brand products for its Levi's(R) Outlet and Dockers(R) Outlet stores.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Repurchase Programs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second and third quarters of fiscal 2001, the Company repurchased 863,000 shares of its Common Stock at an aggregate cost of $1,861,000 under a Stock Repurchase Program that was approved by the Company's Board of Directors in June 2000. In December 2000, the Company repurchased 1.8 million shares at $2.50 per share through a "Dutch Auction" tender offer. Under the terms of the offer, the Company invited its stockholders to tender their shares to the Company at prices specified by the tendering stockholders not in excess of $3.00 nor less than $2.20 per share, in ten-cent ($0.10) increments. The Company selected the lowest single per-share purchase price that would allow it to buy 1.5 million shares, or up to an additional 1.0 million shares at the Company's option.</w:t>
      </w:r>
    </w:p>
    <w:p>
      <w:pPr>
        <w:spacing w:after="0" w:line="329"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At February 2, 2002, the Company has a total of 3,040,000 shares of repurchased Common Stock at an aggregate cost of $8.5 million which is reported by the Company as treasury stock and is reflected as a reduction in stockholders' equity.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fiscal 2001, the Company had a $1 million promissory note which was payable to Atlantic Harbor, Inc. in conjunction with the Company's acquisition of certain assets from Boston Trading Ltd., Inc. ("Boston Trading") in May 1995. In the first quarter of fiscal 1997, the Company had asserted certain indemnification rights and accordingly did not pay any principal payments on the note. In January 1998, Atlantic Harbor, Inc. filed a lawsuit against the Company for failing to pay the outstanding principal amount of the promissory note, and in March 1998, the Company filed a counterclaim against Atlantic Harbor, Inc. alleging that the Company suffered damaged in excess of $1 million because of the breach of certain representations and warranties made by Atlantic Harbor, Inc. and its stockholders concerning the existence and condition of certain foreign trademark registrations and license agreements.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first quarter of fiscal 2002, the Company entered into a settlement agreement with Atlantic Harbor, Inc. whereby the Company agreed to pay $450,000 to Atlantic Harbor, Inc. as settlement for all obligations under the outstanding promissory note. In exchange, the Company agreed to transfer and assign all trademarks and license agreements acquired as part of the original purchase agreement to a new entity in which the Company would have a 15% equity interest, with Atlantic Harbor, Inc and its affiliates retaining the remaining interest. In addition, the Company would also be entitled to receive up to an additional $150,000 from existing license royalties over the next four years. The Company recorded a gain on the settlement of this matter in the amount of $550,000 in the fourth quarter of fiscal 2001, which was included in "Provision for impairment of assets, store closing and severance" on the Consolidated Statements of Operations. See "Item 3. Legal Proceedings" for more discussion.</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CAPITAL EXPENDITURES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following table sets forth the stores opened, remodeled and closed and the capital expenditures incurred for the fiscal years presented:</w:t>
      </w:r>
    </w:p>
    <w:p>
      <w:pPr>
        <w:spacing w:after="0" w:line="160" w:lineRule="exact"/>
        <w:rPr>
          <w:sz w:val="20"/>
          <w:szCs w:val="20"/>
          <w:color w:val="auto"/>
        </w:rPr>
      </w:pPr>
    </w:p>
    <w:p>
      <w:pPr>
        <w:ind w:left="4400"/>
        <w:spacing w:after="0"/>
        <w:tabs>
          <w:tab w:leader="none" w:pos="5420" w:val="left"/>
          <w:tab w:leader="none" w:pos="6440" w:val="left"/>
        </w:tabs>
        <w:rPr>
          <w:sz w:val="20"/>
          <w:szCs w:val="20"/>
          <w:color w:val="auto"/>
        </w:rPr>
      </w:pP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New Stores: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Levi's(R)/Dockers(R) Outlets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Dockers(R) Outlets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3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Candie's(R) Outlet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Remodeled Stores:</w:t>
            </w: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Remodeled Levi's(R) Outlets</w:t>
            </w:r>
          </w:p>
        </w:tc>
        <w:tc>
          <w:tcPr>
            <w:tcW w:w="1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540" w:type="dxa"/>
            <w:vAlign w:val="bottom"/>
          </w:tcPr>
          <w:p>
            <w:pPr>
              <w:ind w:left="1560"/>
              <w:spacing w:after="0"/>
              <w:rPr>
                <w:sz w:val="20"/>
                <w:szCs w:val="20"/>
                <w:color w:val="auto"/>
              </w:rPr>
            </w:pPr>
            <w:r>
              <w:rPr>
                <w:rFonts w:ascii="Courier New" w:cs="Courier New" w:eastAsia="Courier New" w:hAnsi="Courier New"/>
                <w:sz w:val="14"/>
                <w:szCs w:val="14"/>
                <w:color w:val="auto"/>
              </w:rPr>
              <w:t>By Designs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3540" w:type="dxa"/>
            <w:vAlign w:val="bottom"/>
          </w:tcPr>
          <w:p>
            <w:pPr>
              <w:spacing w:after="0"/>
              <w:rPr>
                <w:sz w:val="14"/>
                <w:szCs w:val="14"/>
                <w:color w:val="auto"/>
              </w:rPr>
            </w:pPr>
          </w:p>
        </w:tc>
        <w:tc>
          <w:tcPr>
            <w:tcW w:w="33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Total new and remodeled</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3540" w:type="dxa"/>
            <w:vAlign w:val="bottom"/>
          </w:tcPr>
          <w:p>
            <w:pPr>
              <w:spacing w:after="0"/>
              <w:rPr>
                <w:sz w:val="14"/>
                <w:szCs w:val="14"/>
                <w:color w:val="auto"/>
              </w:rPr>
            </w:pPr>
          </w:p>
        </w:tc>
        <w:tc>
          <w:tcPr>
            <w:tcW w:w="33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Total closed stores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3540" w:type="dxa"/>
            <w:vAlign w:val="bottom"/>
          </w:tcPr>
          <w:p>
            <w:pPr>
              <w:spacing w:after="0"/>
              <w:rPr>
                <w:sz w:val="14"/>
                <w:szCs w:val="14"/>
                <w:color w:val="auto"/>
              </w:rPr>
            </w:pPr>
          </w:p>
        </w:tc>
        <w:tc>
          <w:tcPr>
            <w:tcW w:w="33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Capital expenditures (000's)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$4,666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$5,823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$6,006</w:t>
            </w:r>
          </w:p>
        </w:tc>
      </w:tr>
      <w:tr>
        <w:trPr>
          <w:trHeight w:val="166"/>
        </w:trPr>
        <w:tc>
          <w:tcPr>
            <w:tcW w:w="3540" w:type="dxa"/>
            <w:vAlign w:val="bottom"/>
          </w:tcPr>
          <w:p>
            <w:pPr>
              <w:spacing w:after="0"/>
              <w:rPr>
                <w:sz w:val="14"/>
                <w:szCs w:val="14"/>
                <w:color w:val="auto"/>
              </w:rPr>
            </w:pPr>
          </w:p>
        </w:tc>
        <w:tc>
          <w:tcPr>
            <w:tcW w:w="33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fiscal 2002, the Company received approximately $3.7 million in landlord allowances against the total new and remodeled store capital expenditures of $4.7 million. The Company incurred capital expenditures of $3.0 million in fiscal 2002 related to miscellaneous leasehold improvements at the Company's corporate headquarters, technology expenditures and other store capital.</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plan for fiscal 2003 is to open a total of 15 to 20 new outlet stores, 16 of which are scheduled to open in time for the important back-to-school selling season. The Company expects to open eleven new Candie's(R) junior footwear and apparel outlet stores by mid-year. Four of these stores will be built utilizing space from the Company's existing Levi's(R)/Dockers(R) stores which are located in outlet centers in New York, New England and Puerto Rico. Several of the Company's existing higher volume Levi's(R)/Dockers(R) outlet stores currently average 13,000 to 15,000 square feet which is more than the Company's ideal prototype store size of 9,000 square feet. By utilizing this excess space for the new Candie's(R) outlet stores, the Company can leverage expenses while increasing profitability. The remaining seven Candie's(R) outlet stores to be open will include five in California, one in Las Vegas, Nevada and one in Miami, Florida.</w:t>
      </w:r>
    </w:p>
    <w:p>
      <w:pPr>
        <w:spacing w:after="0" w:line="329"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plans to open its first EcKo(R) outlet stores by the back-to-school season. As the Company continues to discuss its growth strategy with other manufacturers, new store locations may be added to the Company's current expansion plans.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Capital expenditures for fiscal 2003 are expected to be approximately $4.0 million, of which $2.5 million relates to the expansion plan discussed above. This amount is net of committed landlord allowances of approximately $910,000 that the Company will receive. The expected cost to build a Candie's(R) Outlet store is approximately $25-30 square foot, net of tenant allowances. These store locations, which will average approximately 2,800 square feet, will require limited initial cash requirements which is why the Company will be able to fund the above expansion plan through the use of its cash from operations and its existing credit facility.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financial statements are based on the application of significant accounting policies, many of which require management to make significant estimates and assumptions (see Note A to the consolidated financial statements). The Company believes that the following are some of the more critical judgment areas in the application of its accounting policies that currently affect our financial condition and results of operations.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Inventory. The Company records inventory at the lower of cost or market on a first-in first-out basis ("FIFO"). The Company reserves for obsolescence based on the difference between the weighted average cost of the inventory and the estimated market value based on assumptions of future demand and market conditions. If actual market conditions are less favorable than those projected by management, additional reserves may be required.</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21" w:name="page22"/>
    <w:bookmarkEnd w:id="21"/>
    <w:p>
      <w:pPr>
        <w:ind w:right="3339"/>
        <w:spacing w:after="0" w:line="251" w:lineRule="auto"/>
        <w:rPr>
          <w:sz w:val="20"/>
          <w:szCs w:val="20"/>
          <w:color w:val="auto"/>
        </w:rPr>
      </w:pPr>
      <w:r>
        <w:rPr>
          <w:rFonts w:ascii="Courier New" w:cs="Courier New" w:eastAsia="Courier New" w:hAnsi="Courier New"/>
          <w:sz w:val="14"/>
          <w:szCs w:val="14"/>
          <w:color w:val="auto"/>
        </w:rPr>
        <w:t>Impairment of Long-Lived Assets. The Company reviews its long-lived assets for impairment when indicators of impairment are present and the undiscounted cash flow estimated to be generated by those assets are less than the assets' carrying amount. The Company evaluates its long-lived assets for impairment at a store level for all its retail locations. If actual market conditions are less favorable than management's projections, future write-offs may be necessary.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Deferred Taxes. The Company records a valuation allowance to reduce its deferred tax assets to the amount that is more likely than not to be realized. The Company has considered estimated future taxable income and ongoing tax planning strategies in assessing the amount needed for the valuation allowance. If actual results differ unfavorably from those estimates used, the Company may not be able to realize all or part of its net deferred tax assets and additional valuation allowances may be required.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2001, the Financial Accounting Standards Board issued Statements of Financial Accounting Standards No. 141 "Business Combinations" and No. 142 "Goodwill and Other Intangible Assets" (the "Statements"), effective for fiscal years beginning after December 15, 2001. Under the new rules, goodwill will no longer be amortized but will be subject to annual impairment tests in accordance with the Statements. The Company will apply the new accounting rules under the Statements beginning in the first quarter of fiscal 2003. Management does not believe that the adoption of the impairment provisions of the Statements will have a material impact on the Company's overall financial position or results of operations.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July 2001, the FASB also issued Statement No. 143 "Accounting for Asset Retirement Obligations". This Statement requires recording the fair value of a liability for an asset retirement obligation in the period in which it is incurred and capitalizing the associated asset retirement costs as part of the carrying amount of the long-lived asset. Adoption of this Statement is required for fiscal years beginning after June 15, 2002. Management does not believe that the adoption of this Statement will have a material impact on the Company's overall financial position or results of operations.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October 2001, the FASB issued Statement No. 144 "Accounting for the Impairment or Disposal of Long-Lived Assets". This Statement supercedes Statement No. 121. Although this Statement retains many of the fundamental provisions of Statement No. 121, it expands the scope of discontinued operations to include more disposal transactions and significantly changes the criteria for classifying an asset as held-for-sale. The provisions of this Statement are effective for fiscal years beginning after December 15, 2001. Management does not believe that the adoption of this Statement will have a material impact on the Company's overall financial position or results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EFFECTS OF INFLATION</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Although the Company's operations are influenced by general economic trends, the Company does not believe that inflation has had a material effect on the results of its operations in the last three fiscal years.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RISKS AND UNCERTAINTIES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This Annual Report on Form 10-K, including the foregoing discussion of results of operations, liquidity, capital resources and capital expenditures, contains certain forward-looking statements within the meaning of Section 27A of the Securities Exchange Act of 1933 and Section 21E of the Securities Exchange Act of 1934. Forward-looking statements are statements other than historical information or statements of current conditions. Some forward-looking statements may be identified by use of terms such as "believe," "anticipate," "intends," or "expects." These forward-looking statements in this Annual Report on Form 10-K should not be regarded as a representation by the Company or any other person that the objectives or plans of the Company will be achieved. Numerous factors could cause the Company's actual results to differ materially from such forward-looking statements. The Company encourages readers to refer to the Company's Current Report on Form 8-K, previously filed with the Securities and Exchange Commission on April 28, 2000, which identifies certain risks and uncertainties that may have an impact on future earnings and the direction of the Company. The Company undertakes no obligation to release publicly the results of any future revisions it may make to forward-looking statements to reflect events or circumstances after the date hereof or to reflect the occurrence of unanticipated events.</w:t>
      </w: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the normal course of business, the financial position and results of operations of the Company are routinely subject to a variety of risks, including market risk associated with interest rate movements on borrowings. The Company regularly assesses these risks and has established policies and business practices to protect against the adverse effects of these and other potential exposures. The Company utilizes cash from operations and a revolving credit facility to fund its working capital needs. The Company's revolving credit facility is not used for trading or speculative purposes. In addition, the Company has available letters of credit as sources of financing for its working capital requirements. Borrowings under this credit agreement, which expires in November 2003, bear interest at variable rates based on FleetBoston, N.A.'s prime rate or the London Interbank Offering Rate ("LIBOR"). These interest rates at February 2, 2002 were 4.75% for prime based borrowings and included various LIBOR contracts with interest rates ranging from 4.016% to 4.374%. Based upon sensitivity analysis as of February 2, 2002, a 10% increase in interest rates would result in a potential increase in interest expense of approximately $140,000.</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20"/>
                <w:szCs w:val="20"/>
                <w:color w:val="auto"/>
              </w:rPr>
            </w:pPr>
            <w:r>
              <w:rPr>
                <w:rFonts w:ascii="Courier New" w:cs="Courier New" w:eastAsia="Courier New" w:hAnsi="Courier New"/>
                <w:sz w:val="14"/>
                <w:szCs w:val="14"/>
                <w:color w:val="auto"/>
              </w:rPr>
              <w:t>Item 8. Financial Statements and Supplementary Data</w:t>
            </w:r>
          </w:p>
        </w:tc>
        <w:tc>
          <w:tcPr>
            <w:tcW w:w="520" w:type="dxa"/>
            <w:vAlign w:val="bottom"/>
          </w:tcPr>
          <w:p>
            <w:pPr>
              <w:spacing w:after="0"/>
              <w:rPr>
                <w:sz w:val="14"/>
                <w:szCs w:val="14"/>
                <w:color w:val="auto"/>
              </w:rPr>
            </w:pPr>
          </w:p>
        </w:tc>
      </w:tr>
      <w:tr>
        <w:trPr>
          <w:trHeight w:val="331"/>
        </w:trPr>
        <w:tc>
          <w:tcPr>
            <w:tcW w:w="6200" w:type="dxa"/>
            <w:vAlign w:val="bottom"/>
          </w:tcPr>
          <w:p>
            <w:pPr>
              <w:ind w:left="2940"/>
              <w:spacing w:after="0"/>
              <w:rPr>
                <w:sz w:val="20"/>
                <w:szCs w:val="20"/>
                <w:color w:val="auto"/>
              </w:rPr>
            </w:pPr>
            <w:r>
              <w:rPr>
                <w:rFonts w:ascii="Courier New" w:cs="Courier New" w:eastAsia="Courier New" w:hAnsi="Courier New"/>
                <w:sz w:val="14"/>
                <w:szCs w:val="14"/>
                <w:color w:val="auto"/>
              </w:rPr>
              <w:t>DESIGNS, INC.</w:t>
            </w:r>
          </w:p>
        </w:tc>
        <w:tc>
          <w:tcPr>
            <w:tcW w:w="520" w:type="dxa"/>
            <w:vAlign w:val="bottom"/>
          </w:tcPr>
          <w:p>
            <w:pPr>
              <w:spacing w:after="0"/>
              <w:rPr>
                <w:sz w:val="24"/>
                <w:szCs w:val="24"/>
                <w:color w:val="auto"/>
              </w:rPr>
            </w:pPr>
          </w:p>
        </w:tc>
      </w:tr>
      <w:tr>
        <w:trPr>
          <w:trHeight w:val="166"/>
        </w:trPr>
        <w:tc>
          <w:tcPr>
            <w:tcW w:w="62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INDEX TO CONSOLIDATED FINANCIAL STATEMENTS</w:t>
            </w:r>
          </w:p>
        </w:tc>
        <w:tc>
          <w:tcPr>
            <w:tcW w:w="520" w:type="dxa"/>
            <w:vAlign w:val="bottom"/>
          </w:tcPr>
          <w:p>
            <w:pPr>
              <w:spacing w:after="0"/>
              <w:rPr>
                <w:sz w:val="14"/>
                <w:szCs w:val="14"/>
                <w:color w:val="auto"/>
              </w:rPr>
            </w:pPr>
          </w:p>
        </w:tc>
      </w:tr>
      <w:tr>
        <w:trPr>
          <w:trHeight w:val="331"/>
        </w:trPr>
        <w:tc>
          <w:tcPr>
            <w:tcW w:w="620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6200" w:type="dxa"/>
            <w:vAlign w:val="bottom"/>
          </w:tcPr>
          <w:p>
            <w:pPr>
              <w:spacing w:after="0"/>
              <w:rPr>
                <w:sz w:val="14"/>
                <w:szCs w:val="14"/>
                <w:color w:val="auto"/>
              </w:rPr>
            </w:pPr>
          </w:p>
        </w:tc>
        <w:tc>
          <w:tcPr>
            <w:tcW w:w="5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200" w:type="dxa"/>
            <w:vAlign w:val="bottom"/>
          </w:tcPr>
          <w:p>
            <w:pPr>
              <w:spacing w:after="0"/>
              <w:rPr>
                <w:sz w:val="20"/>
                <w:szCs w:val="20"/>
                <w:color w:val="auto"/>
              </w:rPr>
            </w:pPr>
            <w:r>
              <w:rPr>
                <w:rFonts w:ascii="Courier New" w:cs="Courier New" w:eastAsia="Courier New" w:hAnsi="Courier New"/>
                <w:sz w:val="14"/>
                <w:szCs w:val="14"/>
                <w:color w:val="auto"/>
              </w:rPr>
              <w:t>Management's Responsibility for Financial Reporting</w:t>
            </w:r>
          </w:p>
        </w:tc>
        <w:tc>
          <w:tcPr>
            <w:tcW w:w="5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25</w:t>
            </w:r>
          </w:p>
        </w:tc>
      </w:tr>
      <w:tr>
        <w:trPr>
          <w:trHeight w:val="331"/>
        </w:trPr>
        <w:tc>
          <w:tcPr>
            <w:tcW w:w="6200" w:type="dxa"/>
            <w:vAlign w:val="bottom"/>
          </w:tcPr>
          <w:p>
            <w:pPr>
              <w:spacing w:after="0"/>
              <w:rPr>
                <w:sz w:val="20"/>
                <w:szCs w:val="20"/>
                <w:color w:val="auto"/>
              </w:rPr>
            </w:pPr>
            <w:r>
              <w:rPr>
                <w:rFonts w:ascii="Courier New" w:cs="Courier New" w:eastAsia="Courier New" w:hAnsi="Courier New"/>
                <w:sz w:val="14"/>
                <w:szCs w:val="14"/>
                <w:color w:val="auto"/>
              </w:rPr>
              <w:t>Report of Ernst &amp; Young, Independent Auditors</w:t>
            </w:r>
          </w:p>
        </w:tc>
        <w:tc>
          <w:tcPr>
            <w:tcW w:w="5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26</w:t>
            </w:r>
          </w:p>
        </w:tc>
      </w:tr>
      <w:tr>
        <w:trPr>
          <w:trHeight w:val="331"/>
        </w:trPr>
        <w:tc>
          <w:tcPr>
            <w:tcW w:w="6200" w:type="dxa"/>
            <w:vAlign w:val="bottom"/>
          </w:tcPr>
          <w:p>
            <w:pPr>
              <w:spacing w:after="0"/>
              <w:rPr>
                <w:sz w:val="20"/>
                <w:szCs w:val="20"/>
                <w:color w:val="auto"/>
              </w:rPr>
            </w:pPr>
            <w:r>
              <w:rPr>
                <w:rFonts w:ascii="Courier New" w:cs="Courier New" w:eastAsia="Courier New" w:hAnsi="Courier New"/>
                <w:sz w:val="14"/>
                <w:szCs w:val="14"/>
                <w:color w:val="auto"/>
              </w:rPr>
              <w:t>Independent Auditors' Report</w:t>
            </w:r>
          </w:p>
        </w:tc>
        <w:tc>
          <w:tcPr>
            <w:tcW w:w="5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27</w:t>
            </w:r>
          </w:p>
        </w:tc>
      </w:tr>
      <w:tr>
        <w:trPr>
          <w:trHeight w:val="331"/>
        </w:trPr>
        <w:tc>
          <w:tcPr>
            <w:tcW w:w="6200" w:type="dxa"/>
            <w:vAlign w:val="bottom"/>
          </w:tcPr>
          <w:p>
            <w:pPr>
              <w:spacing w:after="0"/>
              <w:rPr>
                <w:sz w:val="20"/>
                <w:szCs w:val="20"/>
                <w:color w:val="auto"/>
              </w:rPr>
            </w:pPr>
            <w:r>
              <w:rPr>
                <w:rFonts w:ascii="Courier New" w:cs="Courier New" w:eastAsia="Courier New" w:hAnsi="Courier New"/>
                <w:sz w:val="14"/>
                <w:szCs w:val="14"/>
                <w:color w:val="auto"/>
              </w:rPr>
              <w:t>Consolidated Financial Statements:</w:t>
            </w:r>
          </w:p>
        </w:tc>
        <w:tc>
          <w:tcPr>
            <w:tcW w:w="520" w:type="dxa"/>
            <w:vAlign w:val="bottom"/>
          </w:tcPr>
          <w:p>
            <w:pPr>
              <w:spacing w:after="0"/>
              <w:rPr>
                <w:sz w:val="24"/>
                <w:szCs w:val="24"/>
                <w:color w:val="auto"/>
              </w:rPr>
            </w:pPr>
          </w:p>
        </w:tc>
      </w:tr>
      <w:tr>
        <w:trPr>
          <w:trHeight w:val="331"/>
        </w:trPr>
        <w:tc>
          <w:tcPr>
            <w:tcW w:w="6200" w:type="dxa"/>
            <w:vAlign w:val="bottom"/>
          </w:tcPr>
          <w:p>
            <w:pPr>
              <w:ind w:left="520"/>
              <w:spacing w:after="0"/>
              <w:rPr>
                <w:sz w:val="20"/>
                <w:szCs w:val="20"/>
                <w:color w:val="auto"/>
              </w:rPr>
            </w:pPr>
            <w:r>
              <w:rPr>
                <w:rFonts w:ascii="Courier New" w:cs="Courier New" w:eastAsia="Courier New" w:hAnsi="Courier New"/>
                <w:sz w:val="14"/>
                <w:szCs w:val="14"/>
                <w:color w:val="auto"/>
              </w:rPr>
              <w:t>Consolidated Balance Sheets at February 2, 2002</w:t>
            </w:r>
          </w:p>
        </w:tc>
        <w:tc>
          <w:tcPr>
            <w:tcW w:w="520" w:type="dxa"/>
            <w:vAlign w:val="bottom"/>
          </w:tcPr>
          <w:p>
            <w:pPr>
              <w:spacing w:after="0"/>
              <w:rPr>
                <w:sz w:val="24"/>
                <w:szCs w:val="24"/>
                <w:color w:val="auto"/>
              </w:rPr>
            </w:pPr>
          </w:p>
        </w:tc>
      </w:tr>
      <w:tr>
        <w:trPr>
          <w:trHeight w:val="166"/>
        </w:trPr>
        <w:tc>
          <w:tcPr>
            <w:tcW w:w="6200" w:type="dxa"/>
            <w:vAlign w:val="bottom"/>
          </w:tcPr>
          <w:p>
            <w:pPr>
              <w:ind w:left="700"/>
              <w:spacing w:after="0"/>
              <w:rPr>
                <w:sz w:val="20"/>
                <w:szCs w:val="20"/>
                <w:color w:val="auto"/>
              </w:rPr>
            </w:pPr>
            <w:r>
              <w:rPr>
                <w:rFonts w:ascii="Courier New" w:cs="Courier New" w:eastAsia="Courier New" w:hAnsi="Courier New"/>
                <w:sz w:val="14"/>
                <w:szCs w:val="14"/>
                <w:color w:val="auto"/>
              </w:rPr>
              <w:t>and February 3, 2001</w:t>
            </w:r>
          </w:p>
        </w:tc>
        <w:tc>
          <w:tcPr>
            <w:tcW w:w="5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28</w:t>
            </w:r>
          </w:p>
        </w:tc>
      </w:tr>
      <w:tr>
        <w:trPr>
          <w:trHeight w:val="331"/>
        </w:trPr>
        <w:tc>
          <w:tcPr>
            <w:tcW w:w="6200" w:type="dxa"/>
            <w:vAlign w:val="bottom"/>
          </w:tcPr>
          <w:p>
            <w:pPr>
              <w:ind w:left="520"/>
              <w:spacing w:after="0"/>
              <w:rPr>
                <w:sz w:val="20"/>
                <w:szCs w:val="20"/>
                <w:color w:val="auto"/>
              </w:rPr>
            </w:pPr>
            <w:r>
              <w:rPr>
                <w:rFonts w:ascii="Courier New" w:cs="Courier New" w:eastAsia="Courier New" w:hAnsi="Courier New"/>
                <w:sz w:val="14"/>
                <w:szCs w:val="14"/>
                <w:color w:val="auto"/>
              </w:rPr>
              <w:t>Consolidated Statements of Operations for the Fiscal Years Ended</w:t>
            </w:r>
          </w:p>
        </w:tc>
        <w:tc>
          <w:tcPr>
            <w:tcW w:w="520" w:type="dxa"/>
            <w:vAlign w:val="bottom"/>
          </w:tcPr>
          <w:p>
            <w:pPr>
              <w:spacing w:after="0"/>
              <w:rPr>
                <w:sz w:val="24"/>
                <w:szCs w:val="24"/>
                <w:color w:val="auto"/>
              </w:rPr>
            </w:pPr>
          </w:p>
        </w:tc>
      </w:tr>
      <w:tr>
        <w:trPr>
          <w:trHeight w:val="166"/>
        </w:trPr>
        <w:tc>
          <w:tcPr>
            <w:tcW w:w="62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February 2, 2002 February 3, 2001 and January 29, 2000</w:t>
            </w:r>
          </w:p>
        </w:tc>
        <w:tc>
          <w:tcPr>
            <w:tcW w:w="5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29</w:t>
            </w:r>
          </w:p>
        </w:tc>
      </w:tr>
      <w:tr>
        <w:trPr>
          <w:trHeight w:val="331"/>
        </w:trPr>
        <w:tc>
          <w:tcPr>
            <w:tcW w:w="6200" w:type="dxa"/>
            <w:vAlign w:val="bottom"/>
          </w:tcPr>
          <w:p>
            <w:pPr>
              <w:ind w:left="520"/>
              <w:spacing w:after="0"/>
              <w:rPr>
                <w:sz w:val="20"/>
                <w:szCs w:val="20"/>
                <w:color w:val="auto"/>
              </w:rPr>
            </w:pPr>
            <w:r>
              <w:rPr>
                <w:rFonts w:ascii="Courier New" w:cs="Courier New" w:eastAsia="Courier New" w:hAnsi="Courier New"/>
                <w:sz w:val="14"/>
                <w:szCs w:val="14"/>
                <w:color w:val="auto"/>
              </w:rPr>
              <w:t>Consolidated Statements of Changes in Stockholders'</w:t>
            </w:r>
          </w:p>
        </w:tc>
        <w:tc>
          <w:tcPr>
            <w:tcW w:w="520" w:type="dxa"/>
            <w:vAlign w:val="bottom"/>
          </w:tcPr>
          <w:p>
            <w:pPr>
              <w:spacing w:after="0"/>
              <w:rPr>
                <w:sz w:val="24"/>
                <w:szCs w:val="24"/>
                <w:color w:val="auto"/>
              </w:rPr>
            </w:pPr>
          </w:p>
        </w:tc>
      </w:tr>
      <w:tr>
        <w:trPr>
          <w:trHeight w:val="166"/>
        </w:trPr>
        <w:tc>
          <w:tcPr>
            <w:tcW w:w="6200" w:type="dxa"/>
            <w:vAlign w:val="bottom"/>
          </w:tcPr>
          <w:p>
            <w:pPr>
              <w:ind w:left="700"/>
              <w:spacing w:after="0"/>
              <w:rPr>
                <w:sz w:val="20"/>
                <w:szCs w:val="20"/>
                <w:color w:val="auto"/>
              </w:rPr>
            </w:pPr>
            <w:r>
              <w:rPr>
                <w:rFonts w:ascii="Courier New" w:cs="Courier New" w:eastAsia="Courier New" w:hAnsi="Courier New"/>
                <w:sz w:val="14"/>
                <w:szCs w:val="14"/>
                <w:color w:val="auto"/>
              </w:rPr>
              <w:t>Equity for the Fiscal Years Ended February 2, 2002, February</w:t>
            </w:r>
          </w:p>
        </w:tc>
        <w:tc>
          <w:tcPr>
            <w:tcW w:w="520" w:type="dxa"/>
            <w:vAlign w:val="bottom"/>
          </w:tcPr>
          <w:p>
            <w:pPr>
              <w:spacing w:after="0"/>
              <w:rPr>
                <w:sz w:val="14"/>
                <w:szCs w:val="14"/>
                <w:color w:val="auto"/>
              </w:rPr>
            </w:pPr>
          </w:p>
        </w:tc>
      </w:tr>
      <w:tr>
        <w:trPr>
          <w:trHeight w:val="166"/>
        </w:trPr>
        <w:tc>
          <w:tcPr>
            <w:tcW w:w="6200" w:type="dxa"/>
            <w:vAlign w:val="bottom"/>
          </w:tcPr>
          <w:p>
            <w:pPr>
              <w:ind w:left="700"/>
              <w:spacing w:after="0"/>
              <w:rPr>
                <w:sz w:val="20"/>
                <w:szCs w:val="20"/>
                <w:color w:val="auto"/>
              </w:rPr>
            </w:pPr>
            <w:r>
              <w:rPr>
                <w:rFonts w:ascii="Courier New" w:cs="Courier New" w:eastAsia="Courier New" w:hAnsi="Courier New"/>
                <w:sz w:val="14"/>
                <w:szCs w:val="14"/>
                <w:color w:val="auto"/>
              </w:rPr>
              <w:t>3, 2001 and January 29, 2000</w:t>
            </w:r>
          </w:p>
        </w:tc>
        <w:tc>
          <w:tcPr>
            <w:tcW w:w="5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30</w:t>
            </w:r>
          </w:p>
        </w:tc>
      </w:tr>
      <w:tr>
        <w:trPr>
          <w:trHeight w:val="331"/>
        </w:trPr>
        <w:tc>
          <w:tcPr>
            <w:tcW w:w="6200" w:type="dxa"/>
            <w:vAlign w:val="bottom"/>
          </w:tcPr>
          <w:p>
            <w:pPr>
              <w:ind w:left="520"/>
              <w:spacing w:after="0"/>
              <w:rPr>
                <w:sz w:val="20"/>
                <w:szCs w:val="20"/>
                <w:color w:val="auto"/>
              </w:rPr>
            </w:pPr>
            <w:r>
              <w:rPr>
                <w:rFonts w:ascii="Courier New" w:cs="Courier New" w:eastAsia="Courier New" w:hAnsi="Courier New"/>
                <w:sz w:val="14"/>
                <w:szCs w:val="14"/>
                <w:color w:val="auto"/>
              </w:rPr>
              <w:t>Consolidated Statements of Cash Flows for the Fiscal Years</w:t>
            </w:r>
          </w:p>
        </w:tc>
        <w:tc>
          <w:tcPr>
            <w:tcW w:w="520" w:type="dxa"/>
            <w:vAlign w:val="bottom"/>
          </w:tcPr>
          <w:p>
            <w:pPr>
              <w:spacing w:after="0"/>
              <w:rPr>
                <w:sz w:val="24"/>
                <w:szCs w:val="24"/>
                <w:color w:val="auto"/>
              </w:rPr>
            </w:pPr>
          </w:p>
        </w:tc>
      </w:tr>
      <w:tr>
        <w:trPr>
          <w:trHeight w:val="166"/>
        </w:trPr>
        <w:tc>
          <w:tcPr>
            <w:tcW w:w="6200" w:type="dxa"/>
            <w:vAlign w:val="bottom"/>
          </w:tcPr>
          <w:p>
            <w:pPr>
              <w:ind w:left="700"/>
              <w:spacing w:after="0"/>
              <w:rPr>
                <w:sz w:val="20"/>
                <w:szCs w:val="20"/>
                <w:color w:val="auto"/>
              </w:rPr>
            </w:pPr>
            <w:r>
              <w:rPr>
                <w:rFonts w:ascii="Courier New" w:cs="Courier New" w:eastAsia="Courier New" w:hAnsi="Courier New"/>
                <w:sz w:val="14"/>
                <w:szCs w:val="14"/>
                <w:color w:val="auto"/>
              </w:rPr>
              <w:t>Ended February 2, 2002, February 3, 2001 and January 29, 2000</w:t>
            </w:r>
          </w:p>
        </w:tc>
        <w:tc>
          <w:tcPr>
            <w:tcW w:w="5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31</w:t>
            </w:r>
          </w:p>
        </w:tc>
      </w:tr>
      <w:tr>
        <w:trPr>
          <w:trHeight w:val="331"/>
        </w:trPr>
        <w:tc>
          <w:tcPr>
            <w:tcW w:w="620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5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32</w:t>
            </w:r>
          </w:p>
        </w:tc>
      </w:tr>
      <w:tr>
        <w:trPr>
          <w:trHeight w:val="497"/>
        </w:trPr>
        <w:tc>
          <w:tcPr>
            <w:tcW w:w="6200" w:type="dxa"/>
            <w:vAlign w:val="bottom"/>
          </w:tcPr>
          <w:p>
            <w:pPr>
              <w:ind w:left="3360"/>
              <w:spacing w:after="0"/>
              <w:rPr>
                <w:sz w:val="20"/>
                <w:szCs w:val="20"/>
                <w:color w:val="auto"/>
              </w:rPr>
            </w:pPr>
            <w:r>
              <w:rPr>
                <w:rFonts w:ascii="Courier New" w:cs="Courier New" w:eastAsia="Courier New" w:hAnsi="Courier New"/>
                <w:sz w:val="14"/>
                <w:szCs w:val="14"/>
                <w:color w:val="auto"/>
              </w:rPr>
              <w:t>24</w:t>
            </w:r>
          </w:p>
        </w:tc>
        <w:tc>
          <w:tcPr>
            <w:tcW w:w="5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4" w:name="page25"/>
    <w:bookmarkEnd w:id="24"/>
    <w:p>
      <w:pPr>
        <w:ind w:left="1300"/>
        <w:spacing w:after="0"/>
        <w:rPr>
          <w:sz w:val="20"/>
          <w:szCs w:val="20"/>
          <w:color w:val="auto"/>
        </w:rPr>
      </w:pPr>
      <w:r>
        <w:rPr>
          <w:rFonts w:ascii="Courier New" w:cs="Courier New" w:eastAsia="Courier New" w:hAnsi="Courier New"/>
          <w:sz w:val="14"/>
          <w:szCs w:val="14"/>
          <w:color w:val="auto"/>
        </w:rPr>
        <w:t>MANAGEMENT'S RESPONSIBILITY FOR FINANCIAL REPORTING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integrity and objectivity of the financial statements and the related financial information in this report are the responsibility of the management of the Company. The financial statements have been prepared in conformity with generally accepted accounting principles and include, where necessary, the best estimates and judgments of management.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maintains a system of internal accounting control designed to provide reasonable assurance, at appropriate cost, that assets are safeguarded, transactions are executed in accordance with management's authorization and the accounting records provide a reliable basis for the preparation of the financial statements. The system of internal accounting control is regularly reviewed by management and improved and modified as necessary in response to changing business conditions.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Audit Committee of the Board of Directors, consisting solely of outside directors, meets periodically with management and the Company's independent auditors to review matters relating to the Company's financial reporting, the adequacy of internal accounting control and the scope and results of audit work. The independent auditors have free access to the Audit Committee.</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Ernst &amp; Young LLP, independent auditors, have been engaged to examine the financial statements of the Company for the fiscal year ended February 2, 2002. The Report of Ernst &amp; Young Independent Auditors expresses an opinion as to the fair presentation of the financial statements in accordance with generally accepted accounting principles and is based on an audit conducted in accordance with auditing standards generally accepted in the United States.</w:t>
      </w:r>
    </w:p>
    <w:p>
      <w:pPr>
        <w:sectPr>
          <w:pgSz w:w="11900" w:h="16838" w:orient="portrait"/>
          <w:cols w:equalWidth="0" w:num="1">
            <w:col w:w="10239"/>
          </w:cols>
          <w:pgMar w:left="220" w:top="616" w:right="1440" w:bottom="1440" w:gutter="0" w:footer="0" w:header="0"/>
        </w:sect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DAVID A. LEVIN</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DENNIS R. HERNREICH</w:t>
      </w:r>
    </w:p>
    <w:p>
      <w:pPr>
        <w:spacing w:after="0" w:line="173" w:lineRule="exact"/>
        <w:rPr>
          <w:sz w:val="20"/>
          <w:szCs w:val="20"/>
          <w:color w:val="auto"/>
        </w:rPr>
      </w:pPr>
    </w:p>
    <w:p>
      <w:pPr>
        <w:sectPr>
          <w:pgSz w:w="11900" w:h="16838" w:orient="portrait"/>
          <w:cols w:equalWidth="0" w:num="2">
            <w:col w:w="3080" w:space="720"/>
            <w:col w:w="64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David A. Levin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Dennis R. Hernreich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Officer &amp; Treasurer</w:t>
      </w:r>
    </w:p>
    <w:p>
      <w:pPr>
        <w:spacing w:after="0" w:line="200" w:lineRule="exact"/>
        <w:rPr>
          <w:sz w:val="20"/>
          <w:szCs w:val="20"/>
          <w:color w:val="auto"/>
        </w:rPr>
      </w:pPr>
    </w:p>
    <w:p>
      <w:pPr>
        <w:sectPr>
          <w:pgSz w:w="11900" w:h="16838" w:orient="portrait"/>
          <w:cols w:equalWidth="0" w:num="2">
            <w:col w:w="3200" w:space="600"/>
            <w:col w:w="6439"/>
          </w:cols>
          <w:pgMar w:left="220" w:top="616"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type w:val="continuous"/>
        </w:sectPr>
      </w:pPr>
    </w:p>
    <w:bookmarkStart w:id="25" w:name="page26"/>
    <w:bookmarkEnd w:id="25"/>
    <w:p>
      <w:pPr>
        <w:ind w:left="1560"/>
        <w:spacing w:after="0"/>
        <w:rPr>
          <w:sz w:val="20"/>
          <w:szCs w:val="20"/>
          <w:color w:val="auto"/>
        </w:rPr>
      </w:pPr>
      <w:r>
        <w:rPr>
          <w:rFonts w:ascii="Courier New" w:cs="Courier New" w:eastAsia="Courier New" w:hAnsi="Courier New"/>
          <w:sz w:val="14"/>
          <w:szCs w:val="14"/>
          <w:color w:val="auto"/>
        </w:rPr>
        <w:t>REPORT OF ERNST &amp; YOUNG, INDEPENDENT AUDITORS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Designs, Inc:</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Designs, Inc. as of February 2, 2002 and February 3, 2001 and the related consolidated statements of operations, changes in stockholders' equity and cash flows for each of the two years in the period ended February 2, 2002. Our audits also included the financial statement schedule for the years ended February 2, 2002 and February 3, 2001 listed in the Index as Item 14 (a)(2). These financial statements and schedule are the responsibility of the Company's management. Our responsibility is to express an opinion on the financial statements and schedule based on our audits.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Designs, Inc. at February 2, 2002 and February 3, 2001, and the consolidated results of its operations and its cash flows for each of the two years in the period ended February 2, 2002 in conformity with accounting principles generally accepted in the United States. Also, in our opinion, the related financial statement schedule, when considered in relation to the basic financial statements taken as a whole, presents fairly in all material respects the information set forth therein.</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11,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ERNST &amp; YOUNG LLP</w:t>
      </w:r>
    </w:p>
    <w:p>
      <w:pPr>
        <w:spacing w:after="0" w:line="365" w:lineRule="exact"/>
        <w:rPr>
          <w:sz w:val="20"/>
          <w:szCs w:val="20"/>
          <w:color w:val="auto"/>
        </w:rPr>
      </w:pPr>
    </w:p>
    <w:p>
      <w:pPr>
        <w:sectPr>
          <w:pgSz w:w="11900" w:h="16838" w:orient="portrait"/>
          <w:cols w:equalWidth="0" w:num="2">
            <w:col w:w="3080" w:space="720"/>
            <w:col w:w="6439"/>
          </w:cols>
          <w:pgMar w:left="220" w:top="616"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type w:val="continuous"/>
        </w:sectPr>
      </w:pPr>
    </w:p>
    <w:bookmarkStart w:id="26" w:name="page27"/>
    <w:bookmarkEnd w:id="26"/>
    <w:p>
      <w:pPr>
        <w:ind w:left="2240"/>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Designs, Inc:</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audited the accompanying consolidated statements of operations, stockholders' equity, and cash flows of Designs, Inc. (the "Company") for the year ended January 29, 2000. Our audit also included the financial statement schedule listed in the Index at Item 14 (a) (2). These financial statements and financial statement schedule are the responsibility of the Company's management. Our responsibility is to express an opinion on the financial statements and financial statement schedule based on our audit.</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our opinion, such financial statements present fairly, in all material respects, the results of the Company's operations and cash flows for the year ended January 29, 2000, in conformity with accounting principles generally accepted in the United States of America. Also, in our opinion, such financial statement schedule, when considered in relation to the basic financial statements taken as a whole, presents fairly in all material respects the information set forth therein.</w:t>
      </w:r>
    </w:p>
    <w:p>
      <w:pPr>
        <w:sectPr>
          <w:pgSz w:w="11900" w:h="16838" w:orient="portrait"/>
          <w:cols w:equalWidth="0" w:num="1">
            <w:col w:w="10239"/>
          </w:cols>
          <w:pgMar w:left="220" w:top="616" w:right="1440" w:bottom="1440" w:gutter="0" w:footer="0" w:header="0"/>
        </w:sect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11, 2000</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365" w:lineRule="exact"/>
        <w:rPr>
          <w:sz w:val="20"/>
          <w:szCs w:val="20"/>
          <w:color w:val="auto"/>
        </w:rPr>
      </w:pPr>
    </w:p>
    <w:p>
      <w:pPr>
        <w:sectPr>
          <w:pgSz w:w="11900" w:h="16838" w:orient="portrait"/>
          <w:cols w:equalWidth="0" w:num="2">
            <w:col w:w="3080" w:space="720"/>
            <w:col w:w="6439"/>
          </w:cols>
          <w:pgMar w:left="220" w:top="616" w:right="1440" w:bottom="1440" w:gutter="0" w:footer="0" w:header="0"/>
          <w:type w:val="continuous"/>
        </w:sectPr>
      </w:pPr>
    </w:p>
    <w:p>
      <w:pPr>
        <w:spacing w:after="0" w:line="1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type w:val="continuous"/>
        </w:sectPr>
      </w:pPr>
    </w:p>
    <w:bookmarkStart w:id="27" w:name="page28"/>
    <w:bookmarkEnd w:id="27"/>
    <w:p>
      <w:pPr>
        <w:jc w:val="center"/>
        <w:ind w:right="3239"/>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February 2, 2002 and February 3, 2001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February 2, 2002</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February 3, 2001</w:t>
            </w:r>
          </w:p>
        </w:tc>
      </w:tr>
      <w:tr>
        <w:trPr>
          <w:trHeight w:val="166"/>
        </w:trPr>
        <w:tc>
          <w:tcPr>
            <w:tcW w:w="5740" w:type="dxa"/>
            <w:vAlign w:val="bottom"/>
          </w:tcPr>
          <w:p>
            <w:pPr>
              <w:spacing w:after="0"/>
              <w:rPr>
                <w:sz w:val="14"/>
                <w:szCs w:val="14"/>
                <w:color w:val="auto"/>
              </w:rPr>
            </w:pP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(Fiscal 2002)</w:t>
            </w:r>
          </w:p>
        </w:tc>
        <w:tc>
          <w:tcPr>
            <w:tcW w:w="1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(Fiscal 2001)</w:t>
            </w:r>
          </w:p>
        </w:tc>
      </w:tr>
      <w:tr>
        <w:trPr>
          <w:trHeight w:val="166"/>
        </w:trPr>
        <w:tc>
          <w:tcPr>
            <w:tcW w:w="5740" w:type="dxa"/>
            <w:vAlign w:val="bottom"/>
          </w:tcPr>
          <w:p>
            <w:pPr>
              <w:spacing w:after="0"/>
              <w:rPr>
                <w:sz w:val="14"/>
                <w:szCs w:val="14"/>
                <w:color w:val="auto"/>
              </w:rPr>
            </w:pPr>
          </w:p>
        </w:tc>
        <w:tc>
          <w:tcPr>
            <w:tcW w:w="30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0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(In thousands, except share data)</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Accounts receivable</w:t>
            </w:r>
          </w:p>
        </w:tc>
        <w:tc>
          <w:tcPr>
            <w:tcW w:w="6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491</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6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57,734</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57,675</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6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652</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765</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Prepaid expenses</w:t>
            </w:r>
          </w:p>
        </w:tc>
        <w:tc>
          <w:tcPr>
            <w:tcW w:w="6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2,887</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3,093</w:t>
            </w:r>
          </w:p>
        </w:tc>
      </w:tr>
      <w:tr>
        <w:trPr>
          <w:trHeight w:val="166"/>
        </w:trPr>
        <w:tc>
          <w:tcPr>
            <w:tcW w:w="5740" w:type="dxa"/>
            <w:vAlign w:val="bottom"/>
          </w:tcPr>
          <w:p>
            <w:pPr>
              <w:spacing w:after="0"/>
              <w:rPr>
                <w:sz w:val="14"/>
                <w:szCs w:val="14"/>
                <w:color w:val="auto"/>
              </w:rPr>
            </w:pPr>
          </w:p>
        </w:tc>
        <w:tc>
          <w:tcPr>
            <w:tcW w:w="3060" w:type="dxa"/>
            <w:vAlign w:val="bottom"/>
            <w:gridSpan w:val="4"/>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ind w:left="860"/>
              <w:spacing w:after="0"/>
              <w:rPr>
                <w:sz w:val="20"/>
                <w:szCs w:val="20"/>
                <w:color w:val="auto"/>
              </w:rPr>
            </w:pPr>
            <w:r>
              <w:rPr>
                <w:rFonts w:ascii="Courier New" w:cs="Courier New" w:eastAsia="Courier New" w:hAnsi="Courier New"/>
                <w:sz w:val="14"/>
                <w:szCs w:val="14"/>
                <w:color w:val="auto"/>
              </w:rPr>
              <w:t>Total current assets</w:t>
            </w:r>
          </w:p>
        </w:tc>
        <w:tc>
          <w:tcPr>
            <w:tcW w:w="6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61,764</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61,551</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Property and equipment, net of</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6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20,912</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18,577</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6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7,326</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14,347</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Other assets</w:t>
            </w:r>
          </w:p>
        </w:tc>
        <w:tc>
          <w:tcPr>
            <w:tcW w:w="6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899</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595</w:t>
            </w:r>
          </w:p>
        </w:tc>
      </w:tr>
      <w:tr>
        <w:trPr>
          <w:trHeight w:val="166"/>
        </w:trPr>
        <w:tc>
          <w:tcPr>
            <w:tcW w:w="5740" w:type="dxa"/>
            <w:vAlign w:val="bottom"/>
          </w:tcPr>
          <w:p>
            <w:pPr>
              <w:spacing w:after="0"/>
              <w:rPr>
                <w:sz w:val="14"/>
                <w:szCs w:val="14"/>
                <w:color w:val="auto"/>
              </w:rPr>
            </w:pPr>
          </w:p>
        </w:tc>
        <w:tc>
          <w:tcPr>
            <w:tcW w:w="3060" w:type="dxa"/>
            <w:vAlign w:val="bottom"/>
            <w:gridSpan w:val="4"/>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ind w:left="860"/>
              <w:spacing w:after="0"/>
              <w:rPr>
                <w:sz w:val="20"/>
                <w:szCs w:val="20"/>
                <w:color w:val="auto"/>
              </w:rPr>
            </w:pPr>
            <w:r>
              <w:rPr>
                <w:rFonts w:ascii="Courier New" w:cs="Courier New" w:eastAsia="Courier New" w:hAnsi="Courier New"/>
                <w:sz w:val="14"/>
                <w:szCs w:val="14"/>
                <w:color w:val="auto"/>
              </w:rPr>
              <w:t>Total assets</w:t>
            </w:r>
          </w:p>
        </w:tc>
        <w:tc>
          <w:tcPr>
            <w:tcW w:w="15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$ 90,901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95,070</w:t>
            </w:r>
          </w:p>
        </w:tc>
      </w:tr>
      <w:tr>
        <w:trPr>
          <w:trHeight w:val="166"/>
        </w:trPr>
        <w:tc>
          <w:tcPr>
            <w:tcW w:w="5740" w:type="dxa"/>
            <w:vAlign w:val="bottom"/>
          </w:tcPr>
          <w:p>
            <w:pPr>
              <w:spacing w:after="0"/>
              <w:rPr>
                <w:sz w:val="14"/>
                <w:szCs w:val="14"/>
                <w:color w:val="auto"/>
              </w:rPr>
            </w:pPr>
          </w:p>
        </w:tc>
        <w:tc>
          <w:tcPr>
            <w:tcW w:w="3060" w:type="dxa"/>
            <w:vAlign w:val="bottom"/>
            <w:gridSpan w:val="4"/>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7,074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6,280</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6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10,538</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10,809</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Accrued rent</w:t>
            </w:r>
          </w:p>
        </w:tc>
        <w:tc>
          <w:tcPr>
            <w:tcW w:w="6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2,541</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2,376</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Reserve for severance and store closings</w:t>
            </w:r>
          </w:p>
        </w:tc>
        <w:tc>
          <w:tcPr>
            <w:tcW w:w="6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852</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Payable to affiliate</w:t>
            </w:r>
          </w:p>
        </w:tc>
        <w:tc>
          <w:tcPr>
            <w:tcW w:w="6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582</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583</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Notes payable</w:t>
            </w:r>
          </w:p>
        </w:tc>
        <w:tc>
          <w:tcPr>
            <w:tcW w:w="6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27,752</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24,345</w:t>
            </w:r>
          </w:p>
        </w:tc>
      </w:tr>
      <w:tr>
        <w:trPr>
          <w:trHeight w:val="166"/>
        </w:trPr>
        <w:tc>
          <w:tcPr>
            <w:tcW w:w="5740" w:type="dxa"/>
            <w:vAlign w:val="bottom"/>
          </w:tcPr>
          <w:p>
            <w:pPr>
              <w:spacing w:after="0"/>
              <w:rPr>
                <w:sz w:val="14"/>
                <w:szCs w:val="14"/>
                <w:color w:val="auto"/>
              </w:rPr>
            </w:pPr>
          </w:p>
        </w:tc>
        <w:tc>
          <w:tcPr>
            <w:tcW w:w="3060" w:type="dxa"/>
            <w:vAlign w:val="bottom"/>
            <w:gridSpan w:val="4"/>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ind w:left="860"/>
              <w:spacing w:after="0"/>
              <w:rPr>
                <w:sz w:val="20"/>
                <w:szCs w:val="20"/>
                <w:color w:val="auto"/>
              </w:rPr>
            </w:pPr>
            <w:r>
              <w:rPr>
                <w:rFonts w:ascii="Courier New" w:cs="Courier New" w:eastAsia="Courier New" w:hAnsi="Courier New"/>
                <w:sz w:val="14"/>
                <w:szCs w:val="14"/>
                <w:color w:val="auto"/>
              </w:rPr>
              <w:t>Total current liabilities</w:t>
            </w:r>
          </w:p>
        </w:tc>
        <w:tc>
          <w:tcPr>
            <w:tcW w:w="6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48,487</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45,245</w:t>
            </w:r>
          </w:p>
        </w:tc>
      </w:tr>
      <w:tr>
        <w:trPr>
          <w:trHeight w:val="166"/>
        </w:trPr>
        <w:tc>
          <w:tcPr>
            <w:tcW w:w="5740" w:type="dxa"/>
            <w:vAlign w:val="bottom"/>
          </w:tcPr>
          <w:p>
            <w:pPr>
              <w:spacing w:after="0"/>
              <w:rPr>
                <w:sz w:val="14"/>
                <w:szCs w:val="14"/>
                <w:color w:val="auto"/>
              </w:rPr>
            </w:pPr>
          </w:p>
        </w:tc>
        <w:tc>
          <w:tcPr>
            <w:tcW w:w="3060" w:type="dxa"/>
            <w:vAlign w:val="bottom"/>
            <w:gridSpan w:val="4"/>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Preferred stock, $0.01 par value, 1,000,000 shares</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740" w:type="dxa"/>
            <w:vAlign w:val="bottom"/>
          </w:tcPr>
          <w:p>
            <w:pPr>
              <w:ind w:left="860"/>
              <w:spacing w:after="0"/>
              <w:rPr>
                <w:sz w:val="20"/>
                <w:szCs w:val="20"/>
                <w:color w:val="auto"/>
              </w:rPr>
            </w:pPr>
            <w:r>
              <w:rPr>
                <w:rFonts w:ascii="Courier New" w:cs="Courier New" w:eastAsia="Courier New" w:hAnsi="Courier New"/>
                <w:sz w:val="14"/>
                <w:szCs w:val="14"/>
                <w:color w:val="auto"/>
              </w:rPr>
              <w:t>authorized, none issued</w:t>
            </w:r>
          </w:p>
        </w:tc>
        <w:tc>
          <w:tcPr>
            <w:tcW w:w="6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Common stock, $0.01 par value, 50,000,000 shares authorized,</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740" w:type="dxa"/>
            <w:vAlign w:val="bottom"/>
          </w:tcPr>
          <w:p>
            <w:pPr>
              <w:ind w:left="860"/>
              <w:spacing w:after="0"/>
              <w:rPr>
                <w:sz w:val="20"/>
                <w:szCs w:val="20"/>
                <w:color w:val="auto"/>
              </w:rPr>
            </w:pPr>
            <w:r>
              <w:rPr>
                <w:rFonts w:ascii="Courier New" w:cs="Courier New" w:eastAsia="Courier New" w:hAnsi="Courier New"/>
                <w:sz w:val="14"/>
                <w:szCs w:val="14"/>
                <w:color w:val="auto"/>
              </w:rPr>
              <w:t>17,608,000 and 17,488,000 shares issued at</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740" w:type="dxa"/>
            <w:vAlign w:val="bottom"/>
          </w:tcPr>
          <w:p>
            <w:pPr>
              <w:ind w:left="860"/>
              <w:spacing w:after="0"/>
              <w:rPr>
                <w:sz w:val="20"/>
                <w:szCs w:val="20"/>
                <w:color w:val="auto"/>
              </w:rPr>
            </w:pPr>
            <w:r>
              <w:rPr>
                <w:rFonts w:ascii="Courier New" w:cs="Courier New" w:eastAsia="Courier New" w:hAnsi="Courier New"/>
                <w:sz w:val="14"/>
                <w:szCs w:val="14"/>
                <w:color w:val="auto"/>
              </w:rPr>
              <w:t>February 2, 2002 and February 3, 2001, respectively</w:t>
            </w:r>
          </w:p>
        </w:tc>
        <w:tc>
          <w:tcPr>
            <w:tcW w:w="6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176</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175</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Additional paid-in capital</w:t>
            </w:r>
          </w:p>
        </w:tc>
        <w:tc>
          <w:tcPr>
            <w:tcW w:w="6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56,189</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55,697</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(Accumulated deficit) retained earnings</w:t>
            </w:r>
          </w:p>
        </w:tc>
        <w:tc>
          <w:tcPr>
            <w:tcW w:w="68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(5,304)</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2,577</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Treasury stock at cost, 3,040,000 and 3,035,000 shares at</w:t>
            </w: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740" w:type="dxa"/>
            <w:vAlign w:val="bottom"/>
          </w:tcPr>
          <w:p>
            <w:pPr>
              <w:ind w:left="860"/>
              <w:spacing w:after="0"/>
              <w:rPr>
                <w:sz w:val="20"/>
                <w:szCs w:val="20"/>
                <w:color w:val="auto"/>
              </w:rPr>
            </w:pPr>
            <w:r>
              <w:rPr>
                <w:rFonts w:ascii="Courier New" w:cs="Courier New" w:eastAsia="Courier New" w:hAnsi="Courier New"/>
                <w:sz w:val="14"/>
                <w:szCs w:val="14"/>
                <w:color w:val="auto"/>
              </w:rPr>
              <w:t>February 2, 2002 and February 3, 2001, respectively</w:t>
            </w:r>
          </w:p>
        </w:tc>
        <w:tc>
          <w:tcPr>
            <w:tcW w:w="68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(8,450)</w:t>
            </w: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(8,427)</w:t>
            </w:r>
          </w:p>
        </w:tc>
      </w:tr>
      <w:tr>
        <w:trPr>
          <w:trHeight w:val="166"/>
        </w:trPr>
        <w:tc>
          <w:tcPr>
            <w:tcW w:w="5740" w:type="dxa"/>
            <w:vAlign w:val="bottom"/>
          </w:tcPr>
          <w:p>
            <w:pPr>
              <w:ind w:left="440"/>
              <w:spacing w:after="0"/>
              <w:rPr>
                <w:sz w:val="20"/>
                <w:szCs w:val="20"/>
                <w:color w:val="auto"/>
              </w:rPr>
            </w:pPr>
            <w:r>
              <w:rPr>
                <w:rFonts w:ascii="Courier New" w:cs="Courier New" w:eastAsia="Courier New" w:hAnsi="Courier New"/>
                <w:sz w:val="14"/>
                <w:szCs w:val="14"/>
                <w:color w:val="auto"/>
              </w:rPr>
              <w:t>Note receivable from officer</w:t>
            </w:r>
          </w:p>
        </w:tc>
        <w:tc>
          <w:tcPr>
            <w:tcW w:w="680" w:type="dxa"/>
            <w:vAlign w:val="bottom"/>
          </w:tcPr>
          <w:p>
            <w:pPr>
              <w:spacing w:after="0"/>
              <w:rPr>
                <w:sz w:val="14"/>
                <w:szCs w:val="14"/>
                <w:color w:val="auto"/>
              </w:rPr>
            </w:pP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(197)</w:t>
            </w:r>
          </w:p>
        </w:tc>
        <w:tc>
          <w:tcPr>
            <w:tcW w:w="5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w:t>
            </w:r>
          </w:p>
        </w:tc>
      </w:tr>
      <w:tr>
        <w:trPr>
          <w:trHeight w:val="166"/>
        </w:trPr>
        <w:tc>
          <w:tcPr>
            <w:tcW w:w="5740" w:type="dxa"/>
            <w:vAlign w:val="bottom"/>
          </w:tcPr>
          <w:p>
            <w:pPr>
              <w:spacing w:after="0"/>
              <w:rPr>
                <w:sz w:val="14"/>
                <w:szCs w:val="14"/>
                <w:color w:val="auto"/>
              </w:rPr>
            </w:pPr>
          </w:p>
        </w:tc>
        <w:tc>
          <w:tcPr>
            <w:tcW w:w="3060" w:type="dxa"/>
            <w:vAlign w:val="bottom"/>
            <w:gridSpan w:val="4"/>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ind w:left="860"/>
              <w:spacing w:after="0"/>
              <w:rPr>
                <w:sz w:val="20"/>
                <w:szCs w:val="20"/>
                <w:color w:val="auto"/>
              </w:rPr>
            </w:pPr>
            <w:r>
              <w:rPr>
                <w:rFonts w:ascii="Courier New" w:cs="Courier New" w:eastAsia="Courier New" w:hAnsi="Courier New"/>
                <w:sz w:val="14"/>
                <w:szCs w:val="14"/>
                <w:color w:val="auto"/>
              </w:rPr>
              <w:t>Total stockholders' equity</w:t>
            </w:r>
          </w:p>
        </w:tc>
        <w:tc>
          <w:tcPr>
            <w:tcW w:w="6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42,414</w:t>
            </w:r>
          </w:p>
        </w:tc>
        <w:tc>
          <w:tcPr>
            <w:tcW w:w="5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49,825</w:t>
            </w:r>
          </w:p>
        </w:tc>
      </w:tr>
      <w:tr>
        <w:trPr>
          <w:trHeight w:val="166"/>
        </w:trPr>
        <w:tc>
          <w:tcPr>
            <w:tcW w:w="5740" w:type="dxa"/>
            <w:vAlign w:val="bottom"/>
          </w:tcPr>
          <w:p>
            <w:pPr>
              <w:spacing w:after="0"/>
              <w:rPr>
                <w:sz w:val="14"/>
                <w:szCs w:val="14"/>
                <w:color w:val="auto"/>
              </w:rPr>
            </w:pPr>
          </w:p>
        </w:tc>
        <w:tc>
          <w:tcPr>
            <w:tcW w:w="3060" w:type="dxa"/>
            <w:vAlign w:val="bottom"/>
            <w:gridSpan w:val="4"/>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ind w:left="130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5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$ 90,901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95,070</w:t>
            </w:r>
          </w:p>
        </w:tc>
      </w:tr>
      <w:tr>
        <w:trPr>
          <w:trHeight w:val="166"/>
        </w:trPr>
        <w:tc>
          <w:tcPr>
            <w:tcW w:w="5740" w:type="dxa"/>
            <w:vAlign w:val="bottom"/>
          </w:tcPr>
          <w:p>
            <w:pPr>
              <w:spacing w:after="0"/>
              <w:rPr>
                <w:sz w:val="14"/>
                <w:szCs w:val="14"/>
                <w:color w:val="auto"/>
              </w:rPr>
            </w:pPr>
          </w:p>
        </w:tc>
        <w:tc>
          <w:tcPr>
            <w:tcW w:w="3060" w:type="dxa"/>
            <w:vAlign w:val="bottom"/>
            <w:gridSpan w:val="4"/>
          </w:tcPr>
          <w:p>
            <w:pPr>
              <w:jc w:val="right"/>
              <w:ind w:right="2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 consolidated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28" w:name="page29"/>
    <w:bookmarkEnd w:id="28"/>
    <w:p>
      <w:pPr>
        <w:jc w:val="center"/>
        <w:ind w:right="3239"/>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years ended February 2, 2002, February 3, 2001 and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ind w:left="2760"/>
              <w:spacing w:after="0"/>
              <w:rPr>
                <w:sz w:val="20"/>
                <w:szCs w:val="20"/>
                <w:color w:val="auto"/>
              </w:rPr>
            </w:pPr>
            <w:r>
              <w:rPr>
                <w:rFonts w:ascii="Courier New" w:cs="Courier New" w:eastAsia="Courier New" w:hAnsi="Courier New"/>
                <w:sz w:val="14"/>
                <w:szCs w:val="14"/>
                <w:color w:val="auto"/>
              </w:rPr>
              <w:t>January 29, 2000</w:t>
            </w: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63"/>
        </w:trPr>
        <w:tc>
          <w:tcPr>
            <w:tcW w:w="6120" w:type="dxa"/>
            <w:vAlign w:val="bottom"/>
          </w:tcPr>
          <w:p>
            <w:pPr>
              <w:spacing w:after="0"/>
              <w:rPr>
                <w:sz w:val="24"/>
                <w:szCs w:val="24"/>
                <w:color w:val="auto"/>
              </w:rPr>
            </w:pP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Fiscal</w:t>
            </w:r>
          </w:p>
        </w:tc>
        <w:tc>
          <w:tcPr>
            <w:tcW w:w="340" w:type="dxa"/>
            <w:vAlign w:val="bottom"/>
          </w:tcPr>
          <w:p>
            <w:pPr>
              <w:spacing w:after="0"/>
              <w:rPr>
                <w:sz w:val="24"/>
                <w:szCs w:val="24"/>
                <w:color w:val="auto"/>
              </w:rPr>
            </w:pPr>
          </w:p>
        </w:tc>
        <w:tc>
          <w:tcPr>
            <w:tcW w:w="8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Fiscal</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Fiscal</w:t>
            </w:r>
          </w:p>
        </w:tc>
      </w:tr>
      <w:tr>
        <w:trPr>
          <w:trHeight w:val="166"/>
        </w:trPr>
        <w:tc>
          <w:tcPr>
            <w:tcW w:w="6120" w:type="dxa"/>
            <w:vAlign w:val="bottom"/>
          </w:tcPr>
          <w:p>
            <w:pPr>
              <w:spacing w:after="0"/>
              <w:rPr>
                <w:sz w:val="14"/>
                <w:szCs w:val="14"/>
                <w:color w:val="auto"/>
              </w:rPr>
            </w:pP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2002</w:t>
            </w:r>
          </w:p>
        </w:tc>
        <w:tc>
          <w:tcPr>
            <w:tcW w:w="340" w:type="dxa"/>
            <w:vAlign w:val="bottom"/>
          </w:tcPr>
          <w:p>
            <w:pPr>
              <w:spacing w:after="0"/>
              <w:rPr>
                <w:sz w:val="14"/>
                <w:szCs w:val="14"/>
                <w:color w:val="auto"/>
              </w:rPr>
            </w:pPr>
          </w:p>
        </w:tc>
        <w:tc>
          <w:tcPr>
            <w:tcW w:w="8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6120" w:type="dxa"/>
            <w:vAlign w:val="bottom"/>
          </w:tcPr>
          <w:p>
            <w:pPr>
              <w:spacing w:after="0"/>
              <w:rPr>
                <w:sz w:val="14"/>
                <w:szCs w:val="14"/>
                <w:color w:val="auto"/>
              </w:rPr>
            </w:pP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(52 weeks)</w:t>
            </w:r>
          </w:p>
        </w:tc>
        <w:tc>
          <w:tcPr>
            <w:tcW w:w="12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(53 weeks)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 weeks)</w:t>
            </w:r>
          </w:p>
        </w:tc>
      </w:tr>
      <w:tr>
        <w:trPr>
          <w:trHeight w:val="166"/>
        </w:trPr>
        <w:tc>
          <w:tcPr>
            <w:tcW w:w="6120" w:type="dxa"/>
            <w:vAlign w:val="bottom"/>
          </w:tcPr>
          <w:p>
            <w:pPr>
              <w:spacing w:after="0"/>
              <w:rPr>
                <w:sz w:val="14"/>
                <w:szCs w:val="14"/>
                <w:color w:val="auto"/>
              </w:rPr>
            </w:pPr>
          </w:p>
        </w:tc>
        <w:tc>
          <w:tcPr>
            <w:tcW w:w="36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14"/>
                <w:szCs w:val="14"/>
                <w:color w:val="auto"/>
              </w:rPr>
            </w:pPr>
          </w:p>
        </w:tc>
        <w:tc>
          <w:tcPr>
            <w:tcW w:w="362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(In thousands, except share data)</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$ 195,119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194,530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$ 192,192</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Cost of goods sold including occupancy</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147,898</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139,545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144,752</w:t>
            </w:r>
          </w:p>
        </w:tc>
      </w:tr>
      <w:tr>
        <w:trPr>
          <w:trHeight w:val="166"/>
        </w:trPr>
        <w:tc>
          <w:tcPr>
            <w:tcW w:w="6120" w:type="dxa"/>
            <w:vAlign w:val="bottom"/>
          </w:tcPr>
          <w:p>
            <w:pPr>
              <w:spacing w:after="0"/>
              <w:rPr>
                <w:sz w:val="14"/>
                <w:szCs w:val="14"/>
                <w:color w:val="auto"/>
              </w:rPr>
            </w:pPr>
          </w:p>
        </w:tc>
        <w:tc>
          <w:tcPr>
            <w:tcW w:w="36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47,221</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54,985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47,440</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Selling, general and administrative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39,743</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42,207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43,401</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Provision for impairment of assets, store closings and severance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6,608</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5,398</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5,373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6,502</w:t>
            </w:r>
          </w:p>
        </w:tc>
      </w:tr>
      <w:tr>
        <w:trPr>
          <w:trHeight w:val="166"/>
        </w:trPr>
        <w:tc>
          <w:tcPr>
            <w:tcW w:w="6120" w:type="dxa"/>
            <w:vAlign w:val="bottom"/>
          </w:tcPr>
          <w:p>
            <w:pPr>
              <w:spacing w:after="0"/>
              <w:rPr>
                <w:sz w:val="14"/>
                <w:szCs w:val="14"/>
                <w:color w:val="auto"/>
              </w:rPr>
            </w:pPr>
          </w:p>
        </w:tc>
        <w:tc>
          <w:tcPr>
            <w:tcW w:w="36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Total expenses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45,141</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47,687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56,511</w:t>
            </w:r>
          </w:p>
        </w:tc>
      </w:tr>
      <w:tr>
        <w:trPr>
          <w:trHeight w:val="166"/>
        </w:trPr>
        <w:tc>
          <w:tcPr>
            <w:tcW w:w="6120" w:type="dxa"/>
            <w:vAlign w:val="bottom"/>
          </w:tcPr>
          <w:p>
            <w:pPr>
              <w:spacing w:after="0"/>
              <w:rPr>
                <w:sz w:val="14"/>
                <w:szCs w:val="14"/>
                <w:color w:val="auto"/>
              </w:rPr>
            </w:pPr>
          </w:p>
        </w:tc>
        <w:tc>
          <w:tcPr>
            <w:tcW w:w="36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2,080</w:t>
            </w:r>
          </w:p>
        </w:tc>
        <w:tc>
          <w:tcPr>
            <w:tcW w:w="34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7,298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(9,071)</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1,905</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1,207</w:t>
            </w:r>
          </w:p>
        </w:tc>
      </w:tr>
      <w:tr>
        <w:trPr>
          <w:trHeight w:val="166"/>
        </w:trPr>
        <w:tc>
          <w:tcPr>
            <w:tcW w:w="6120" w:type="dxa"/>
            <w:vAlign w:val="bottom"/>
          </w:tcPr>
          <w:p>
            <w:pPr>
              <w:spacing w:after="0"/>
              <w:rPr>
                <w:sz w:val="14"/>
                <w:szCs w:val="14"/>
                <w:color w:val="auto"/>
              </w:rPr>
            </w:pPr>
          </w:p>
        </w:tc>
        <w:tc>
          <w:tcPr>
            <w:tcW w:w="36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5,488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(10,278)</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8,056</w:t>
            </w:r>
          </w:p>
        </w:tc>
        <w:tc>
          <w:tcPr>
            <w:tcW w:w="34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2,215</w:t>
            </w:r>
          </w:p>
        </w:tc>
      </w:tr>
      <w:tr>
        <w:trPr>
          <w:trHeight w:val="166"/>
        </w:trPr>
        <w:tc>
          <w:tcPr>
            <w:tcW w:w="6120" w:type="dxa"/>
            <w:vAlign w:val="bottom"/>
          </w:tcPr>
          <w:p>
            <w:pPr>
              <w:spacing w:after="0"/>
              <w:rPr>
                <w:sz w:val="14"/>
                <w:szCs w:val="14"/>
                <w:color w:val="auto"/>
              </w:rPr>
            </w:pPr>
          </w:p>
        </w:tc>
        <w:tc>
          <w:tcPr>
            <w:tcW w:w="36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Net (loss) income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(7,881)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3,216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(12,493)</w:t>
            </w:r>
          </w:p>
        </w:tc>
      </w:tr>
      <w:tr>
        <w:trPr>
          <w:trHeight w:val="166"/>
        </w:trPr>
        <w:tc>
          <w:tcPr>
            <w:tcW w:w="6120" w:type="dxa"/>
            <w:vAlign w:val="bottom"/>
          </w:tcPr>
          <w:p>
            <w:pPr>
              <w:spacing w:after="0"/>
              <w:rPr>
                <w:sz w:val="14"/>
                <w:szCs w:val="14"/>
                <w:color w:val="auto"/>
              </w:rPr>
            </w:pPr>
          </w:p>
        </w:tc>
        <w:tc>
          <w:tcPr>
            <w:tcW w:w="36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Net (loss) income per share - basic</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($0.78)</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Net (loss) income per share - diluted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($0.78)</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Weighted-average number of common shares outstanding:</w:t>
            </w: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14,486</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16,015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16,088</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14,486</w:t>
            </w:r>
          </w:p>
        </w:tc>
        <w:tc>
          <w:tcPr>
            <w:tcW w:w="3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16,292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16,088</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 consolidated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29" w:name="page30"/>
    <w:bookmarkEnd w:id="29"/>
    <w:p>
      <w:pPr>
        <w:spacing w:after="0" w:line="41"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CONSOLIDATED STATEMENTS OF CHANGES IN STOCKHOLDERS'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For the fiscal years ended February 2, 2002, February 3, 2001 and January 29,</w:t>
      </w:r>
    </w:p>
    <w:p>
      <w:pPr>
        <w:spacing w:after="0" w:line="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2000</w:t>
      </w:r>
    </w:p>
    <w:p>
      <w:pPr>
        <w:spacing w:after="0" w:line="7"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Additional</w:t>
            </w:r>
          </w:p>
        </w:tc>
      </w:tr>
      <w:tr>
        <w:trPr>
          <w:trHeight w:val="166"/>
        </w:trPr>
        <w:tc>
          <w:tcPr>
            <w:tcW w:w="4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Common Stock</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Treasury Stock</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Paid-in</w:t>
            </w:r>
          </w:p>
        </w:tc>
      </w:tr>
      <w:tr>
        <w:trPr>
          <w:trHeight w:val="166"/>
        </w:trPr>
        <w:tc>
          <w:tcPr>
            <w:tcW w:w="4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Shares</w:t>
            </w:r>
          </w:p>
        </w:tc>
        <w:tc>
          <w:tcPr>
            <w:tcW w:w="11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Amounts</w:t>
            </w:r>
          </w:p>
        </w:tc>
        <w:tc>
          <w:tcPr>
            <w:tcW w:w="400" w:type="dxa"/>
            <w:vAlign w:val="bottom"/>
          </w:tcPr>
          <w:p>
            <w:pPr>
              <w:spacing w:after="0"/>
              <w:rPr>
                <w:sz w:val="14"/>
                <w:szCs w:val="14"/>
                <w:color w:val="auto"/>
              </w:rPr>
            </w:pPr>
          </w:p>
        </w:tc>
        <w:tc>
          <w:tcPr>
            <w:tcW w:w="9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Amounts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w:t>
            </w:r>
          </w:p>
        </w:tc>
      </w:tr>
      <w:tr>
        <w:trPr>
          <w:trHeight w:val="166"/>
        </w:trPr>
        <w:tc>
          <w:tcPr>
            <w:tcW w:w="436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Courier New" w:cs="Courier New" w:eastAsia="Courier New" w:hAnsi="Courier New"/>
                <w:sz w:val="9"/>
                <w:szCs w:val="9"/>
                <w:color w:val="auto"/>
                <w:w w:val="77"/>
              </w:rPr>
              <w:t>----------------------</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60" w:type="dxa"/>
            <w:vAlign w:val="bottom"/>
            <w:gridSpan w:val="3"/>
          </w:tcPr>
          <w:p>
            <w:pPr>
              <w:ind w:left="3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at January 30, 1999</w:t>
            </w:r>
          </w:p>
        </w:tc>
        <w:tc>
          <w:tcPr>
            <w:tcW w:w="38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16,178</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162</w:t>
            </w:r>
          </w:p>
        </w:tc>
        <w:tc>
          <w:tcPr>
            <w:tcW w:w="400" w:type="dxa"/>
            <w:vAlign w:val="bottom"/>
          </w:tcPr>
          <w:p>
            <w:pPr>
              <w:spacing w:after="0"/>
              <w:rPr>
                <w:sz w:val="24"/>
                <w:szCs w:val="2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(1,830)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$ 53,908</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Board of Directors compensation</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w:t>
            </w:r>
          </w:p>
        </w:tc>
        <w:tc>
          <w:tcPr>
            <w:tcW w:w="44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w:t>
            </w: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Vesting of restricted stock award</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Issuance of shares to related party</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for professional services</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355</w:t>
            </w:r>
          </w:p>
        </w:tc>
        <w:tc>
          <w:tcPr>
            <w:tcW w:w="44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407</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5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at January 29, 2000</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16,690</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167</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(1,830)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$ 54,571</w:t>
            </w:r>
          </w:p>
        </w:tc>
      </w:tr>
      <w:tr>
        <w:trPr>
          <w:trHeight w:val="166"/>
        </w:trPr>
        <w:tc>
          <w:tcPr>
            <w:tcW w:w="4360" w:type="dxa"/>
            <w:vAlign w:val="bottom"/>
          </w:tcPr>
          <w:p>
            <w:pPr>
              <w:spacing w:after="0"/>
              <w:rPr>
                <w:sz w:val="14"/>
                <w:szCs w:val="14"/>
                <w:color w:val="auto"/>
              </w:rPr>
            </w:pPr>
          </w:p>
        </w:tc>
        <w:tc>
          <w:tcPr>
            <w:tcW w:w="5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Exercises under option program</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44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w:t>
            </w: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Board of Directors compensation</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w:t>
            </w:r>
          </w:p>
        </w:tc>
        <w:tc>
          <w:tcPr>
            <w:tcW w:w="44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w:t>
            </w: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Issuance of shares to related party for</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professional services</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386</w:t>
            </w:r>
          </w:p>
        </w:tc>
        <w:tc>
          <w:tcPr>
            <w:tcW w:w="44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w:t>
            </w: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Repurchase of common stock</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(6,314)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Restricted stock cancelled</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Exercise of options and repurchase of</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shares from director</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w:t>
            </w:r>
          </w:p>
        </w:tc>
        <w:tc>
          <w:tcPr>
            <w:tcW w:w="44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w:t>
            </w: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Sale of stock to officer</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w:t>
            </w:r>
          </w:p>
        </w:tc>
        <w:tc>
          <w:tcPr>
            <w:tcW w:w="44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w:t>
            </w: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Income tax benefit from stock option exercised</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5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at February 3, 2001</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17,488</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175</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(3,035)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(8,427)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$ 55,697</w:t>
            </w:r>
          </w:p>
        </w:tc>
      </w:tr>
      <w:tr>
        <w:trPr>
          <w:trHeight w:val="166"/>
        </w:trPr>
        <w:tc>
          <w:tcPr>
            <w:tcW w:w="4360" w:type="dxa"/>
            <w:vAlign w:val="bottom"/>
          </w:tcPr>
          <w:p>
            <w:pPr>
              <w:spacing w:after="0"/>
              <w:rPr>
                <w:sz w:val="14"/>
                <w:szCs w:val="14"/>
                <w:color w:val="auto"/>
              </w:rPr>
            </w:pPr>
          </w:p>
        </w:tc>
        <w:tc>
          <w:tcPr>
            <w:tcW w:w="5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Exercises under option program</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Board of Directors compensation</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w:t>
            </w: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Issuance of shares to related party for</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professional services</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44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w:t>
            </w: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Issuance of options for professional</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services rendered</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Repurchase of common stock</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1040" w:type="dxa"/>
            <w:vAlign w:val="bottom"/>
          </w:tcPr>
          <w:p>
            <w:pPr>
              <w:spacing w:after="0"/>
              <w:rPr>
                <w:sz w:val="14"/>
                <w:szCs w:val="14"/>
                <w:color w:val="auto"/>
              </w:rPr>
            </w:pP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Income tax benefit from stock option exercised</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5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at February 2, 2002</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17,608</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176</w:t>
            </w: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(8,450)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$ 56,189</w:t>
            </w:r>
          </w:p>
        </w:tc>
      </w:tr>
      <w:tr>
        <w:trPr>
          <w:trHeight w:val="166"/>
        </w:trPr>
        <w:tc>
          <w:tcPr>
            <w:tcW w:w="4360" w:type="dxa"/>
            <w:vAlign w:val="bottom"/>
          </w:tcPr>
          <w:p>
            <w:pPr>
              <w:spacing w:after="0"/>
              <w:rPr>
                <w:sz w:val="14"/>
                <w:szCs w:val="14"/>
                <w:color w:val="auto"/>
              </w:rPr>
            </w:pPr>
          </w:p>
        </w:tc>
        <w:tc>
          <w:tcPr>
            <w:tcW w:w="590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(Accumulated</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Note</w:t>
            </w: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Deficit)</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Deferred</w:t>
            </w:r>
          </w:p>
        </w:tc>
        <w:tc>
          <w:tcPr>
            <w:tcW w:w="11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Receivable</w:t>
            </w: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Retained</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Compensation</w:t>
            </w:r>
          </w:p>
        </w:tc>
        <w:tc>
          <w:tcPr>
            <w:tcW w:w="11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from Officer</w:t>
            </w: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Earnings</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Total</w:t>
            </w:r>
          </w:p>
        </w:tc>
        <w:tc>
          <w:tcPr>
            <w:tcW w:w="104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at January 30, 1999</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11,854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$ 63,956</w:t>
            </w:r>
          </w:p>
        </w:tc>
        <w:tc>
          <w:tcPr>
            <w:tcW w:w="1040" w:type="dxa"/>
            <w:vAlign w:val="bottom"/>
          </w:tcPr>
          <w:p>
            <w:pPr>
              <w:spacing w:after="0"/>
              <w:rPr>
                <w:sz w:val="24"/>
                <w:szCs w:val="24"/>
                <w:color w:val="auto"/>
              </w:rPr>
            </w:pP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Board of Directors compensation</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w:t>
            </w: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Vesting of restricted stock award</w:t>
            </w:r>
          </w:p>
        </w:tc>
        <w:tc>
          <w:tcPr>
            <w:tcW w:w="3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w:t>
            </w: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Issuance of shares to related party</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for professional services</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w:t>
            </w:r>
          </w:p>
        </w:tc>
        <w:tc>
          <w:tcPr>
            <w:tcW w:w="104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(12,493)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(12,493)</w:t>
            </w:r>
          </w:p>
        </w:tc>
        <w:tc>
          <w:tcPr>
            <w:tcW w:w="104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4860" w:type="dxa"/>
            <w:vAlign w:val="bottom"/>
            <w:gridSpan w:val="7"/>
          </w:tcPr>
          <w:p>
            <w:pPr>
              <w:ind w:left="3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at January 29, 2000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$ 52,269</w:t>
            </w:r>
          </w:p>
        </w:tc>
        <w:tc>
          <w:tcPr>
            <w:tcW w:w="104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4860" w:type="dxa"/>
            <w:vAlign w:val="bottom"/>
            <w:gridSpan w:val="7"/>
          </w:tcPr>
          <w:p>
            <w:pPr>
              <w:ind w:left="3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Exercises under option program</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w:t>
            </w: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Board of Directors compensation</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w:t>
            </w: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Issuance of shares to related party for</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professional services</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524</w:t>
            </w:r>
          </w:p>
        </w:tc>
        <w:tc>
          <w:tcPr>
            <w:tcW w:w="1040" w:type="dxa"/>
            <w:vAlign w:val="bottom"/>
          </w:tcPr>
          <w:p>
            <w:pPr>
              <w:spacing w:after="0"/>
              <w:rPr>
                <w:sz w:val="14"/>
                <w:szCs w:val="14"/>
                <w:color w:val="auto"/>
              </w:rPr>
            </w:pP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Repurchase of common stock</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(6,314)</w:t>
            </w:r>
          </w:p>
        </w:tc>
        <w:tc>
          <w:tcPr>
            <w:tcW w:w="1040" w:type="dxa"/>
            <w:vAlign w:val="bottom"/>
          </w:tcPr>
          <w:p>
            <w:pPr>
              <w:spacing w:after="0"/>
              <w:rPr>
                <w:sz w:val="14"/>
                <w:szCs w:val="14"/>
                <w:color w:val="auto"/>
              </w:rPr>
            </w:pP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Restricted stock cancelled</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w:t>
            </w:r>
          </w:p>
        </w:tc>
        <w:tc>
          <w:tcPr>
            <w:tcW w:w="1040" w:type="dxa"/>
            <w:vAlign w:val="bottom"/>
          </w:tcPr>
          <w:p>
            <w:pPr>
              <w:spacing w:after="0"/>
              <w:rPr>
                <w:sz w:val="14"/>
                <w:szCs w:val="14"/>
                <w:color w:val="auto"/>
              </w:rPr>
            </w:pP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Exercise of options and repurchase of</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shares from director</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w:t>
            </w:r>
          </w:p>
        </w:tc>
        <w:tc>
          <w:tcPr>
            <w:tcW w:w="1040" w:type="dxa"/>
            <w:vAlign w:val="bottom"/>
          </w:tcPr>
          <w:p>
            <w:pPr>
              <w:spacing w:after="0"/>
              <w:rPr>
                <w:sz w:val="14"/>
                <w:szCs w:val="14"/>
                <w:color w:val="auto"/>
              </w:rPr>
            </w:pP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Sale of stock to officer</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Income tax benefit from stock option exercised</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3,216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3,216</w:t>
            </w:r>
          </w:p>
        </w:tc>
        <w:tc>
          <w:tcPr>
            <w:tcW w:w="104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4860" w:type="dxa"/>
            <w:vAlign w:val="bottom"/>
            <w:gridSpan w:val="7"/>
          </w:tcPr>
          <w:p>
            <w:pPr>
              <w:ind w:left="3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at February 3, 2001</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2,577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$ 49,825</w:t>
            </w:r>
          </w:p>
        </w:tc>
        <w:tc>
          <w:tcPr>
            <w:tcW w:w="104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4860" w:type="dxa"/>
            <w:vAlign w:val="bottom"/>
            <w:gridSpan w:val="7"/>
          </w:tcPr>
          <w:p>
            <w:pPr>
              <w:ind w:left="3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Exercises under option program</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Board of Directors compensation</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w:t>
            </w: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Issuance of shares to related party for</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professional services</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317</w:t>
            </w:r>
          </w:p>
        </w:tc>
        <w:tc>
          <w:tcPr>
            <w:tcW w:w="104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Issuance of options for professional</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ectPr>
          <w:pgSz w:w="11900" w:h="16880" w:orient="portrait"/>
          <w:cols w:equalWidth="0" w:num="1">
            <w:col w:w="10260"/>
          </w:cols>
          <w:pgMar w:left="220" w:top="616" w:right="141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services rendered</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Repurchase of common stock</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Income tax benefit from stock option exercised</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(7,881)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(7,881)</w:t>
            </w:r>
          </w:p>
        </w:tc>
      </w:tr>
      <w:tr>
        <w:trPr>
          <w:trHeight w:val="166"/>
        </w:trPr>
        <w:tc>
          <w:tcPr>
            <w:tcW w:w="4440" w:type="dxa"/>
            <w:vAlign w:val="bottom"/>
          </w:tcPr>
          <w:p>
            <w:pPr>
              <w:spacing w:after="0"/>
              <w:rPr>
                <w:sz w:val="14"/>
                <w:szCs w:val="14"/>
                <w:color w:val="auto"/>
              </w:rPr>
            </w:pPr>
          </w:p>
        </w:tc>
        <w:tc>
          <w:tcPr>
            <w:tcW w:w="462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Balance at February 2, 2002</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(197)</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(5,304)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$ 42,414</w:t>
            </w:r>
          </w:p>
        </w:tc>
      </w:tr>
      <w:tr>
        <w:trPr>
          <w:trHeight w:val="166"/>
        </w:trPr>
        <w:tc>
          <w:tcPr>
            <w:tcW w:w="4440" w:type="dxa"/>
            <w:vAlign w:val="bottom"/>
          </w:tcPr>
          <w:p>
            <w:pPr>
              <w:spacing w:after="0"/>
              <w:rPr>
                <w:sz w:val="14"/>
                <w:szCs w:val="14"/>
                <w:color w:val="auto"/>
              </w:rPr>
            </w:pPr>
          </w:p>
        </w:tc>
        <w:tc>
          <w:tcPr>
            <w:tcW w:w="4620" w:type="dxa"/>
            <w:vAlign w:val="bottom"/>
            <w:gridSpan w:val="5"/>
          </w:tcPr>
          <w:p>
            <w:pPr>
              <w:ind w:left="22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 consolidated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141" w:right="1440" w:bottom="1440" w:gutter="0" w:footer="0" w:header="0"/>
        </w:sectPr>
      </w:pPr>
    </w:p>
    <w:bookmarkStart w:id="31" w:name="page32"/>
    <w:bookmarkEnd w:id="31"/>
    <w:p>
      <w:pPr>
        <w:jc w:val="center"/>
        <w:ind w:right="3239"/>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years ended February 2, 2002, February 3, 2001 and January 29,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ind w:left="3280"/>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663"/>
        </w:trPr>
        <w:tc>
          <w:tcPr>
            <w:tcW w:w="6860" w:type="dxa"/>
            <w:vAlign w:val="bottom"/>
          </w:tcPr>
          <w:p>
            <w:pPr>
              <w:spacing w:after="0"/>
              <w:rPr>
                <w:sz w:val="24"/>
                <w:szCs w:val="24"/>
                <w:color w:val="auto"/>
              </w:rPr>
            </w:pPr>
          </w:p>
        </w:tc>
        <w:tc>
          <w:tcPr>
            <w:tcW w:w="1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Fiscal</w:t>
            </w:r>
          </w:p>
        </w:tc>
        <w:tc>
          <w:tcPr>
            <w:tcW w:w="1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Fiscal</w:t>
            </w:r>
          </w:p>
        </w:tc>
        <w:tc>
          <w:tcPr>
            <w:tcW w:w="30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Fiscal</w:t>
            </w:r>
          </w:p>
        </w:tc>
      </w:tr>
      <w:tr>
        <w:trPr>
          <w:trHeight w:val="166"/>
        </w:trPr>
        <w:tc>
          <w:tcPr>
            <w:tcW w:w="6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2002</w:t>
            </w:r>
          </w:p>
        </w:tc>
        <w:tc>
          <w:tcPr>
            <w:tcW w:w="30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6860" w:type="dxa"/>
            <w:vAlign w:val="bottom"/>
          </w:tcPr>
          <w:p>
            <w:pPr>
              <w:spacing w:after="0"/>
              <w:rPr>
                <w:sz w:val="14"/>
                <w:szCs w:val="14"/>
                <w:color w:val="auto"/>
              </w:rPr>
            </w:pPr>
          </w:p>
        </w:tc>
        <w:tc>
          <w:tcPr>
            <w:tcW w:w="32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8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Net (loss) income</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$(7,881)</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$ 3,216</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$(12,493)</w:t>
            </w:r>
          </w:p>
        </w:tc>
      </w:tr>
      <w:tr>
        <w:trPr>
          <w:trHeight w:val="166"/>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Adjustments to reconcile net (loss) income to net cash</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860" w:type="dxa"/>
            <w:vAlign w:val="bottom"/>
          </w:tcPr>
          <w:p>
            <w:pPr>
              <w:ind w:left="520"/>
              <w:spacing w:after="0"/>
              <w:rPr>
                <w:sz w:val="20"/>
                <w:szCs w:val="20"/>
                <w:color w:val="auto"/>
              </w:rPr>
            </w:pPr>
            <w:r>
              <w:rPr>
                <w:rFonts w:ascii="Courier New" w:cs="Courier New" w:eastAsia="Courier New" w:hAnsi="Courier New"/>
                <w:sz w:val="14"/>
                <w:szCs w:val="14"/>
                <w:color w:val="auto"/>
              </w:rPr>
              <w:t>provided by (used for) operating activities: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860" w:type="dxa"/>
            <w:vAlign w:val="bottom"/>
          </w:tcPr>
          <w:p>
            <w:pPr>
              <w:ind w:left="860"/>
              <w:spacing w:after="0"/>
              <w:rPr>
                <w:sz w:val="20"/>
                <w:szCs w:val="20"/>
                <w:color w:val="auto"/>
              </w:rPr>
            </w:pPr>
            <w:r>
              <w:rPr>
                <w:rFonts w:ascii="Courier New" w:cs="Courier New" w:eastAsia="Courier New" w:hAnsi="Courier New"/>
                <w:sz w:val="14"/>
                <w:szCs w:val="14"/>
                <w:color w:val="auto"/>
              </w:rPr>
              <w:t>Depreciation and amortization</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5,398</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5,373</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6,503</w:t>
            </w:r>
          </w:p>
        </w:tc>
      </w:tr>
      <w:tr>
        <w:trPr>
          <w:trHeight w:val="166"/>
        </w:trPr>
        <w:tc>
          <w:tcPr>
            <w:tcW w:w="6860" w:type="dxa"/>
            <w:vAlign w:val="bottom"/>
          </w:tcPr>
          <w:p>
            <w:pPr>
              <w:ind w:left="860"/>
              <w:spacing w:after="0"/>
              <w:rPr>
                <w:sz w:val="20"/>
                <w:szCs w:val="20"/>
                <w:color w:val="auto"/>
              </w:rPr>
            </w:pPr>
            <w:r>
              <w:rPr>
                <w:rFonts w:ascii="Courier New" w:cs="Courier New" w:eastAsia="Courier New" w:hAnsi="Courier New"/>
                <w:sz w:val="14"/>
                <w:szCs w:val="14"/>
                <w:color w:val="auto"/>
              </w:rPr>
              <w:t>Deferred income taxes</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7,134</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2,023</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(4,323)</w:t>
            </w:r>
          </w:p>
        </w:tc>
      </w:tr>
      <w:tr>
        <w:trPr>
          <w:trHeight w:val="166"/>
        </w:trPr>
        <w:tc>
          <w:tcPr>
            <w:tcW w:w="6860" w:type="dxa"/>
            <w:vAlign w:val="bottom"/>
          </w:tcPr>
          <w:p>
            <w:pPr>
              <w:ind w:left="860"/>
              <w:spacing w:after="0"/>
              <w:rPr>
                <w:sz w:val="20"/>
                <w:szCs w:val="20"/>
                <w:color w:val="auto"/>
              </w:rPr>
            </w:pPr>
            <w:r>
              <w:rPr>
                <w:rFonts w:ascii="Courier New" w:cs="Courier New" w:eastAsia="Courier New" w:hAnsi="Courier New"/>
                <w:sz w:val="14"/>
                <w:szCs w:val="14"/>
                <w:color w:val="auto"/>
              </w:rPr>
              <w:t>Loss (gain) from disposal of property and equipment</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166"/>
        </w:trPr>
        <w:tc>
          <w:tcPr>
            <w:tcW w:w="6860" w:type="dxa"/>
            <w:vAlign w:val="bottom"/>
          </w:tcPr>
          <w:p>
            <w:pPr>
              <w:ind w:left="780"/>
              <w:spacing w:after="0"/>
              <w:rPr>
                <w:sz w:val="20"/>
                <w:szCs w:val="20"/>
                <w:color w:val="auto"/>
              </w:rPr>
            </w:pPr>
            <w:r>
              <w:rPr>
                <w:rFonts w:ascii="Courier New" w:cs="Courier New" w:eastAsia="Courier New" w:hAnsi="Courier New"/>
                <w:sz w:val="14"/>
                <w:szCs w:val="14"/>
                <w:color w:val="auto"/>
              </w:rPr>
              <w:t>Vesting of restricted stock, net of cancellations</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w:t>
            </w:r>
          </w:p>
        </w:tc>
      </w:tr>
      <w:tr>
        <w:trPr>
          <w:trHeight w:val="166"/>
        </w:trPr>
        <w:tc>
          <w:tcPr>
            <w:tcW w:w="6860" w:type="dxa"/>
            <w:vAlign w:val="bottom"/>
          </w:tcPr>
          <w:p>
            <w:pPr>
              <w:ind w:left="780"/>
              <w:spacing w:after="0"/>
              <w:rPr>
                <w:sz w:val="20"/>
                <w:szCs w:val="20"/>
                <w:color w:val="auto"/>
              </w:rPr>
            </w:pPr>
            <w:r>
              <w:rPr>
                <w:rFonts w:ascii="Courier New" w:cs="Courier New" w:eastAsia="Courier New" w:hAnsi="Courier New"/>
                <w:sz w:val="14"/>
                <w:szCs w:val="14"/>
                <w:color w:val="auto"/>
              </w:rPr>
              <w:t>Issuances of common stock to Board of Directors</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187</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w:t>
            </w:r>
          </w:p>
        </w:tc>
      </w:tr>
      <w:tr>
        <w:trPr>
          <w:trHeight w:val="166"/>
        </w:trPr>
        <w:tc>
          <w:tcPr>
            <w:tcW w:w="6860" w:type="dxa"/>
            <w:vAlign w:val="bottom"/>
          </w:tcPr>
          <w:p>
            <w:pPr>
              <w:ind w:left="780"/>
              <w:spacing w:after="0"/>
              <w:rPr>
                <w:sz w:val="20"/>
                <w:szCs w:val="20"/>
                <w:color w:val="auto"/>
              </w:rPr>
            </w:pPr>
            <w:r>
              <w:rPr>
                <w:rFonts w:ascii="Courier New" w:cs="Courier New" w:eastAsia="Courier New" w:hAnsi="Courier New"/>
                <w:sz w:val="14"/>
                <w:szCs w:val="14"/>
                <w:color w:val="auto"/>
              </w:rPr>
              <w:t>Issuance of common stock to related party</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317</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524</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w:t>
            </w:r>
          </w:p>
        </w:tc>
      </w:tr>
      <w:tr>
        <w:trPr>
          <w:trHeight w:val="166"/>
        </w:trPr>
        <w:tc>
          <w:tcPr>
            <w:tcW w:w="6860" w:type="dxa"/>
            <w:vAlign w:val="bottom"/>
          </w:tcPr>
          <w:p>
            <w:pPr>
              <w:ind w:left="780"/>
              <w:spacing w:after="0"/>
              <w:rPr>
                <w:sz w:val="20"/>
                <w:szCs w:val="20"/>
                <w:color w:val="auto"/>
              </w:rPr>
            </w:pPr>
            <w:r>
              <w:rPr>
                <w:rFonts w:ascii="Courier New" w:cs="Courier New" w:eastAsia="Courier New" w:hAnsi="Courier New"/>
                <w:sz w:val="14"/>
                <w:szCs w:val="14"/>
                <w:color w:val="auto"/>
              </w:rPr>
              <w:t>Issuance of common stock for professional services</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860" w:type="dxa"/>
            <w:vAlign w:val="bottom"/>
          </w:tcPr>
          <w:p>
            <w:pPr>
              <w:ind w:left="780"/>
              <w:spacing w:after="0"/>
              <w:rPr>
                <w:sz w:val="20"/>
                <w:szCs w:val="20"/>
                <w:color w:val="auto"/>
              </w:rPr>
            </w:pPr>
            <w:r>
              <w:rPr>
                <w:rFonts w:ascii="Courier New" w:cs="Courier New" w:eastAsia="Courier New" w:hAnsi="Courier New"/>
                <w:sz w:val="14"/>
                <w:szCs w:val="14"/>
                <w:color w:val="auto"/>
              </w:rPr>
              <w:t>Accounts receivable</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(473)</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w:t>
            </w:r>
          </w:p>
        </w:tc>
      </w:tr>
      <w:tr>
        <w:trPr>
          <w:trHeight w:val="166"/>
        </w:trPr>
        <w:tc>
          <w:tcPr>
            <w:tcW w:w="6860" w:type="dxa"/>
            <w:vAlign w:val="bottom"/>
          </w:tcPr>
          <w:p>
            <w:pPr>
              <w:ind w:left="780"/>
              <w:spacing w:after="0"/>
              <w:rPr>
                <w:sz w:val="20"/>
                <w:szCs w:val="20"/>
                <w:color w:val="auto"/>
              </w:rPr>
            </w:pPr>
            <w:r>
              <w:rPr>
                <w:rFonts w:ascii="Courier New" w:cs="Courier New" w:eastAsia="Courier New" w:hAnsi="Courier New"/>
                <w:sz w:val="14"/>
                <w:szCs w:val="14"/>
                <w:color w:val="auto"/>
              </w:rPr>
              <w:t>Inventories</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(653)</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(6,944)</w:t>
            </w:r>
          </w:p>
        </w:tc>
      </w:tr>
      <w:tr>
        <w:trPr>
          <w:trHeight w:val="166"/>
        </w:trPr>
        <w:tc>
          <w:tcPr>
            <w:tcW w:w="6860" w:type="dxa"/>
            <w:vAlign w:val="bottom"/>
          </w:tcPr>
          <w:p>
            <w:pPr>
              <w:ind w:left="780"/>
              <w:spacing w:after="0"/>
              <w:rPr>
                <w:sz w:val="20"/>
                <w:szCs w:val="20"/>
                <w:color w:val="auto"/>
              </w:rPr>
            </w:pPr>
            <w:r>
              <w:rPr>
                <w:rFonts w:ascii="Courier New" w:cs="Courier New" w:eastAsia="Courier New" w:hAnsi="Courier New"/>
                <w:sz w:val="14"/>
                <w:szCs w:val="14"/>
                <w:color w:val="auto"/>
              </w:rPr>
              <w:t>Prepaid expenses</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206</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(2,051)</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r>
      <w:tr>
        <w:trPr>
          <w:trHeight w:val="166"/>
        </w:trPr>
        <w:tc>
          <w:tcPr>
            <w:tcW w:w="6860" w:type="dxa"/>
            <w:vAlign w:val="bottom"/>
          </w:tcPr>
          <w:p>
            <w:pPr>
              <w:ind w:left="780"/>
              <w:spacing w:after="0"/>
              <w:rPr>
                <w:sz w:val="20"/>
                <w:szCs w:val="20"/>
                <w:color w:val="auto"/>
              </w:rPr>
            </w:pPr>
            <w:r>
              <w:rPr>
                <w:rFonts w:ascii="Courier New" w:cs="Courier New" w:eastAsia="Courier New" w:hAnsi="Courier New"/>
                <w:sz w:val="14"/>
                <w:szCs w:val="14"/>
                <w:color w:val="auto"/>
              </w:rPr>
              <w:t>(Increase) reduction in other assets</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(399)</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2,368</w:t>
            </w:r>
          </w:p>
        </w:tc>
      </w:tr>
      <w:tr>
        <w:trPr>
          <w:trHeight w:val="166"/>
        </w:trPr>
        <w:tc>
          <w:tcPr>
            <w:tcW w:w="6860" w:type="dxa"/>
            <w:vAlign w:val="bottom"/>
          </w:tcPr>
          <w:p>
            <w:pPr>
              <w:ind w:left="860"/>
              <w:spacing w:after="0"/>
              <w:rPr>
                <w:sz w:val="20"/>
                <w:szCs w:val="20"/>
                <w:color w:val="auto"/>
              </w:rPr>
            </w:pPr>
            <w:r>
              <w:rPr>
                <w:rFonts w:ascii="Courier New" w:cs="Courier New" w:eastAsia="Courier New" w:hAnsi="Courier New"/>
                <w:sz w:val="14"/>
                <w:szCs w:val="14"/>
                <w:color w:val="auto"/>
              </w:rPr>
              <w:t>Payment to Internal Revenue Service on settlement of audit</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(1,500)</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ind w:left="780"/>
              <w:spacing w:after="0"/>
              <w:rPr>
                <w:sz w:val="20"/>
                <w:szCs w:val="20"/>
                <w:color w:val="auto"/>
              </w:rPr>
            </w:pPr>
            <w:r>
              <w:rPr>
                <w:rFonts w:ascii="Courier New" w:cs="Courier New" w:eastAsia="Courier New" w:hAnsi="Courier New"/>
                <w:sz w:val="14"/>
                <w:szCs w:val="14"/>
                <w:color w:val="auto"/>
              </w:rPr>
              <w:t>Accounts payable</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794</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(521)</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(1,915)</w:t>
            </w:r>
          </w:p>
        </w:tc>
      </w:tr>
      <w:tr>
        <w:trPr>
          <w:trHeight w:val="166"/>
        </w:trPr>
        <w:tc>
          <w:tcPr>
            <w:tcW w:w="6860" w:type="dxa"/>
            <w:vAlign w:val="bottom"/>
          </w:tcPr>
          <w:p>
            <w:pPr>
              <w:ind w:left="780"/>
              <w:spacing w:after="0"/>
              <w:rPr>
                <w:sz w:val="20"/>
                <w:szCs w:val="20"/>
                <w:color w:val="auto"/>
              </w:rPr>
            </w:pPr>
            <w:r>
              <w:rPr>
                <w:rFonts w:ascii="Courier New" w:cs="Courier New" w:eastAsia="Courier New" w:hAnsi="Courier New"/>
                <w:sz w:val="14"/>
                <w:szCs w:val="14"/>
                <w:color w:val="auto"/>
              </w:rPr>
              <w:t>Reserve for severance, store closings and impairment charges</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(852)</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(2,376)</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14,844</w:t>
            </w:r>
          </w:p>
        </w:tc>
      </w:tr>
      <w:tr>
        <w:trPr>
          <w:trHeight w:val="166"/>
        </w:trPr>
        <w:tc>
          <w:tcPr>
            <w:tcW w:w="6860" w:type="dxa"/>
            <w:vAlign w:val="bottom"/>
          </w:tcPr>
          <w:p>
            <w:pPr>
              <w:ind w:left="780"/>
              <w:spacing w:after="0"/>
              <w:rPr>
                <w:sz w:val="20"/>
                <w:szCs w:val="20"/>
                <w:color w:val="auto"/>
              </w:rPr>
            </w:pPr>
            <w:r>
              <w:rPr>
                <w:rFonts w:ascii="Courier New" w:cs="Courier New" w:eastAsia="Courier New" w:hAnsi="Courier New"/>
                <w:sz w:val="14"/>
                <w:szCs w:val="14"/>
                <w:color w:val="auto"/>
              </w:rPr>
              <w:t>Accrued expenses, other current liabilities and payable to affiliate</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(2,461)</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342</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6860" w:type="dxa"/>
            <w:vAlign w:val="bottom"/>
          </w:tcPr>
          <w:p>
            <w:pPr>
              <w:ind w:left="780"/>
              <w:spacing w:after="0"/>
              <w:rPr>
                <w:sz w:val="20"/>
                <w:szCs w:val="20"/>
                <w:color w:val="auto"/>
              </w:rPr>
            </w:pPr>
            <w:r>
              <w:rPr>
                <w:rFonts w:ascii="Courier New" w:cs="Courier New" w:eastAsia="Courier New" w:hAnsi="Courier New"/>
                <w:sz w:val="14"/>
                <w:szCs w:val="14"/>
                <w:color w:val="auto"/>
              </w:rPr>
              <w:t>Accrued rent</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w:t>
            </w:r>
          </w:p>
        </w:tc>
      </w:tr>
      <w:tr>
        <w:trPr>
          <w:trHeight w:val="166"/>
        </w:trPr>
        <w:tc>
          <w:tcPr>
            <w:tcW w:w="6860" w:type="dxa"/>
            <w:vAlign w:val="bottom"/>
          </w:tcPr>
          <w:p>
            <w:pPr>
              <w:spacing w:after="0"/>
              <w:rPr>
                <w:sz w:val="14"/>
                <w:szCs w:val="14"/>
                <w:color w:val="auto"/>
              </w:rPr>
            </w:pP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Net cash provided by (used for) operating activities</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563</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6,299</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(1,227)</w:t>
            </w:r>
          </w:p>
        </w:tc>
      </w:tr>
      <w:tr>
        <w:trPr>
          <w:trHeight w:val="166"/>
        </w:trPr>
        <w:tc>
          <w:tcPr>
            <w:tcW w:w="6860" w:type="dxa"/>
            <w:vAlign w:val="bottom"/>
          </w:tcPr>
          <w:p>
            <w:pPr>
              <w:spacing w:after="0"/>
              <w:rPr>
                <w:sz w:val="14"/>
                <w:szCs w:val="14"/>
                <w:color w:val="auto"/>
              </w:rPr>
            </w:pP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Cash flows from investing activities: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860" w:type="dxa"/>
            <w:vAlign w:val="bottom"/>
          </w:tcPr>
          <w:p>
            <w:pPr>
              <w:ind w:left="780"/>
              <w:spacing w:after="0"/>
              <w:rPr>
                <w:sz w:val="20"/>
                <w:szCs w:val="20"/>
                <w:color w:val="auto"/>
              </w:rPr>
            </w:pPr>
            <w:r>
              <w:rPr>
                <w:rFonts w:ascii="Courier New" w:cs="Courier New" w:eastAsia="Courier New" w:hAnsi="Courier New"/>
                <w:sz w:val="14"/>
                <w:szCs w:val="14"/>
                <w:color w:val="auto"/>
              </w:rPr>
              <w:t>Additions to property and equipment, net</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(4,012)</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(4,493)</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(5,046)</w:t>
            </w:r>
          </w:p>
        </w:tc>
      </w:tr>
      <w:tr>
        <w:trPr>
          <w:trHeight w:val="166"/>
        </w:trPr>
        <w:tc>
          <w:tcPr>
            <w:tcW w:w="6860" w:type="dxa"/>
            <w:vAlign w:val="bottom"/>
          </w:tcPr>
          <w:p>
            <w:pPr>
              <w:ind w:left="780"/>
              <w:spacing w:after="0"/>
              <w:rPr>
                <w:sz w:val="20"/>
                <w:szCs w:val="20"/>
                <w:color w:val="auto"/>
              </w:rPr>
            </w:pPr>
            <w:r>
              <w:rPr>
                <w:rFonts w:ascii="Courier New" w:cs="Courier New" w:eastAsia="Courier New" w:hAnsi="Courier New"/>
                <w:sz w:val="14"/>
                <w:szCs w:val="14"/>
                <w:color w:val="auto"/>
              </w:rPr>
              <w:t>Proceeds from disposal of property and equipment</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w:t>
            </w:r>
          </w:p>
        </w:tc>
      </w:tr>
      <w:tr>
        <w:trPr>
          <w:trHeight w:val="166"/>
        </w:trPr>
        <w:tc>
          <w:tcPr>
            <w:tcW w:w="6860" w:type="dxa"/>
            <w:vAlign w:val="bottom"/>
          </w:tcPr>
          <w:p>
            <w:pPr>
              <w:ind w:left="780"/>
              <w:spacing w:after="0"/>
              <w:rPr>
                <w:sz w:val="20"/>
                <w:szCs w:val="20"/>
                <w:color w:val="auto"/>
              </w:rPr>
            </w:pPr>
            <w:r>
              <w:rPr>
                <w:rFonts w:ascii="Courier New" w:cs="Courier New" w:eastAsia="Courier New" w:hAnsi="Courier New"/>
                <w:sz w:val="14"/>
                <w:szCs w:val="14"/>
                <w:color w:val="auto"/>
              </w:rPr>
              <w:t>Termination (establishment) of investment trust</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2,365</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(2,365)</w:t>
            </w:r>
          </w:p>
        </w:tc>
      </w:tr>
      <w:tr>
        <w:trPr>
          <w:trHeight w:val="166"/>
        </w:trPr>
        <w:tc>
          <w:tcPr>
            <w:tcW w:w="6860" w:type="dxa"/>
            <w:vAlign w:val="bottom"/>
          </w:tcPr>
          <w:p>
            <w:pPr>
              <w:spacing w:after="0"/>
              <w:rPr>
                <w:sz w:val="14"/>
                <w:szCs w:val="14"/>
                <w:color w:val="auto"/>
              </w:rPr>
            </w:pP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Net cash used for investing activities</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(3,991)</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(2,071)</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(7,303)</w:t>
            </w:r>
          </w:p>
        </w:tc>
      </w:tr>
      <w:tr>
        <w:trPr>
          <w:trHeight w:val="166"/>
        </w:trPr>
        <w:tc>
          <w:tcPr>
            <w:tcW w:w="6860" w:type="dxa"/>
            <w:vAlign w:val="bottom"/>
          </w:tcPr>
          <w:p>
            <w:pPr>
              <w:spacing w:after="0"/>
              <w:rPr>
                <w:sz w:val="14"/>
                <w:szCs w:val="14"/>
                <w:color w:val="auto"/>
              </w:rPr>
            </w:pP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Cash flows from financing activities: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860" w:type="dxa"/>
            <w:vAlign w:val="bottom"/>
          </w:tcPr>
          <w:p>
            <w:pPr>
              <w:ind w:left="780"/>
              <w:spacing w:after="0"/>
              <w:rPr>
                <w:sz w:val="20"/>
                <w:szCs w:val="20"/>
                <w:color w:val="auto"/>
              </w:rPr>
            </w:pPr>
            <w:r>
              <w:rPr>
                <w:rFonts w:ascii="Courier New" w:cs="Courier New" w:eastAsia="Courier New" w:hAnsi="Courier New"/>
                <w:sz w:val="14"/>
                <w:szCs w:val="14"/>
                <w:color w:val="auto"/>
              </w:rPr>
              <w:t>Net borrowings under credit facility</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3,407</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2,143</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8,377</w:t>
            </w:r>
          </w:p>
        </w:tc>
      </w:tr>
      <w:tr>
        <w:trPr>
          <w:trHeight w:val="166"/>
        </w:trPr>
        <w:tc>
          <w:tcPr>
            <w:tcW w:w="6860" w:type="dxa"/>
            <w:vAlign w:val="bottom"/>
          </w:tcPr>
          <w:p>
            <w:pPr>
              <w:ind w:left="780"/>
              <w:spacing w:after="0"/>
              <w:rPr>
                <w:sz w:val="20"/>
                <w:szCs w:val="20"/>
                <w:color w:val="auto"/>
              </w:rPr>
            </w:pPr>
            <w:r>
              <w:rPr>
                <w:rFonts w:ascii="Courier New" w:cs="Courier New" w:eastAsia="Courier New" w:hAnsi="Courier New"/>
                <w:sz w:val="14"/>
                <w:szCs w:val="14"/>
                <w:color w:val="auto"/>
              </w:rPr>
              <w:t>Repurchase of common stock</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(6,597)</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ind w:left="780"/>
              <w:spacing w:after="0"/>
              <w:rPr>
                <w:sz w:val="20"/>
                <w:szCs w:val="20"/>
                <w:color w:val="auto"/>
              </w:rPr>
            </w:pPr>
            <w:r>
              <w:rPr>
                <w:rFonts w:ascii="Courier New" w:cs="Courier New" w:eastAsia="Courier New" w:hAnsi="Courier New"/>
                <w:sz w:val="14"/>
                <w:szCs w:val="14"/>
                <w:color w:val="auto"/>
              </w:rPr>
              <w:t>Issuances of common stock under option program (1)</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spacing w:after="0"/>
              <w:rPr>
                <w:sz w:val="14"/>
                <w:szCs w:val="14"/>
                <w:color w:val="auto"/>
              </w:rPr>
            </w:pP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Net cash provided by (used for) financing activities</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3,428</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(4,228)</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8,377</w:t>
            </w:r>
          </w:p>
        </w:tc>
      </w:tr>
      <w:tr>
        <w:trPr>
          <w:trHeight w:val="166"/>
        </w:trPr>
        <w:tc>
          <w:tcPr>
            <w:tcW w:w="6860" w:type="dxa"/>
            <w:vAlign w:val="bottom"/>
          </w:tcPr>
          <w:p>
            <w:pPr>
              <w:spacing w:after="0"/>
              <w:rPr>
                <w:sz w:val="14"/>
                <w:szCs w:val="14"/>
                <w:color w:val="auto"/>
              </w:rPr>
            </w:pP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spacing w:after="0"/>
              <w:rPr>
                <w:sz w:val="20"/>
                <w:szCs w:val="20"/>
                <w:color w:val="auto"/>
              </w:rPr>
            </w:pPr>
            <w:r>
              <w:rPr>
                <w:rFonts w:ascii="Courier New" w:cs="Courier New" w:eastAsia="Courier New" w:hAnsi="Courier New"/>
                <w:sz w:val="14"/>
                <w:szCs w:val="14"/>
                <w:color w:val="auto"/>
              </w:rPr>
              <w:t>Net decrease in cash and cash equivalents</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r>
      <w:tr>
        <w:trPr>
          <w:trHeight w:val="166"/>
        </w:trPr>
        <w:tc>
          <w:tcPr>
            <w:tcW w:w="686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Beginning of the year</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r>
      <w:tr>
        <w:trPr>
          <w:trHeight w:val="166"/>
        </w:trPr>
        <w:tc>
          <w:tcPr>
            <w:tcW w:w="6860" w:type="dxa"/>
            <w:vAlign w:val="bottom"/>
          </w:tcPr>
          <w:p>
            <w:pPr>
              <w:spacing w:after="0"/>
              <w:rPr>
                <w:sz w:val="14"/>
                <w:szCs w:val="14"/>
                <w:color w:val="auto"/>
              </w:rPr>
            </w:pP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ind w:left="440"/>
              <w:spacing w:after="0"/>
              <w:rPr>
                <w:sz w:val="20"/>
                <w:szCs w:val="20"/>
                <w:color w:val="auto"/>
              </w:rPr>
            </w:pPr>
            <w:r>
              <w:rPr>
                <w:rFonts w:ascii="Courier New" w:cs="Courier New" w:eastAsia="Courier New" w:hAnsi="Courier New"/>
                <w:sz w:val="14"/>
                <w:szCs w:val="14"/>
                <w:color w:val="auto"/>
              </w:rPr>
              <w:t>End of the year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60" w:type="dxa"/>
            <w:vAlign w:val="bottom"/>
          </w:tcPr>
          <w:p>
            <w:pPr>
              <w:spacing w:after="0"/>
              <w:rPr>
                <w:sz w:val="14"/>
                <w:szCs w:val="14"/>
                <w:color w:val="auto"/>
              </w:rPr>
            </w:pP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Includes related tax benefit.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 consolidated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32" w:name="page33"/>
    <w:bookmarkEnd w:id="32"/>
    <w:p>
      <w:pPr>
        <w:jc w:val="center"/>
        <w:ind w:right="3239"/>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FEBRUARY 2,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SIGNIFICANT ACCOUNTING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Line of Business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Designs, Inc. (the "Company") is engaged in the retail sales of branded apparel and accessories primarily in the outlet channel of distribution. The Company operates a chain of outlet stores located in the eastern part of the United States and Puerto Rico. Levi Strauss &amp; Co. is currently the most significant vendor of the Company, representing substantially all of the Company's merchandise purchases. The Company also purchases merchandise, primarily accessories, from licensees of Levi Strauss &amp; Co. brand products. During the fourth quarter of fiscal 2002, the Company started to expand its business by entering into agreements with other branded manufacturers to operate outlet stores for these brands.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its subsidiaries and affiliates. All significant intercompany accounts, transactions and profits are eliminated.</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330"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Certain amounts from prior years have been reclassified to conform to the current year presentation.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Company's fiscal year is a 52- or 53-week period ending on the Saturday closest to January 31. Fiscal years 2002, 2001 and 2000 ended on February 2, 2002, February 3, 2001 and January 29, 2000, respectively. Fiscal years 2002 and 2000 were 52-week periods and fiscal year 2001 was a 53-week period.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Revenue is recorded upon purchase of merchandise by customers. In connection with gift certificates, a deferred revenue amount is established upon purchase of the certificate by the customer and revenue is recognized upon redemption and purchase of merchandise.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Short-term investments, which have a maturity of ninety days or less when acquired, are considered cash equivalents. The carrying value approximates fair value.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Investment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fiscal 2000, the Company had a $2.3 million restricted investment which represented a trust established for the purpose of securing pre-existing obligations of the Company to certain executives under their respective employment agreements. These funds were being held in a trust to pay the amounts that might become due under their employment agreements and also to pay any amounts that might become due to them pursuant to their indemnification agreements and the Company's by-laws. In fiscal 2001 the trust was terminated, and accordingly, the funds were no longer restricted.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 merchandise inventories were valued at the lower of cost or market using the retail method. In the first quarter of fiscal 2002, the Company changed its method of determining the cost of inventories from the last-in, first-out (LIFO) method to the first-in, first-out (FIFO) method. Management believes that the FIFO method better measures the current value of such inventories and provides a more appropriate matching of revenues and expenses. In the current low-inflationary</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33" w:name="page34"/>
    <w:bookmarkEnd w:id="33"/>
    <w:p>
      <w:pPr>
        <w:ind w:right="3339"/>
        <w:spacing w:after="0" w:line="255" w:lineRule="auto"/>
        <w:rPr>
          <w:sz w:val="20"/>
          <w:szCs w:val="20"/>
          <w:color w:val="auto"/>
        </w:rPr>
      </w:pPr>
      <w:r>
        <w:rPr>
          <w:rFonts w:ascii="Courier New" w:cs="Courier New" w:eastAsia="Courier New" w:hAnsi="Courier New"/>
          <w:sz w:val="14"/>
          <w:szCs w:val="14"/>
          <w:color w:val="auto"/>
        </w:rPr>
        <w:t>environment, management believes that the use of the FIFO method more accurately reflects the Company's financial position.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effect of this change was immaterial to the financial results of the prior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reporting periods of the Company and therefore did not require retroactive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restatement of results for those prior periods. The benefit for LIFO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$350,000 and $558,000 in fiscal 2001 and 2000, respectively. The benefit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2001 was offset by a provision for a lower of cost or market adjustment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merchandise inventories of $350,000. If inventory had been valued on the FIFO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at February 3, 2001 inventory would have been approximately $57,675,000.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Equipment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is reflected in income. Depreciation is computed on the straight-line method over the assets' estimated useful lives as follows:</w:t>
      </w:r>
    </w:p>
    <w:p>
      <w:pPr>
        <w:sectPr>
          <w:pgSz w:w="11900" w:h="16838" w:orient="portrait"/>
          <w:cols w:equalWidth="0" w:num="1">
            <w:col w:w="10239"/>
          </w:cols>
          <w:pgMar w:left="220" w:top="616" w:right="1440" w:bottom="1440" w:gutter="0" w:footer="0" w:header="0"/>
        </w:sectPr>
      </w:pP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Motor vehicles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Store furnishings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Equipment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Leasehold improvements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Software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to ten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Five to eight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Lesser of useful lives or related lease life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to five years</w:t>
      </w:r>
    </w:p>
    <w:p>
      <w:pPr>
        <w:spacing w:after="0" w:line="173" w:lineRule="exact"/>
        <w:rPr>
          <w:sz w:val="20"/>
          <w:szCs w:val="20"/>
          <w:color w:val="auto"/>
        </w:rPr>
      </w:pPr>
    </w:p>
    <w:p>
      <w:pPr>
        <w:sectPr>
          <w:pgSz w:w="11900" w:h="16838" w:orient="portrait"/>
          <w:cols w:equalWidth="0" w:num="2">
            <w:col w:w="2680" w:space="340"/>
            <w:col w:w="72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Pre-opening Costs</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accordance with Statement of Position 98-5, "Reporting on the Costs of Start-Up Activities," the Company expenses all pre-opening costs for its stores as incurred.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 Costs</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Advertising costs, which are included in selling, general and administrative expenses, are expensed when incurred. Advertising expense was $1,004,000, $931,000 and $1,034,000 for fiscal 2002, 2001 and 2000,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(Loss) Per Share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Statement of Financial Accounting Standards No. 128, "Earnings per Share", requires the computation of basic and diluted earnings per share. Basic earnings per share is computed by dividing net income (loss) by the weighted-average number of shares of common stock outstanding during the year. Diluted earnings per share is determined by giving effect to the exercise of stock options using the treasury stock method.</w:t>
      </w:r>
    </w:p>
    <w:p>
      <w:pPr>
        <w:spacing w:after="0" w:line="200" w:lineRule="exact"/>
        <w:rPr>
          <w:sz w:val="20"/>
          <w:szCs w:val="20"/>
          <w:color w:val="auto"/>
        </w:rPr>
      </w:pPr>
    </w:p>
    <w:p>
      <w:pPr>
        <w:spacing w:after="0" w:line="296"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Fiscal Years Ended</w:t>
      </w:r>
    </w:p>
    <w:p>
      <w:pPr>
        <w:spacing w:after="0" w:line="7" w:lineRule="exact"/>
        <w:rPr>
          <w:sz w:val="20"/>
          <w:szCs w:val="20"/>
          <w:color w:val="auto"/>
        </w:rPr>
      </w:pPr>
    </w:p>
    <w:p>
      <w:pPr>
        <w:ind w:left="4320"/>
        <w:spacing w:after="0"/>
        <w:tabs>
          <w:tab w:leader="none" w:pos="5940" w:val="left"/>
          <w:tab w:leader="none" w:pos="7660" w:val="left"/>
        </w:tabs>
        <w:rPr>
          <w:sz w:val="20"/>
          <w:szCs w:val="20"/>
          <w:color w:val="auto"/>
        </w:rPr>
      </w:pPr>
      <w:r>
        <w:rPr>
          <w:rFonts w:ascii="Courier New" w:cs="Courier New" w:eastAsia="Courier New" w:hAnsi="Courier New"/>
          <w:sz w:val="14"/>
          <w:szCs w:val="14"/>
          <w:color w:val="auto"/>
        </w:rPr>
        <w:t>February 2, 2002</w:t>
      </w:r>
      <w:r>
        <w:rPr>
          <w:sz w:val="20"/>
          <w:szCs w:val="20"/>
          <w:color w:val="auto"/>
        </w:rPr>
        <w:tab/>
      </w:r>
      <w:r>
        <w:rPr>
          <w:rFonts w:ascii="Courier New" w:cs="Courier New" w:eastAsia="Courier New" w:hAnsi="Courier New"/>
          <w:sz w:val="14"/>
          <w:szCs w:val="14"/>
          <w:color w:val="auto"/>
        </w:rPr>
        <w:t>February 3, 2001</w:t>
      </w:r>
      <w:r>
        <w:rPr>
          <w:sz w:val="20"/>
          <w:szCs w:val="20"/>
          <w:color w:val="auto"/>
        </w:rPr>
        <w:tab/>
      </w:r>
      <w:r>
        <w:rPr>
          <w:rFonts w:ascii="Courier New" w:cs="Courier New" w:eastAsia="Courier New" w:hAnsi="Courier New"/>
          <w:sz w:val="14"/>
          <w:szCs w:val="14"/>
          <w:color w:val="auto"/>
        </w:rPr>
        <w:t>January 29, 2000</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Basic weighted-average common shares</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14,486</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4"/>
          <w:szCs w:val="14"/>
          <w:color w:val="auto"/>
        </w:rPr>
        <w:t>16,015</w:t>
      </w:r>
    </w:p>
    <w:p>
      <w:pPr>
        <w:spacing w:after="0" w:line="20" w:lineRule="exact"/>
        <w:rPr>
          <w:sz w:val="20"/>
          <w:szCs w:val="20"/>
          <w:color w:val="auto"/>
        </w:rPr>
      </w:pPr>
      <w:r>
        <w:rPr>
          <w:sz w:val="20"/>
          <w:szCs w:val="20"/>
          <w:color w:val="auto"/>
        </w:rPr>
        <w:br w:type="column"/>
      </w:r>
    </w:p>
    <w:p>
      <w:pPr>
        <w:jc w:val="center"/>
        <w:ind w:right="1279"/>
        <w:spacing w:after="0"/>
        <w:rPr>
          <w:sz w:val="20"/>
          <w:szCs w:val="20"/>
          <w:color w:val="auto"/>
        </w:rPr>
      </w:pPr>
      <w:r>
        <w:rPr>
          <w:rFonts w:ascii="Courier New" w:cs="Courier New" w:eastAsia="Courier New" w:hAnsi="Courier New"/>
          <w:sz w:val="14"/>
          <w:szCs w:val="14"/>
          <w:color w:val="auto"/>
        </w:rPr>
        <w:t>16,088</w:t>
      </w:r>
    </w:p>
    <w:p>
      <w:pPr>
        <w:spacing w:after="0" w:line="7" w:lineRule="exact"/>
        <w:rPr>
          <w:sz w:val="20"/>
          <w:szCs w:val="20"/>
          <w:color w:val="auto"/>
        </w:rPr>
      </w:pPr>
    </w:p>
    <w:p>
      <w:pPr>
        <w:sectPr>
          <w:pgSz w:w="11900" w:h="16838" w:orient="portrait"/>
          <w:cols w:equalWidth="0" w:num="4">
            <w:col w:w="4280" w:space="720"/>
            <w:col w:w="1000" w:space="720"/>
            <w:col w:w="1000" w:space="720"/>
            <w:col w:w="1799"/>
          </w:cols>
          <w:pgMar w:left="220" w:top="616"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Stock options, excluding anti-dilutive options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578 and 114 shares for February 2, 2002</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and January 29, 2000, respectively</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Diluted weighted-average shares outstanding</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14,486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277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16,292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16,088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4280" w:space="720"/>
            <w:col w:w="1000" w:space="720"/>
            <w:col w:w="1000" w:space="720"/>
            <w:col w:w="1799"/>
          </w:cols>
          <w:pgMar w:left="220" w:top="616" w:right="1440" w:bottom="1440" w:gutter="0" w:footer="0" w:header="0"/>
          <w:type w:val="continuous"/>
        </w:sectPr>
      </w:pPr>
    </w:p>
    <w:p>
      <w:pPr>
        <w:spacing w:after="0" w:line="138"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Options to purchase shares of the Company's Common Stock, par value $0.01 per share (the "Common Stock"), of 933,900, 283,350 and 320,700 for fiscal 2002,</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2001 and 2000, respectively, were outstanding during the respective periods but were not included in the computation of diluted EPS because the exercise price of the options was greater than the average market price of the Common Stock for the period reported. These options, which expire between June 9, 2002 and July 31, 2011, have exercise prices ranging from $3.48 to $17.75 in fiscal 2002 and $2.00 to $17.75 in fiscal years 2001 and 2000.</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type w:val="continuous"/>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Impairment of Long-Lived Assets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accounts for long-lived assets in accordance with Statement of Financial Accounting Standards No. 121, "Accounting for the Impairment of Long-Lived Assets and for Long-Lived Assets to be Disposed Of." The Company reviews its long-lived assets for events or changes in circumstances that might indicate the carrying amount of the assets may not be recoverable. The Company assesses the recoverability of the assets by determining whether the carrying value of such assets over the remaining lives can be recovered through projected undiscounted future cash flows. The amount of impairment, if any, is measured based on projected discounted future cash flows using a discount rate reflecting the Company's average cost of funds. No such charge was necessary for the fiscal year ended February 2, 2002. In fiscal 2001, the Company recorded an impairment charge of $837,000 for the write-down of fixed assets. The impairment charge related to stores whose expected cash flows from operations are not expected to exceed their net book value prior to the expiration of their expected lease term. In fiscal 2000, the Company recorded an impairment charge of $611,000 for the write-down of fixed assets which was included as part of the $15.2 million non-recurring charge recorded in the fourth quarter of fiscal 2000. For further discussion, see Note I. The impairment charge of $611,000 was related to eight stores which the Company acquired in October 1998 from Levi's Only Stores ("LOS"), a wholly owned subsidiary of Levi Strauss &amp; Co. It was not until the end of fiscal 2000 that the Company had a full year of operating results for these stores on which to make an assessment regarding their future profitability and the realizability of their assets.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PROPERTY AND EQUIPMENT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equipment consisted of the following at the dates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6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February 2, 2002</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February 3, 2001</w:t>
            </w:r>
          </w:p>
        </w:tc>
      </w:tr>
      <w:tr>
        <w:trPr>
          <w:trHeight w:val="166"/>
        </w:trPr>
        <w:tc>
          <w:tcPr>
            <w:tcW w:w="2640" w:type="dxa"/>
            <w:vAlign w:val="bottom"/>
          </w:tcPr>
          <w:p>
            <w:pPr>
              <w:spacing w:after="0"/>
              <w:rPr>
                <w:sz w:val="14"/>
                <w:szCs w:val="14"/>
                <w:color w:val="auto"/>
              </w:rPr>
            </w:pPr>
          </w:p>
        </w:tc>
        <w:tc>
          <w:tcPr>
            <w:tcW w:w="31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Motor vehicles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Store furnishings</w:t>
            </w:r>
          </w:p>
        </w:tc>
        <w:tc>
          <w:tcPr>
            <w:tcW w:w="6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20,142</w:t>
            </w:r>
          </w:p>
        </w:tc>
        <w:tc>
          <w:tcPr>
            <w:tcW w:w="5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17,869</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6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7,249</w:t>
            </w:r>
          </w:p>
        </w:tc>
        <w:tc>
          <w:tcPr>
            <w:tcW w:w="5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6,429</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6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20,875</w:t>
            </w:r>
          </w:p>
        </w:tc>
        <w:tc>
          <w:tcPr>
            <w:tcW w:w="5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19,323</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Purchased software</w:t>
            </w:r>
          </w:p>
        </w:tc>
        <w:tc>
          <w:tcPr>
            <w:tcW w:w="6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6,669</w:t>
            </w:r>
          </w:p>
        </w:tc>
        <w:tc>
          <w:tcPr>
            <w:tcW w:w="5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5,931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Reserve on impaired assets</w:t>
            </w:r>
          </w:p>
        </w:tc>
        <w:tc>
          <w:tcPr>
            <w:tcW w:w="6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w:t>
            </w:r>
          </w:p>
        </w:tc>
        <w:tc>
          <w:tcPr>
            <w:tcW w:w="5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(875)</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6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529</w:t>
            </w:r>
          </w:p>
        </w:tc>
        <w:tc>
          <w:tcPr>
            <w:tcW w:w="5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528</w:t>
            </w:r>
          </w:p>
        </w:tc>
      </w:tr>
      <w:tr>
        <w:trPr>
          <w:trHeight w:val="166"/>
        </w:trPr>
        <w:tc>
          <w:tcPr>
            <w:tcW w:w="2640" w:type="dxa"/>
            <w:vAlign w:val="bottom"/>
          </w:tcPr>
          <w:p>
            <w:pPr>
              <w:spacing w:after="0"/>
              <w:rPr>
                <w:sz w:val="14"/>
                <w:szCs w:val="14"/>
                <w:color w:val="auto"/>
              </w:rPr>
            </w:pPr>
          </w:p>
        </w:tc>
        <w:tc>
          <w:tcPr>
            <w:tcW w:w="3140" w:type="dxa"/>
            <w:vAlign w:val="bottom"/>
            <w:gridSpan w:val="4"/>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55,248</w:t>
            </w:r>
          </w:p>
        </w:tc>
        <w:tc>
          <w:tcPr>
            <w:tcW w:w="5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49,251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680" w:type="dxa"/>
            <w:vAlign w:val="bottom"/>
          </w:tcPr>
          <w:p>
            <w:pPr>
              <w:spacing w:after="0"/>
              <w:rPr>
                <w:sz w:val="14"/>
                <w:szCs w:val="14"/>
                <w:color w:val="auto"/>
              </w:rPr>
            </w:pP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34,336</w:t>
            </w:r>
          </w:p>
        </w:tc>
        <w:tc>
          <w:tcPr>
            <w:tcW w:w="5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30,674</w:t>
            </w:r>
          </w:p>
        </w:tc>
      </w:tr>
      <w:tr>
        <w:trPr>
          <w:trHeight w:val="166"/>
        </w:trPr>
        <w:tc>
          <w:tcPr>
            <w:tcW w:w="2640" w:type="dxa"/>
            <w:vAlign w:val="bottom"/>
          </w:tcPr>
          <w:p>
            <w:pPr>
              <w:spacing w:after="0"/>
              <w:rPr>
                <w:sz w:val="14"/>
                <w:szCs w:val="14"/>
                <w:color w:val="auto"/>
              </w:rPr>
            </w:pPr>
          </w:p>
        </w:tc>
        <w:tc>
          <w:tcPr>
            <w:tcW w:w="3140" w:type="dxa"/>
            <w:vAlign w:val="bottom"/>
            <w:gridSpan w:val="4"/>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Total property and equipment</w:t>
            </w:r>
          </w:p>
        </w:tc>
        <w:tc>
          <w:tcPr>
            <w:tcW w:w="16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$ 20,912</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18,577</w:t>
            </w:r>
          </w:p>
        </w:tc>
      </w:tr>
      <w:tr>
        <w:trPr>
          <w:trHeight w:val="166"/>
        </w:trPr>
        <w:tc>
          <w:tcPr>
            <w:tcW w:w="2640" w:type="dxa"/>
            <w:vAlign w:val="bottom"/>
          </w:tcPr>
          <w:p>
            <w:pPr>
              <w:spacing w:after="0"/>
              <w:rPr>
                <w:sz w:val="14"/>
                <w:szCs w:val="14"/>
                <w:color w:val="auto"/>
              </w:rPr>
            </w:pPr>
          </w:p>
        </w:tc>
        <w:tc>
          <w:tcPr>
            <w:tcW w:w="3140" w:type="dxa"/>
            <w:vAlign w:val="bottom"/>
            <w:gridSpan w:val="4"/>
          </w:tcPr>
          <w:p>
            <w:pPr>
              <w:jc w:val="right"/>
              <w:ind w:right="36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Depreciation expense for fiscal 2002, 2001 and 2000 was $5,303,000, $5,177,000 and $5,949,000,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DEBT OBLIGATIONS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Agreement with Fleet Retail Finance, Inc.</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December 7, 2000, the Company amended and restated its credit facility with Fleet Retail Finance Inc. (the "Amended Credit Agreement"). The Amended Credit Agreement, among other things, provided for an extension of the credit facility to November 30, 2003, reduced the borrowing costs and tied future interest costs to excess borrowing availability, eliminated all existing financial performance covenants and adopted a minimum availability covenant, increased the amount that can potentially be borrowed by increasing the advance rate formula to 68% from 60% of the Company's eligible inventory, provided the Company the ability to enter into further stock buyback programs and reduced the total commitment from $50 million to $45 million. Under the Amended Credit Agreement, the Company is also able to issue documentary and standby letters of credit up to $10 million. The Company's obligations under the Amended Credit Agreement continue to be secured by a lien on all of its assets. The Company is subject to a prepayment penalty for the first two years of the extended facility. The Amended Credit Agreement continues to include certain covenants and events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35" w:name="page36"/>
    <w:bookmarkEnd w:id="35"/>
    <w:p>
      <w:pPr>
        <w:ind w:right="3519"/>
        <w:spacing w:after="0" w:line="255" w:lineRule="auto"/>
        <w:rPr>
          <w:sz w:val="20"/>
          <w:szCs w:val="20"/>
          <w:color w:val="auto"/>
        </w:rPr>
      </w:pPr>
      <w:r>
        <w:rPr>
          <w:rFonts w:ascii="Courier New" w:cs="Courier New" w:eastAsia="Courier New" w:hAnsi="Courier New"/>
          <w:sz w:val="14"/>
          <w:szCs w:val="14"/>
          <w:color w:val="auto"/>
        </w:rPr>
        <w:t>of default customary for credit facilities of this nature, including change of control provisions and limitations on payment of dividends by the Company.</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February 2, 2002, the Company had borrowings of approximately $27.8 million outstanding under this credit facility and had two outstanding standby letters of credit totaling approximately $2.3 million. The fair value of amounts outstanding under this credit facility approximate the carrying value at February 2, 2002 and February 3, 2001. The interest rates on these borrowings at February 2, 2002 were 4.75% for prime based borrowings with varying rates on LIBOR contracts of 4.02% to 4.37%. Average borrowings outstanding under this facility during fiscal 2002 were approximately $29.4 million. The Company had average unused excess availability under this facility of approximately $8.0 million during fiscal 2002, and unused excess availability of $4.3 million at February 2, 2002. The Company was in compliance with all debt covenants under the Amended Credit Agreement at February 2, 2002.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Promissory Note with Boston Trading, Ltd., Inc.</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May 2, 1995, the Company delivered a non-negotiable promissory note in the principal amount of $1,000,000 (the "Purchase Note") in connection with the acquisition of certain assets of Boston Trading Ltd., Inc. ("Boston Trading") in accordance with the terms of an Asset Purchase Agreement dated April 21, 1995 among Boston Trading, its stockholders, Designs Acquisition Corp., and the Company (the "Purchase Agreement"). The principal amount of the Purchase Note was stated to be payable in two equal annual installments through May 1997. The note bore interest at the published prime rate, payable semi-annually from the date of acquisition.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the first quarter of fiscal 1997, the Company asserted certain indemnification rights under the Purchase Agreement. In accordance with the Purchase Agreement, the Company, when exercising its indemnification rights, has the right, among other courses of action, to offset against the payment of principal and interest due under the Purchase Note. Accordingly, the Company did not make the two $500,000 payments of principal on the Purchase Note that were due on May 2, 1996 and May 2, 1997. The Company paid interest on the original principal amount of the Purchase Note through May 2, 1996 and continued to pay interest thereafter through January 31, 1998 on $500,000 of principal. In January 1998, Atlantic Harbor, Inc. filed a lawsuit against the Company for failing to pay the outstanding principal amount of the Purchase Note. In March 1998, the Company filed a counterclaim against Atlantic Harbor, Inc. alleging that the Company suffered damaged in excess of $1 million because of the breach of certain representations and warranties made by Atlantic Harbor, Inc. and its stockholders concerning the existence and condition of certain foreign trademark registrations and license agreements.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first quarter of fiscal 2002, the Company entered into a settlement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 Atlantic Harbor, Inc. whereby the Company agreed to pay $450,000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Atlantic Harbor, Inc. as settlement for all obligations under the outstanding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Note. In exchange, the Company agreed to transfer and assign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 and license agreements acquired as part of the Purchase Agreement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new entity in which the Company would have a 15% equity interest,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Atlantic Harbor, Inc. and its affiliates retaining the remaining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In addition, the Company would also be entitled to receive up to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$150,000 from existing license royalties over the next four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recorded a gain on settlement of this dispute in the 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$550,000 in the fourth quarter of fiscal 2001, which was included in "Provision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impairment of assets, store closing and severance" on the 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of Operations for fiscal 2001.</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Company paid interest and fees on all the above described debt obligations totaling $1,906,000, $2,112,000, and $1,558,000 for fiscal 2002, 2001 and 2000,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INCOME TAXES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accounts for income taxes in accordance with Statement of Financial Accounting Standards No. 109, "Accounting for Income Taxes" ("SFAS 109"). Under SFAS 109, deferred tax assets and liabilities are recognized based on temporary differences between the financial statement and tax basis of assets and liabilities using enacted tax rates in effect in the years in which the differences are expected to reverse. SFAS 109 requires current recognition of net deferred tax assets to the extent that it is more likely than not that such net assets will be realized. To the extent that the Company believes that its net deferred tax assets will not be realized, a valuation allowance must be recorded against those assets.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As of February 2, 2002, the Company has net operating loss carryforwards of</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$33,622,000 for federal income tax purposes and $49,745,000 for state income tax purposes which are available to offset future taxable income through fiscal year 2022. Additionally, the Company has alternative minimum tax credit carryforwards of $1,166,000, which are available to further reduce income taxes over an indefinite period.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components of the net deferred tax assets as of February 2, 2002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2001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4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February 2,</w:t>
            </w:r>
          </w:p>
        </w:tc>
        <w:tc>
          <w:tcPr>
            <w:tcW w:w="13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February 3,</w:t>
            </w:r>
          </w:p>
        </w:tc>
      </w:tr>
      <w:tr>
        <w:trPr>
          <w:trHeight w:val="166"/>
        </w:trPr>
        <w:tc>
          <w:tcPr>
            <w:tcW w:w="4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2002</w:t>
            </w:r>
          </w:p>
        </w:tc>
        <w:tc>
          <w:tcPr>
            <w:tcW w:w="5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4060" w:type="dxa"/>
            <w:vAlign w:val="bottom"/>
          </w:tcPr>
          <w:p>
            <w:pPr>
              <w:spacing w:after="0"/>
              <w:rPr>
                <w:sz w:val="14"/>
                <w:szCs w:val="14"/>
                <w:color w:val="auto"/>
              </w:rPr>
            </w:pPr>
          </w:p>
        </w:tc>
        <w:tc>
          <w:tcPr>
            <w:tcW w:w="27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Deferred tax assets - current:</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Inventory reserves</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569</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765</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Accrued expenses</w:t>
            </w:r>
          </w:p>
        </w:tc>
        <w:tc>
          <w:tcPr>
            <w:tcW w:w="34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w:t>
            </w:r>
          </w:p>
        </w:tc>
        <w:tc>
          <w:tcPr>
            <w:tcW w:w="5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27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Net deferred tax assets - current</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652</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765</w:t>
            </w:r>
          </w:p>
        </w:tc>
      </w:tr>
      <w:tr>
        <w:trPr>
          <w:trHeight w:val="166"/>
        </w:trPr>
        <w:tc>
          <w:tcPr>
            <w:tcW w:w="4060" w:type="dxa"/>
            <w:vAlign w:val="bottom"/>
          </w:tcPr>
          <w:p>
            <w:pPr>
              <w:spacing w:after="0"/>
              <w:rPr>
                <w:sz w:val="14"/>
                <w:szCs w:val="14"/>
                <w:color w:val="auto"/>
              </w:rPr>
            </w:pPr>
          </w:p>
        </w:tc>
        <w:tc>
          <w:tcPr>
            <w:tcW w:w="27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Deferred tax assets - noncurrent:</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Excess of book over tax</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depreciation/amortization</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4,388</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3,275</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Restructuring reserve</w:t>
            </w:r>
          </w:p>
        </w:tc>
        <w:tc>
          <w:tcPr>
            <w:tcW w:w="34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w:t>
            </w:r>
          </w:p>
        </w:tc>
        <w:tc>
          <w:tcPr>
            <w:tcW w:w="5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408</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Net operating loss carryforward</w:t>
            </w:r>
          </w:p>
        </w:tc>
        <w:tc>
          <w:tcPr>
            <w:tcW w:w="34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14,565</w:t>
            </w:r>
          </w:p>
        </w:tc>
        <w:tc>
          <w:tcPr>
            <w:tcW w:w="5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15,760</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Alternative minimum tax credit carryforward</w:t>
            </w:r>
          </w:p>
        </w:tc>
        <w:tc>
          <w:tcPr>
            <w:tcW w:w="34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1,166</w:t>
            </w:r>
          </w:p>
        </w:tc>
        <w:tc>
          <w:tcPr>
            <w:tcW w:w="5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1,138</w:t>
            </w:r>
          </w:p>
        </w:tc>
      </w:tr>
      <w:tr>
        <w:trPr>
          <w:trHeight w:val="166"/>
        </w:trPr>
        <w:tc>
          <w:tcPr>
            <w:tcW w:w="4060" w:type="dxa"/>
            <w:vAlign w:val="bottom"/>
          </w:tcPr>
          <w:p>
            <w:pPr>
              <w:spacing w:after="0"/>
              <w:rPr>
                <w:sz w:val="14"/>
                <w:szCs w:val="14"/>
                <w:color w:val="auto"/>
              </w:rPr>
            </w:pPr>
          </w:p>
        </w:tc>
        <w:tc>
          <w:tcPr>
            <w:tcW w:w="27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34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20,186</w:t>
            </w:r>
          </w:p>
        </w:tc>
        <w:tc>
          <w:tcPr>
            <w:tcW w:w="5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20,581</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3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(12,860)</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(6,234)</w:t>
            </w:r>
          </w:p>
        </w:tc>
      </w:tr>
      <w:tr>
        <w:trPr>
          <w:trHeight w:val="166"/>
        </w:trPr>
        <w:tc>
          <w:tcPr>
            <w:tcW w:w="4060" w:type="dxa"/>
            <w:vAlign w:val="bottom"/>
          </w:tcPr>
          <w:p>
            <w:pPr>
              <w:spacing w:after="0"/>
              <w:rPr>
                <w:sz w:val="14"/>
                <w:szCs w:val="14"/>
                <w:color w:val="auto"/>
              </w:rPr>
            </w:pPr>
          </w:p>
        </w:tc>
        <w:tc>
          <w:tcPr>
            <w:tcW w:w="27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Total deferred tax assets, net - noncurrent</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7,326</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14,347</w:t>
            </w:r>
          </w:p>
        </w:tc>
      </w:tr>
      <w:tr>
        <w:trPr>
          <w:trHeight w:val="166"/>
        </w:trPr>
        <w:tc>
          <w:tcPr>
            <w:tcW w:w="4060" w:type="dxa"/>
            <w:vAlign w:val="bottom"/>
          </w:tcPr>
          <w:p>
            <w:pPr>
              <w:spacing w:after="0"/>
              <w:rPr>
                <w:sz w:val="14"/>
                <w:szCs w:val="14"/>
                <w:color w:val="auto"/>
              </w:rPr>
            </w:pPr>
          </w:p>
        </w:tc>
        <w:tc>
          <w:tcPr>
            <w:tcW w:w="27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fourth quarter of fiscal 2002, the Company recorded a charge of $8.0 million against its deferred tax assets, attributable to the potential that certain of these assets may not be realizable. The Company had previously recorded, in fiscal 2000, a valuation allowance of $6.2 million against its tax assets related to losses incurred as a result of restructuring and other non-recurring charges.</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Realization of the Company's deferred tax assets, which relate principally to federal net operating loss carryforwards which expire from 2017 through 2022, is dependent on generating sufficient taxable income in the following first three years of the carryforward period. Accordingly, the valuation allowance at February 2, 2002 is primarily attributable to the potential that certain deferred federal and state tax assets will not be realizable within this period. Although realization is not assured, management believes it is more likely than not that the balance of the deferred tax assets in excess of the valuation allowance will be realized. In reaching this determination, management considered the Company's historical performance, noting that the losses in fiscal 1998, 1999 and 2000 which generated the net operating loss carryforwards described above were principally the result of charges incurred to exit unprofitable businesses and that the Company's core business of selling Levi Strauss &amp; Co. branded apparel in outlet stores has been consistently profitable. However, considering the general economic weakness and reduced profit margin experienced in fiscal 2002, management increased the valuation allowance further in fiscal 2002. Assuming improved operating results from its core Levi's(R)/Dockers(R) Outlet business, management believes that the balance of deferred tax assets in excess of the valuation allowance may be utilized in the next three years. Although not considered in assessing the realization of the Company's deferred tax assets, management expects that the Company's expansion strategy of opening and operating other branded stores for other brand manufacturers will generate income in the coming years which could result in the realization of deferred tax assets currently reserved for. In the event the Company's performance of its Levi's(R)/Dockers(R) store improves, and/or its expansion into operating branded retail stores for other brand manufacturers improves the Company's overall profitability, the Company's valuation allowance for its deferred tax assets may be reduced. Conversely, the amount of the valuation allowance deemed necessary could be increased in the near term if projections of future taxable income during the carryforward period are reduced or if actual results are less than projections.</w:t>
      </w:r>
    </w:p>
    <w:p>
      <w:pPr>
        <w:spacing w:after="0" w:line="200" w:lineRule="exact"/>
        <w:rPr>
          <w:sz w:val="20"/>
          <w:szCs w:val="20"/>
          <w:color w:val="auto"/>
        </w:rPr>
      </w:pPr>
    </w:p>
    <w:p>
      <w:pPr>
        <w:spacing w:after="0" w:line="31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The provision for income taxes consists of the following: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YEARS ENDED</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February 2,</w:t>
            </w:r>
          </w:p>
        </w:tc>
        <w:tc>
          <w:tcPr>
            <w:tcW w:w="16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February 3,</w:t>
            </w:r>
          </w:p>
        </w:tc>
        <w:tc>
          <w:tcPr>
            <w:tcW w:w="182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January 29,</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700" w:type="dxa"/>
            <w:vAlign w:val="bottom"/>
          </w:tcPr>
          <w:p>
            <w:pPr>
              <w:spacing w:after="0"/>
              <w:rPr>
                <w:sz w:val="14"/>
                <w:szCs w:val="14"/>
                <w:color w:val="auto"/>
              </w:rPr>
            </w:pPr>
          </w:p>
        </w:tc>
        <w:tc>
          <w:tcPr>
            <w:tcW w:w="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w:t>
            </w:r>
          </w:p>
        </w:tc>
        <w:tc>
          <w:tcPr>
            <w:tcW w:w="4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37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(in thousands)</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30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1,549</w:t>
            </w:r>
          </w:p>
        </w:tc>
        <w:tc>
          <w:tcPr>
            <w:tcW w:w="70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249</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508</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37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922</w:t>
            </w:r>
          </w:p>
        </w:tc>
        <w:tc>
          <w:tcPr>
            <w:tcW w:w="70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249</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508</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37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30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5,107</w:t>
            </w:r>
          </w:p>
        </w:tc>
        <w:tc>
          <w:tcPr>
            <w:tcW w:w="70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362</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439</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30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2,027</w:t>
            </w:r>
          </w:p>
        </w:tc>
        <w:tc>
          <w:tcPr>
            <w:tcW w:w="70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1,661</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1,268</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37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7,134</w:t>
            </w:r>
          </w:p>
        </w:tc>
        <w:tc>
          <w:tcPr>
            <w:tcW w:w="70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2,023</w:t>
            </w: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1,707</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37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provision</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8,056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2,272</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2,215</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37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7120" w:type="dxa"/>
            <w:vAlign w:val="bottom"/>
            <w:gridSpan w:val="8"/>
          </w:tcPr>
          <w:p>
            <w:pPr>
              <w:spacing w:after="0"/>
              <w:rPr>
                <w:sz w:val="20"/>
                <w:szCs w:val="20"/>
                <w:color w:val="auto"/>
              </w:rPr>
            </w:pPr>
            <w:r>
              <w:rPr>
                <w:rFonts w:ascii="Courier New" w:cs="Courier New" w:eastAsia="Courier New" w:hAnsi="Courier New"/>
                <w:sz w:val="14"/>
                <w:szCs w:val="14"/>
                <w:color w:val="auto"/>
              </w:rPr>
              <w:t>The following is a reconciliation between the statutory and effective income tax</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rates in dollars:</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63"/>
        </w:trPr>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FISCAL YEARS ENDED</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February 2,</w:t>
            </w: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February 3,</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January 29,</w:t>
            </w:r>
          </w:p>
        </w:tc>
      </w:tr>
      <w:tr>
        <w:trPr>
          <w:trHeight w:val="166"/>
        </w:trPr>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2002</w:t>
            </w:r>
          </w:p>
        </w:tc>
        <w:tc>
          <w:tcPr>
            <w:tcW w:w="780" w:type="dxa"/>
            <w:vAlign w:val="bottom"/>
          </w:tcPr>
          <w:p>
            <w:pPr>
              <w:spacing w:after="0"/>
              <w:rPr>
                <w:sz w:val="14"/>
                <w:szCs w:val="14"/>
                <w:color w:val="auto"/>
              </w:rPr>
            </w:pPr>
          </w:p>
        </w:tc>
        <w:tc>
          <w:tcPr>
            <w:tcW w:w="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gridSpan w:val="3"/>
          </w:tcPr>
          <w:p>
            <w:pPr>
              <w:spacing w:after="0"/>
              <w:rPr>
                <w:sz w:val="20"/>
                <w:szCs w:val="20"/>
                <w:color w:val="auto"/>
              </w:rPr>
            </w:pPr>
            <w:r>
              <w:rPr>
                <w:rFonts w:ascii="Courier New" w:cs="Courier New" w:eastAsia="Courier New" w:hAnsi="Courier New"/>
                <w:sz w:val="14"/>
                <w:szCs w:val="14"/>
                <w:color w:val="auto"/>
              </w:rPr>
              <w:t>Federal income tax at the statutory rate</w:t>
            </w: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1,866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(3,495)</w:t>
            </w:r>
          </w:p>
        </w:tc>
      </w:tr>
      <w:tr>
        <w:trPr>
          <w:trHeight w:val="166"/>
        </w:trPr>
        <w:tc>
          <w:tcPr>
            <w:tcW w:w="5300" w:type="dxa"/>
            <w:vAlign w:val="bottom"/>
            <w:gridSpan w:val="5"/>
          </w:tcPr>
          <w:p>
            <w:pPr>
              <w:spacing w:after="0"/>
              <w:rPr>
                <w:sz w:val="20"/>
                <w:szCs w:val="20"/>
                <w:color w:val="auto"/>
              </w:rPr>
            </w:pPr>
            <w:r>
              <w:rPr>
                <w:rFonts w:ascii="Courier New" w:cs="Courier New" w:eastAsia="Courier New" w:hAnsi="Courier New"/>
                <w:sz w:val="14"/>
                <w:szCs w:val="14"/>
                <w:color w:val="auto"/>
              </w:rPr>
              <w:t>State income and other taxes, net of federal tax benefit</w:t>
            </w:r>
          </w:p>
        </w:tc>
        <w:tc>
          <w:tcPr>
            <w:tcW w:w="4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7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357</w:t>
            </w: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(164)</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Permanent items</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w:t>
            </w:r>
          </w:p>
        </w:tc>
        <w:tc>
          <w:tcPr>
            <w:tcW w:w="7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w:t>
            </w: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Change in valuation allowance</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8,000</w:t>
            </w:r>
          </w:p>
        </w:tc>
        <w:tc>
          <w:tcPr>
            <w:tcW w:w="7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5,694</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c>
          <w:tcPr>
            <w:tcW w:w="7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gridSpan w:val="3"/>
          </w:tcPr>
          <w:p>
            <w:pPr>
              <w:spacing w:after="0"/>
              <w:rPr>
                <w:sz w:val="20"/>
                <w:szCs w:val="20"/>
                <w:color w:val="auto"/>
              </w:rPr>
            </w:pPr>
            <w:r>
              <w:rPr>
                <w:rFonts w:ascii="Courier New" w:cs="Courier New" w:eastAsia="Courier New" w:hAnsi="Courier New"/>
                <w:sz w:val="14"/>
                <w:szCs w:val="14"/>
                <w:color w:val="auto"/>
              </w:rPr>
              <w:t>Expiration of capital loss carryforward</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w:t>
            </w:r>
          </w:p>
        </w:tc>
      </w:tr>
      <w:tr>
        <w:trPr>
          <w:trHeight w:val="166"/>
        </w:trPr>
        <w:tc>
          <w:tcPr>
            <w:tcW w:w="2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Provision for income tax</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8,056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2,272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2,215</w:t>
            </w:r>
          </w:p>
        </w:tc>
      </w:tr>
    </w:tbl>
    <w:p>
      <w:pPr>
        <w:spacing w:after="0" w:line="33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received income tax refunds of $75,000 for fiscal year 2000 and the Company paid income taxes of $184,000 for fiscal year 2001. In fiscal 2002, the Company paid income taxes, excluding its settlement with the Internal Revenue Service ("IRS"), of $231,000. These figures represent the net of payments and receipts.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first quarter of fiscal year 1999, the Internal Revenue Service ("IRS") completed an examination of the Company's federal income tax returns for fiscal years 1992 through 1996. Taxes on the adjustments proposed by the IRS, excluding interest, amounted to approximately $4.9 million. The IRS challenged the fiscal tax years in which various income and expense deductions were recognized, resulting in potential timing differences of previously paid federal income taxes. The Company appealed these proposed adjustments through the IRS appeals process and on August 25, 2001 reached a settlement on the audit. In accordance with the settlement, the Company paid to the IRS a total of $1.5 million in fiscal 2002 including interest. The settlement of $1.5 million had no material impact on the Company's results of operations in fiscal 2002 due to adequate provisions previously established by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 COMMITMENTS AND CONTINGENCIES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At February 2, 2002, the Company was obligated under operating leases covering store and office space, automobiles and certain equipment for future minimum rentals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34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340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3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$ 17,709</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3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17,054</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3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14,369</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3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9,974</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3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6,260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3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19,044</w:t>
            </w:r>
          </w:p>
        </w:tc>
      </w:tr>
      <w:tr>
        <w:trPr>
          <w:trHeight w:val="166"/>
        </w:trPr>
        <w:tc>
          <w:tcPr>
            <w:tcW w:w="2120" w:type="dxa"/>
            <w:vAlign w:val="bottom"/>
          </w:tcPr>
          <w:p>
            <w:pPr>
              <w:spacing w:after="0"/>
              <w:rPr>
                <w:sz w:val="14"/>
                <w:szCs w:val="14"/>
                <w:color w:val="auto"/>
              </w:rPr>
            </w:pPr>
          </w:p>
        </w:tc>
        <w:tc>
          <w:tcPr>
            <w:tcW w:w="3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tcPr>
          <w:p>
            <w:pPr>
              <w:spacing w:after="0"/>
              <w:rPr>
                <w:sz w:val="14"/>
                <w:szCs w:val="14"/>
                <w:color w:val="auto"/>
              </w:rPr>
            </w:pPr>
          </w:p>
        </w:tc>
        <w:tc>
          <w:tcPr>
            <w:tcW w:w="3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$ 84,410</w:t>
            </w:r>
          </w:p>
        </w:tc>
      </w:tr>
      <w:tr>
        <w:trPr>
          <w:trHeight w:val="166"/>
        </w:trPr>
        <w:tc>
          <w:tcPr>
            <w:tcW w:w="2120" w:type="dxa"/>
            <w:vAlign w:val="bottom"/>
          </w:tcPr>
          <w:p>
            <w:pPr>
              <w:spacing w:after="0"/>
              <w:rPr>
                <w:sz w:val="14"/>
                <w:szCs w:val="14"/>
                <w:color w:val="auto"/>
              </w:rPr>
            </w:pPr>
          </w:p>
        </w:tc>
        <w:tc>
          <w:tcPr>
            <w:tcW w:w="3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497"/>
        </w:trPr>
        <w:tc>
          <w:tcPr>
            <w:tcW w:w="2120" w:type="dxa"/>
            <w:vAlign w:val="bottom"/>
          </w:tcPr>
          <w:p>
            <w:pPr>
              <w:spacing w:after="0"/>
              <w:rPr>
                <w:sz w:val="24"/>
                <w:szCs w:val="24"/>
                <w:color w:val="auto"/>
              </w:rPr>
            </w:pPr>
          </w:p>
        </w:tc>
        <w:tc>
          <w:tcPr>
            <w:tcW w:w="340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37</w:t>
            </w:r>
          </w:p>
        </w:tc>
      </w:tr>
    </w:tbl>
    <w:p>
      <w:pPr>
        <w:sectPr>
          <w:pgSz w:w="11900" w:h="16838" w:orient="portrait"/>
          <w:cols w:equalWidth="0" w:num="1">
            <w:col w:w="10239"/>
          </w:cols>
          <w:pgMar w:left="220" w:top="616" w:right="1440" w:bottom="1440" w:gutter="0" w:footer="0" w:header="0"/>
        </w:sectPr>
      </w:pPr>
    </w:p>
    <w:bookmarkStart w:id="38" w:name="page39"/>
    <w:bookmarkEnd w:id="38"/>
    <w:p>
      <w:pPr>
        <w:ind w:right="3419"/>
        <w:spacing w:after="0" w:line="252" w:lineRule="auto"/>
        <w:rPr>
          <w:sz w:val="20"/>
          <w:szCs w:val="20"/>
          <w:color w:val="auto"/>
        </w:rPr>
      </w:pPr>
      <w:r>
        <w:rPr>
          <w:rFonts w:ascii="Courier New" w:cs="Courier New" w:eastAsia="Courier New" w:hAnsi="Courier New"/>
          <w:sz w:val="14"/>
          <w:szCs w:val="14"/>
          <w:color w:val="auto"/>
        </w:rPr>
        <w:t>In addition to future minimum rental payments, many of the store leases include provisions for common area maintenance, mall charges, escalation clauses and additional rents based on a percentage of store sales above designated levels.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signed a lease for its corporate headquarters in Needham, Massachusetts, during fiscal 1996. The term of the lease is for ten years ending in November 2005. The lease provides for the Company to pay all related costs associated with the land and headquarters building. Over the past four years, the Company has subleased a large portion of these corporate headquarters. At February 2, 2002, the Company had two subtenants. One of the subtenants has vacated the leased premises, of approximately 14,500 square feet, but is still paying the required rent through the end of their lease, which expires March 2003. The second tenant, whose lease expires in July 2003, leases approximately 15,300 square feet. In September 2000, the Company had entered into a third lease agreement with an additional subtenant for 9,500 square feet. That subtenant filed bankruptcy in fiscal 2001.</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Under the lease for the corporate headquarters, a portion of the sublease income, net of the Company's rental cost and certain apportioned common area maintenance charges, is due back to the landlord when more than 30,000 square feet of the office space becomes subleased. At February 2, 2002, the Company sub-leased approximately 29,800 of the 80,000 square feet of its corporate offices. The Company's commitment under this lease is reduced by the expected future rental income to be received from the Company's two sublessees. The Company expects to receive approximately $0.7 million in fiscal 2003 and $0.2 million in fiscal 2004 in rental income under these sublease agreements.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November, 2000, the Company entered into an option agreement with the landlord of its corporate headquarters. The agreement provided the landlord with the option, if exercised within 15 months from the date of the agreement, to terminate the Company's lease for its corporate headquarters, which expires January 31, 2006. If such option was exercised by the landlord, then the Company would have been entitled to receive $8.9 million provided that certain conditions in connection with vacating the leased property were met. This option, which was not exercised by the landlord, terminated on February 1, 2002.</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leases two warehouse facilities in Orlando, Florida, which it utilizes as its merchandise distribution centers. One lease, which is for approximately 60,000 square feet, is a five year lease which expires on August 14, 2005. At that time, the Company has the option to extend its lease for an additional five year term. In fiscal 2002, the Company entered into a lease agreement for an additional 16,000 square feet. The lease for this additional space expires March 31, 2005. Until September 2001, the Company had also utilized a 30,000 square foot third party distribution center in Mansfield, Massachusetts. With its distribution centers in Florida in full operation, the Company no longer required the services of a third party distributor.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Amounts charged to operations for all occupancy costs, automobile and leased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equipment expense were $23,038,000, $22,250,000 and $22,571,000 in fiscal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and 2000, respectively. Of these amounts charged to operations, $49,000,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$75,000 and $23,000 represent payments based upon a percentage of adjusted gross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as provided in the lease agreement for fiscal 2002, 2001 and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is also subject to various legal proceedings and claims that arise in the ordinary course of business. Management believes that the resolution of these matters will not have an adverse impact on the results of operations or the financial position of the Company.</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F.STOCK OPTIONS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April 3, 1992, the Board of Directors adopted the 1992 Stock Incentive Plan (the "1992 Plan"), which became effective on June 9, 1992 when it was approved by the stockholders of the Company. Under the original terms of the 1992 Plan, up to 1,850,000 shares of Common Stock could be issued pursuant to "incentive stock options" (as defined in Section 422 of the Internal Revenue Code of 1986, as amended), options which are not "incentive stock options," conditioned stock awards, unrestricted stock awards and performance share awards. The 1992 Plan is administered by the Compensation Committee, all of the members of which are non-employee directors. The Compensation Committee makes all determinations with respect to amounts and conditions covering awards under the 1992 Plan. No incentive stock options could be granted under the original terms of the 1992 Plan after April 2, 2002. Options have never been granted at a price less than fair value on the date of the grant. Options granted to employees, executives and directors typically vest over five, three and three years, respectively, with the exception of the premium priced options issued to the executives which vest over a five-year period. Options granted under the 1992 Plan expire ten years from the date of grant. The 1992 Plan terminates when all shares issuable thereunder have been issued.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By written consent dated as of April 28, 1997, the Board of Directors authorized an increase in the number of shares of Common Stock issuable under the 1992 Plan to 2,430,000 shares. In addition, the Board of Directors authorized an increase in the number of options to purchase shares of Common Stock that could be granted during any fiscal year to any individual participant from 75,000 to 270,000 shares, but only if all such stock options had a per share exercise price not less than 200% of fair market value of one share of Common Stock on the date of grant. Furthermore, they authorized the elimination of certain provisions of the 1992 Plan that were no longer required by Rule 16b-3 under the Securities Exchange Act of 1934, as amended. The stockholders approved this increase and the other amendments to the 1992 Plan at the Annual Meeting of Stockholders held on June 10, 1997.</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May 19, 2000, the Board of Directors approved an amendment to the 1992 Plan to increase the number of shares of Common Stock authorized for issuance from 2,430,000 shares to 4,430,000 shares and to extend the date of termination of the 1992 Plan from April 2, 2002 to April 2, 2007. This amendment was subsequently approved by the Company's stockholders at the Annual Meeting of Stockholders on June 26, 2000. At the Annual Meeting of Stockholders held on July 31, 2001, the shareholders approved an amendment to the 1992 Plan to allow the Company to grant options to purchase up to 270,000 shares of Common Stock to any individual participant during any fiscal year so long as the exercise price is not less than fair market value on the date of grant.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shares subject to the 1992 Plan:</w:t>
      </w:r>
    </w:p>
    <w:p>
      <w:pPr>
        <w:spacing w:after="0" w:line="200" w:lineRule="exact"/>
        <w:rPr>
          <w:sz w:val="20"/>
          <w:szCs w:val="20"/>
          <w:color w:val="auto"/>
        </w:rPr>
      </w:pPr>
    </w:p>
    <w:p>
      <w:pPr>
        <w:spacing w:after="0" w:line="304"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FISCAL YEAR</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580"/>
        <w:spacing w:after="0"/>
        <w:tabs>
          <w:tab w:leader="none" w:pos="6020" w:val="left"/>
          <w:tab w:leader="none" w:pos="7480" w:val="left"/>
        </w:tabs>
        <w:rPr>
          <w:sz w:val="20"/>
          <w:szCs w:val="20"/>
          <w:color w:val="auto"/>
        </w:rPr>
      </w:pP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Outstanding at</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0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beginning of year</w:t>
            </w:r>
          </w:p>
        </w:tc>
        <w:tc>
          <w:tcPr>
            <w:tcW w:w="4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851,850</w:t>
            </w:r>
          </w:p>
        </w:tc>
        <w:tc>
          <w:tcPr>
            <w:tcW w:w="4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501,075</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2,103,225</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granted</w:t>
            </w:r>
          </w:p>
        </w:tc>
        <w:tc>
          <w:tcPr>
            <w:tcW w:w="4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523,769</w:t>
            </w:r>
          </w:p>
        </w:tc>
        <w:tc>
          <w:tcPr>
            <w:tcW w:w="4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886,352</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261,106</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canceled</w:t>
            </w:r>
          </w:p>
        </w:tc>
        <w:tc>
          <w:tcPr>
            <w:tcW w:w="4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74,413</w:t>
            </w:r>
          </w:p>
        </w:tc>
        <w:tc>
          <w:tcPr>
            <w:tcW w:w="4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354,225</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1,625,600</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4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59,392</w:t>
            </w:r>
          </w:p>
        </w:tc>
        <w:tc>
          <w:tcPr>
            <w:tcW w:w="4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181,352</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237,656</w:t>
            </w:r>
          </w:p>
        </w:tc>
      </w:tr>
      <w:tr>
        <w:trPr>
          <w:trHeight w:val="166"/>
        </w:trPr>
        <w:tc>
          <w:tcPr>
            <w:tcW w:w="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0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Outstanding at end of year</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1,241,814</w:t>
            </w:r>
          </w:p>
        </w:tc>
        <w:tc>
          <w:tcPr>
            <w:tcW w:w="480" w:type="dxa"/>
            <w:vAlign w:val="bottom"/>
          </w:tcPr>
          <w:p>
            <w:pPr>
              <w:spacing w:after="0"/>
              <w:rPr>
                <w:sz w:val="24"/>
                <w:szCs w:val="2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851,850</w:t>
            </w:r>
          </w:p>
        </w:tc>
        <w:tc>
          <w:tcPr>
            <w:tcW w:w="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501,075</w:t>
            </w:r>
          </w:p>
        </w:tc>
      </w:tr>
      <w:tr>
        <w:trPr>
          <w:trHeight w:val="166"/>
        </w:trPr>
        <w:tc>
          <w:tcPr>
            <w:tcW w:w="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0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Options</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exercisable at</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660" w:type="dxa"/>
            <w:vAlign w:val="bottom"/>
          </w:tcPr>
          <w:p>
            <w:pPr>
              <w:ind w:left="360"/>
              <w:spacing w:after="0"/>
              <w:rPr>
                <w:sz w:val="20"/>
                <w:szCs w:val="20"/>
                <w:color w:val="auto"/>
              </w:rPr>
            </w:pPr>
            <w:r>
              <w:rPr>
                <w:rFonts w:ascii="Courier New" w:cs="Courier New" w:eastAsia="Courier New" w:hAnsi="Courier New"/>
                <w:sz w:val="14"/>
                <w:szCs w:val="14"/>
                <w:color w:val="auto"/>
              </w:rPr>
              <w:t>end</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of year</w:t>
            </w:r>
          </w:p>
        </w:tc>
        <w:tc>
          <w:tcPr>
            <w:tcW w:w="4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470,551</w:t>
            </w:r>
          </w:p>
        </w:tc>
        <w:tc>
          <w:tcPr>
            <w:tcW w:w="4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246,105</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396,075</w:t>
            </w:r>
          </w:p>
        </w:tc>
      </w:tr>
      <w:tr>
        <w:trPr>
          <w:trHeight w:val="166"/>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Common shares reserved</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60" w:type="dxa"/>
            <w:vAlign w:val="bottom"/>
          </w:tcPr>
          <w:p>
            <w:pPr>
              <w:ind w:left="360"/>
              <w:spacing w:after="0"/>
              <w:rPr>
                <w:sz w:val="20"/>
                <w:szCs w:val="20"/>
                <w:color w:val="auto"/>
              </w:rPr>
            </w:pPr>
            <w:r>
              <w:rPr>
                <w:rFonts w:ascii="Courier New" w:cs="Courier New" w:eastAsia="Courier New" w:hAnsi="Courier New"/>
                <w:sz w:val="14"/>
                <w:szCs w:val="14"/>
                <w:color w:val="auto"/>
              </w:rPr>
              <w:t>for</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future grants at</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660" w:type="dxa"/>
            <w:vAlign w:val="bottom"/>
          </w:tcPr>
          <w:p>
            <w:pPr>
              <w:ind w:left="360"/>
              <w:spacing w:after="0"/>
              <w:rPr>
                <w:sz w:val="20"/>
                <w:szCs w:val="20"/>
                <w:color w:val="auto"/>
              </w:rPr>
            </w:pPr>
            <w:r>
              <w:rPr>
                <w:rFonts w:ascii="Courier New" w:cs="Courier New" w:eastAsia="Courier New" w:hAnsi="Courier New"/>
                <w:sz w:val="14"/>
                <w:szCs w:val="14"/>
                <w:color w:val="auto"/>
              </w:rPr>
              <w:t>end</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of year</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2,628,033</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3,077,389</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1,624,266</w:t>
            </w:r>
          </w:p>
        </w:tc>
      </w:tr>
      <w:tr>
        <w:trPr>
          <w:trHeight w:val="331"/>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 exercise price per option:</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40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Outstanding at beginning of year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10.94</w:t>
            </w:r>
          </w:p>
        </w:tc>
      </w:tr>
      <w:tr>
        <w:trPr>
          <w:trHeight w:val="166"/>
        </w:trPr>
        <w:tc>
          <w:tcPr>
            <w:tcW w:w="40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Granted during the year</w:t>
            </w:r>
          </w:p>
        </w:tc>
        <w:tc>
          <w:tcPr>
            <w:tcW w:w="4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3.69</w:t>
            </w:r>
          </w:p>
        </w:tc>
        <w:tc>
          <w:tcPr>
            <w:tcW w:w="4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1.40</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r>
      <w:tr>
        <w:trPr>
          <w:trHeight w:val="166"/>
        </w:trPr>
        <w:tc>
          <w:tcPr>
            <w:tcW w:w="40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Canceled during the year</w:t>
            </w:r>
          </w:p>
        </w:tc>
        <w:tc>
          <w:tcPr>
            <w:tcW w:w="4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w:t>
            </w:r>
          </w:p>
        </w:tc>
        <w:tc>
          <w:tcPr>
            <w:tcW w:w="4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5.41</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12.15</w:t>
            </w:r>
          </w:p>
        </w:tc>
      </w:tr>
      <w:tr>
        <w:trPr>
          <w:trHeight w:val="166"/>
        </w:trPr>
        <w:tc>
          <w:tcPr>
            <w:tcW w:w="40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Exercised during the year</w:t>
            </w:r>
          </w:p>
        </w:tc>
        <w:tc>
          <w:tcPr>
            <w:tcW w:w="4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2.49</w:t>
            </w:r>
          </w:p>
        </w:tc>
        <w:tc>
          <w:tcPr>
            <w:tcW w:w="48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w:t>
            </w:r>
          </w:p>
        </w:tc>
        <w:tc>
          <w:tcPr>
            <w:tcW w:w="4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r>
        <w:trPr>
          <w:trHeight w:val="166"/>
        </w:trPr>
        <w:tc>
          <w:tcPr>
            <w:tcW w:w="40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Outstanding at end of year</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6.68</w:t>
            </w:r>
          </w:p>
        </w:tc>
      </w:tr>
      <w:tr>
        <w:trPr>
          <w:trHeight w:val="663"/>
        </w:trPr>
        <w:tc>
          <w:tcPr>
            <w:tcW w:w="660" w:type="dxa"/>
            <w:vAlign w:val="bottom"/>
          </w:tcPr>
          <w:p>
            <w:pPr>
              <w:spacing w:after="0"/>
              <w:rPr>
                <w:sz w:val="24"/>
                <w:szCs w:val="24"/>
                <w:color w:val="auto"/>
              </w:rPr>
            </w:pPr>
          </w:p>
        </w:tc>
        <w:tc>
          <w:tcPr>
            <w:tcW w:w="3400" w:type="dxa"/>
            <w:vAlign w:val="bottom"/>
          </w:tcPr>
          <w:p>
            <w:pPr>
              <w:ind w:left="2700"/>
              <w:spacing w:after="0"/>
              <w:rPr>
                <w:sz w:val="20"/>
                <w:szCs w:val="20"/>
                <w:color w:val="auto"/>
              </w:rPr>
            </w:pPr>
            <w:r>
              <w:rPr>
                <w:rFonts w:ascii="Courier New" w:cs="Courier New" w:eastAsia="Courier New" w:hAnsi="Courier New"/>
                <w:sz w:val="14"/>
                <w:szCs w:val="14"/>
                <w:color w:val="auto"/>
              </w:rPr>
              <w:t>39</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0" w:name="page41"/>
    <w:bookmarkEnd w:id="40"/>
    <w:p>
      <w:pPr>
        <w:ind w:right="3339"/>
        <w:spacing w:after="0" w:line="255" w:lineRule="auto"/>
        <w:rPr>
          <w:sz w:val="20"/>
          <w:szCs w:val="20"/>
          <w:color w:val="auto"/>
        </w:rPr>
      </w:pPr>
      <w:r>
        <w:rPr>
          <w:rFonts w:ascii="Courier New" w:cs="Courier New" w:eastAsia="Courier New" w:hAnsi="Courier New"/>
          <w:sz w:val="14"/>
          <w:szCs w:val="14"/>
          <w:color w:val="auto"/>
        </w:rPr>
        <w:t>The following table summarizes information about stock options outstanding under the 1992 Plan at February 2, 2002:</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Options Outstanding</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8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Options Exercisable</w:t>
            </w:r>
          </w:p>
        </w:tc>
      </w:tr>
      <w:tr>
        <w:trPr>
          <w:trHeight w:val="166"/>
        </w:trPr>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8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Weighted Average</w:t>
            </w: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16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Range of Exercise</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Number</w:t>
            </w:r>
          </w:p>
        </w:tc>
        <w:tc>
          <w:tcPr>
            <w:tcW w:w="15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Remaining</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Exercise</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w:t>
            </w: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520" w:type="dxa"/>
            <w:vAlign w:val="bottom"/>
          </w:tcPr>
          <w:p>
            <w:pPr>
              <w:spacing w:after="0"/>
              <w:rPr>
                <w:sz w:val="14"/>
                <w:szCs w:val="14"/>
                <w:color w:val="auto"/>
              </w:rPr>
            </w:pP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Prices</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Outstanding</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Contractual Life</w:t>
            </w:r>
          </w:p>
        </w:tc>
        <w:tc>
          <w:tcPr>
            <w:tcW w:w="16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Price</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Exercisable</w:t>
            </w:r>
          </w:p>
        </w:tc>
        <w:tc>
          <w:tcPr>
            <w:tcW w:w="15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Exercise Price</w:t>
            </w:r>
          </w:p>
        </w:tc>
      </w:tr>
      <w:tr>
        <w:trPr>
          <w:trHeight w:val="331"/>
        </w:trPr>
        <w:tc>
          <w:tcPr>
            <w:tcW w:w="5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$0.81</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$2.15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608,414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1.35</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280,451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w:t>
            </w:r>
          </w:p>
        </w:tc>
      </w:tr>
      <w:tr>
        <w:trPr>
          <w:trHeight w:val="166"/>
        </w:trPr>
        <w:tc>
          <w:tcPr>
            <w:tcW w:w="5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2.16</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4.30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378,300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3.63</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5,000</w:t>
            </w:r>
          </w:p>
        </w:tc>
        <w:tc>
          <w:tcPr>
            <w:tcW w:w="7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w:t>
            </w:r>
          </w:p>
        </w:tc>
      </w:tr>
      <w:tr>
        <w:trPr>
          <w:trHeight w:val="166"/>
        </w:trPr>
        <w:tc>
          <w:tcPr>
            <w:tcW w:w="5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4.31</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6.45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126,750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4.37</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56,750</w:t>
            </w:r>
          </w:p>
        </w:tc>
        <w:tc>
          <w:tcPr>
            <w:tcW w:w="7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4.38</w:t>
            </w:r>
          </w:p>
        </w:tc>
      </w:tr>
      <w:tr>
        <w:trPr>
          <w:trHeight w:val="166"/>
        </w:trPr>
        <w:tc>
          <w:tcPr>
            <w:tcW w:w="5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6.46</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8.60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49,750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7.81</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49,750</w:t>
            </w:r>
          </w:p>
        </w:tc>
        <w:tc>
          <w:tcPr>
            <w:tcW w:w="7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7.81</w:t>
            </w:r>
          </w:p>
        </w:tc>
      </w:tr>
      <w:tr>
        <w:trPr>
          <w:trHeight w:val="166"/>
        </w:trPr>
        <w:tc>
          <w:tcPr>
            <w:tcW w:w="520" w:type="dxa"/>
            <w:vAlign w:val="bottom"/>
          </w:tcPr>
          <w:p>
            <w:pPr>
              <w:jc w:val="right"/>
              <w:ind w:right="10"/>
              <w:spacing w:after="0"/>
              <w:rPr>
                <w:sz w:val="20"/>
                <w:szCs w:val="20"/>
                <w:color w:val="auto"/>
              </w:rPr>
            </w:pPr>
            <w:r>
              <w:rPr>
                <w:rFonts w:ascii="Courier New" w:cs="Courier New" w:eastAsia="Courier New" w:hAnsi="Courier New"/>
                <w:sz w:val="14"/>
                <w:szCs w:val="14"/>
                <w:color w:val="auto"/>
              </w:rPr>
              <w:t>8.61</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10.75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9.00</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25,000</w:t>
            </w:r>
          </w:p>
        </w:tc>
        <w:tc>
          <w:tcPr>
            <w:tcW w:w="7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9.00</w:t>
            </w:r>
          </w:p>
        </w:tc>
      </w:tr>
      <w:tr>
        <w:trPr>
          <w:trHeight w:val="166"/>
        </w:trPr>
        <w:tc>
          <w:tcPr>
            <w:tcW w:w="5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10.76</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12.90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30,600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11.17</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30,600</w:t>
            </w:r>
          </w:p>
        </w:tc>
        <w:tc>
          <w:tcPr>
            <w:tcW w:w="7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11.17</w:t>
            </w:r>
          </w:p>
        </w:tc>
      </w:tr>
      <w:tr>
        <w:trPr>
          <w:trHeight w:val="166"/>
        </w:trPr>
        <w:tc>
          <w:tcPr>
            <w:tcW w:w="5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12.91</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17.74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17.75</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to</w:t>
            </w: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17.75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23,000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17.75</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23,000</w:t>
            </w:r>
          </w:p>
        </w:tc>
        <w:tc>
          <w:tcPr>
            <w:tcW w:w="7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17.75</w:t>
            </w:r>
          </w:p>
        </w:tc>
      </w:tr>
      <w:tr>
        <w:trPr>
          <w:trHeight w:val="166"/>
        </w:trPr>
        <w:tc>
          <w:tcPr>
            <w:tcW w:w="7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 ---------------</w:t>
            </w:r>
          </w:p>
        </w:tc>
        <w:tc>
          <w:tcPr>
            <w:tcW w:w="13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jc w:val="right"/>
              <w:ind w:right="10"/>
              <w:spacing w:after="0"/>
              <w:rPr>
                <w:sz w:val="20"/>
                <w:szCs w:val="20"/>
                <w:color w:val="auto"/>
              </w:rPr>
            </w:pPr>
            <w:r>
              <w:rPr>
                <w:rFonts w:ascii="Courier New" w:cs="Courier New" w:eastAsia="Courier New" w:hAnsi="Courier New"/>
                <w:sz w:val="14"/>
                <w:szCs w:val="14"/>
                <w:color w:val="auto"/>
                <w:w w:val="99"/>
              </w:rPr>
              <w:t>$0.81</w:t>
            </w:r>
          </w:p>
        </w:tc>
        <w:tc>
          <w:tcPr>
            <w:tcW w:w="1640" w:type="dxa"/>
            <w:vAlign w:val="bottom"/>
            <w:gridSpan w:val="2"/>
          </w:tcPr>
          <w:p>
            <w:pPr>
              <w:spacing w:after="0"/>
              <w:rPr>
                <w:sz w:val="20"/>
                <w:szCs w:val="20"/>
                <w:color w:val="auto"/>
              </w:rPr>
            </w:pPr>
            <w:r>
              <w:rPr>
                <w:rFonts w:ascii="Courier New" w:cs="Courier New" w:eastAsia="Courier New" w:hAnsi="Courier New"/>
                <w:sz w:val="14"/>
                <w:szCs w:val="14"/>
                <w:color w:val="auto"/>
              </w:rPr>
              <w:t>to $17.75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1,241,814</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3.31</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470,551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4.26</w:t>
            </w:r>
          </w:p>
        </w:tc>
      </w:tr>
      <w:tr>
        <w:trPr>
          <w:trHeight w:val="166"/>
        </w:trPr>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Agreements with Jewelcor Management, Inc. and Mr. Holtzman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October 28, 1999, the Company entered into a consulting agreement with Jewelcor Management, Inc. ("JMI"), currently the beneficial holder of approximately 21% of the outstanding Common Stock, to assist in developing and implementing a strategic plan for the Company and other related consulting services as may be agreed upon between the Company and JMI. As compensation for these services, JMI was given the right to receive a non-qualified stock option exercisable for up to 400,000 shares of the Common Stock. These options, which were originally scheduled to expire on April 30, 2002 and extended to April 30, 2004, were granted as compensation for consulting services to be performed over the six-month term of the agreement, which commenced October 28, 1999. These 400,000 options, which were fully vested and exercisable, were issued outside of the 1992 Plan at an exercise price of $1.16 per share equal to the market price of the Common Stock on the date of grant. The fair market value of these options, which was determined by an independent third party using a growth model, was $63,560.</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May 25, 2001, the Board of Directors of the Company hired Seymour Holtzman, who had acted as the non-employee Chairman of the Board, as an executive officer and employee of the Company. Mr. Holtzman is also the President and Chief Executive Officer, and indirectly, with his wife, the primary shareholder of JMI. As part of Mr. Holtzman's employment with the company, he received an option to purchase up to 300,000 shares of Common Stock at a price of $3.88 per share, the closing price of the Common Stock on the date of grant. These options, which were issued outside of the 1992 Plan, will vest at a rate of 100,000 shares annually and will expire 10 years from the date of grant. See Note G for a full discussion of the Company's consulting agreements with JMI and Mr. Holtzman.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 with Other Board Members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fourth quarter of fiscal 2000, stock options to purchase an aggregate of 90,000 shares of Common Stock were issued outside of the 1992 Plan to three non-employee directors as part of their consulting agreements with the Company. These options have exercise prices between $1.16 and $1.44 and are fully vested and exercisable. Of the 90,000 options issued, 60,000 remain outstanding at February 2, 2002. See Note G for further discussion.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Agreements with Executives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March 2000, in connection with his initial employment with the Company, David A. Levin, President and Chief Executive Officer was granted 300,000 options to purchase shares of Common Stock at an exercise price of $1.19 per share. Of these 300,000 options, 225,000 of them were issued outside of the 1992 Plan. On May 26, 2001, the Company granted Mr. Levin an additional 125,000 options at an exercise price of $3.88 per share, 50,000 of which were granted outside of the 1992 Plan.</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41" w:name="page42"/>
    <w:bookmarkEnd w:id="41"/>
    <w:p>
      <w:pPr>
        <w:ind w:right="3860"/>
        <w:spacing w:after="0" w:line="251" w:lineRule="auto"/>
        <w:rPr>
          <w:sz w:val="20"/>
          <w:szCs w:val="20"/>
          <w:color w:val="auto"/>
        </w:rPr>
      </w:pPr>
      <w:r>
        <w:rPr>
          <w:rFonts w:ascii="Courier New" w:cs="Courier New" w:eastAsia="Courier New" w:hAnsi="Courier New"/>
          <w:sz w:val="14"/>
          <w:szCs w:val="14"/>
          <w:color w:val="auto"/>
        </w:rPr>
        <w:t>In September 2000, in connection with his initial employment with the Company, Dennis R. Hernreich, Senior Vice President and Chief Financial Officer, was granted 60,000 options to purchase shares of Common Stock at an exercise price of $2.06 per share. In November 2000, Mr. Hernreich was granted an additional 25,000 options to purchase shares of Common Stock at an exercise price of $2.38 per share. Of these 25,000 options, 10,000 of them were issued outside of the 1992 Plan. On May 26, 2001, the Company granted to Mr. Hernreich an additional 100,000 options at an exercise price of $3.88 per share, 25,000 of which were granted outside of the 1992 Plan.</w:t>
      </w:r>
    </w:p>
    <w:p>
      <w:pPr>
        <w:spacing w:after="0" w:line="164" w:lineRule="exact"/>
        <w:rPr>
          <w:sz w:val="20"/>
          <w:szCs w:val="20"/>
          <w:color w:val="auto"/>
        </w:rPr>
      </w:pPr>
    </w:p>
    <w:p>
      <w:pPr>
        <w:ind w:right="3780"/>
        <w:spacing w:after="0" w:line="252" w:lineRule="auto"/>
        <w:rPr>
          <w:sz w:val="20"/>
          <w:szCs w:val="20"/>
          <w:color w:val="auto"/>
        </w:rPr>
      </w:pPr>
      <w:r>
        <w:rPr>
          <w:rFonts w:ascii="Courier New" w:cs="Courier New" w:eastAsia="Courier New" w:hAnsi="Courier New"/>
          <w:sz w:val="14"/>
          <w:szCs w:val="14"/>
          <w:color w:val="auto"/>
        </w:rPr>
        <w:t>In October 2001, in connection with his initial employment with the Company, Ronald N. Batts, Senior Vice President of Operations, was granted 50,000 options to purchase shares of Common Stock at an exercise price of $2.75 per share.</w:t>
      </w:r>
    </w:p>
    <w:p>
      <w:pPr>
        <w:spacing w:after="0" w:line="163" w:lineRule="exact"/>
        <w:rPr>
          <w:sz w:val="20"/>
          <w:szCs w:val="20"/>
          <w:color w:val="auto"/>
        </w:rPr>
      </w:pPr>
    </w:p>
    <w:p>
      <w:pPr>
        <w:ind w:right="3780"/>
        <w:spacing w:after="0" w:line="251" w:lineRule="auto"/>
        <w:rPr>
          <w:sz w:val="20"/>
          <w:szCs w:val="20"/>
          <w:color w:val="auto"/>
        </w:rPr>
      </w:pPr>
      <w:r>
        <w:rPr>
          <w:rFonts w:ascii="Courier New" w:cs="Courier New" w:eastAsia="Courier New" w:hAnsi="Courier New"/>
          <w:sz w:val="14"/>
          <w:szCs w:val="14"/>
          <w:color w:val="auto"/>
        </w:rPr>
        <w:t>The Company applies APB Opinion No. 25 and related Interpretations in accounting for its plans. FASB Statement No. 123, "Accounting for Stock-Based Compensation" ("SFAS 123"), and requires the Company to elect either expense recognition under SFAS 123 or its disclosure-only alternative for stock-based employee compensation. The Company has elected the disclosure-only alternative and, accordingly, no compensation cost has been recognized. The Company has disclosed the pro forma net income or loss and per share amounts using the fair value based method. Had compensation costs for the Company's grants for stock-based compensation been determined consistent with SFAS 123, the Company's net income (loss) and income (loss) per share would have been as indicated below:</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FISCAL YEARS</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ENDED</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1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7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February</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2, 2002</w:t>
            </w:r>
          </w:p>
        </w:tc>
        <w:tc>
          <w:tcPr>
            <w:tcW w:w="1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February 3, 2001</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January 29, 2000</w:t>
            </w:r>
          </w:p>
        </w:tc>
      </w:tr>
      <w:tr>
        <w:trPr>
          <w:trHeight w:val="166"/>
        </w:trPr>
        <w:tc>
          <w:tcPr>
            <w:tcW w:w="1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7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 as reported</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(7,881)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3,216</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(12,493)</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 pro-forma</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(8,158)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3,109</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(12,614)</w:t>
            </w:r>
          </w:p>
        </w:tc>
      </w:tr>
      <w:tr>
        <w:trPr>
          <w:trHeight w:val="331"/>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Income (loss) per</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share- basic and diluted as reported</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(0.54)</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(0.78)</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Income (loss) per</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share- basic and diluted pro- forma</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0.19</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(0.78)</w:t>
            </w:r>
          </w:p>
        </w:tc>
      </w:tr>
    </w:tbl>
    <w:p>
      <w:pPr>
        <w:spacing w:after="0" w:line="335" w:lineRule="exact"/>
        <w:rPr>
          <w:sz w:val="20"/>
          <w:szCs w:val="20"/>
          <w:color w:val="auto"/>
        </w:rPr>
      </w:pPr>
    </w:p>
    <w:p>
      <w:pPr>
        <w:ind w:right="3860"/>
        <w:spacing w:after="0" w:line="253" w:lineRule="auto"/>
        <w:rPr>
          <w:sz w:val="20"/>
          <w:szCs w:val="20"/>
          <w:color w:val="auto"/>
        </w:rPr>
      </w:pPr>
      <w:r>
        <w:rPr>
          <w:rFonts w:ascii="Courier New" w:cs="Courier New" w:eastAsia="Courier New" w:hAnsi="Courier New"/>
          <w:sz w:val="14"/>
          <w:szCs w:val="14"/>
          <w:color w:val="auto"/>
        </w:rPr>
        <w:t>The effects of applying SFAS 123 in this pro-forma disclosure are not likely to be representative of the effects on reported net income for future years. SFAS 123 does not apply to awards prior to 1995 and additional awards are anticipated.</w:t>
      </w:r>
    </w:p>
    <w:p>
      <w:pPr>
        <w:spacing w:after="0" w:line="327" w:lineRule="exact"/>
        <w:rPr>
          <w:sz w:val="20"/>
          <w:szCs w:val="20"/>
          <w:color w:val="auto"/>
        </w:rPr>
      </w:pPr>
    </w:p>
    <w:p>
      <w:pPr>
        <w:ind w:right="3860"/>
        <w:spacing w:after="0" w:line="251" w:lineRule="auto"/>
        <w:rPr>
          <w:sz w:val="20"/>
          <w:szCs w:val="20"/>
          <w:color w:val="auto"/>
        </w:rPr>
      </w:pPr>
      <w:r>
        <w:rPr>
          <w:rFonts w:ascii="Courier New" w:cs="Courier New" w:eastAsia="Courier New" w:hAnsi="Courier New"/>
          <w:sz w:val="14"/>
          <w:szCs w:val="14"/>
          <w:color w:val="auto"/>
        </w:rPr>
        <w:t>The fair value of each option grant is estimated on the date of grant using the Black Scholes option-pricing model with the following weighted-average assumptions used for grants in fiscal 2002, 2001 and 2000: expected volatility of 91.8% in fiscal 2002, 91.7% in fiscal 2001 and 93.7% in fiscal 2000; risk-free interest rate of 5.0%, 4.8% and 6.6% in fiscal 2002, 2001 and 2000, respectively; and expected lives of 4.5 years. No dividend rate was used for fiscal 2002, 2001 and 2000. The weighted- average fair value of options granted in fiscal 2002, 2001 and 2000 was $2.78, $1.22 and $1.60,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Repurchase Programs</w:t>
      </w:r>
    </w:p>
    <w:p>
      <w:pPr>
        <w:spacing w:after="0" w:line="173" w:lineRule="exact"/>
        <w:rPr>
          <w:sz w:val="20"/>
          <w:szCs w:val="20"/>
          <w:color w:val="auto"/>
        </w:rPr>
      </w:pPr>
    </w:p>
    <w:p>
      <w:pPr>
        <w:ind w:right="3780"/>
        <w:spacing w:after="0" w:line="251" w:lineRule="auto"/>
        <w:rPr>
          <w:sz w:val="20"/>
          <w:szCs w:val="20"/>
          <w:color w:val="auto"/>
        </w:rPr>
      </w:pPr>
      <w:r>
        <w:rPr>
          <w:rFonts w:ascii="Courier New" w:cs="Courier New" w:eastAsia="Courier New" w:hAnsi="Courier New"/>
          <w:sz w:val="14"/>
          <w:szCs w:val="14"/>
          <w:color w:val="auto"/>
        </w:rPr>
        <w:t>During the second and third quarters of fiscal 2001, the Company repurchased 863,000 shares of Common Stock at an aggregate cost of $1,861,000 under a Stock Repurchase Program that was approved by the Company's Board of Directors in June 2000. In the fourth quarter of fiscal 2001, the Company repurchased 1.8 million shares of Common Stock at $2.50 per share through a "Dutch Auction" tender offer. Under the terms of the offer, the Company invited its shareholders to tender their shares to the Company at prices specified by the tendering shareholders not in excess of $3.00 nor less than $2.20 per share, in ten-cent ($0.10) increments. The Company selected the lowest single per-share purchase price that would allow it to buy 1.5 million shares, or up to an additional 1.0 million shares at the Company's option.</w:t>
      </w:r>
    </w:p>
    <w:p>
      <w:pPr>
        <w:spacing w:after="0" w:line="163" w:lineRule="exact"/>
        <w:rPr>
          <w:sz w:val="20"/>
          <w:szCs w:val="20"/>
          <w:color w:val="auto"/>
        </w:rPr>
      </w:pPr>
    </w:p>
    <w:p>
      <w:pPr>
        <w:ind w:right="3860"/>
        <w:spacing w:after="0" w:line="252" w:lineRule="auto"/>
        <w:rPr>
          <w:sz w:val="20"/>
          <w:szCs w:val="20"/>
          <w:color w:val="auto"/>
        </w:rPr>
      </w:pPr>
      <w:r>
        <w:rPr>
          <w:rFonts w:ascii="Courier New" w:cs="Courier New" w:eastAsia="Courier New" w:hAnsi="Courier New"/>
          <w:sz w:val="14"/>
          <w:szCs w:val="14"/>
          <w:color w:val="auto"/>
        </w:rPr>
        <w:t>At February 2, 2002, the Company has a total of 3,040,000 million shares of repurchased stock at an aggregate cost of $8.5 million which is reported by the Company as treasury stock and is reflected as a reduction in stockholders' equity.</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680"/>
          </w:cols>
          <w:pgMar w:left="220" w:top="616" w:right="999" w:bottom="1440" w:gutter="0" w:footer="0" w:header="0"/>
        </w:sectPr>
      </w:pPr>
    </w:p>
    <w:bookmarkStart w:id="42" w:name="page43"/>
    <w:bookmarkEnd w:id="42"/>
    <w:p>
      <w:pPr>
        <w:ind w:right="3419"/>
        <w:spacing w:after="0" w:line="251" w:lineRule="auto"/>
        <w:rPr>
          <w:sz w:val="20"/>
          <w:szCs w:val="20"/>
          <w:color w:val="auto"/>
        </w:rPr>
      </w:pPr>
      <w:r>
        <w:rPr>
          <w:rFonts w:ascii="Courier New" w:cs="Courier New" w:eastAsia="Courier New" w:hAnsi="Courier New"/>
          <w:sz w:val="14"/>
          <w:szCs w:val="14"/>
          <w:color w:val="auto"/>
        </w:rPr>
        <w:t>In fiscal 2001, the Company utilized two brokerage firms in connection with the repurchase of the 863,000 shares of Common Stock. Sterling Financial Investment Group, Inc. ("Sterling Financial"), one of the firms used, is owned by a family relation of Seymour Holtzman, the Chairman of the Company's Board of Directors. The Company negotiated a commission of $0.03 per share with each brokerage firm for trades executed as part of the Company's stock repurchase program. The Company paid Sterling Financial total commissions of $20,940 for trades they executed as part of the Company's stock repurchase program.</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These shares were purchased in the open market and were recorded by the Company as treasury stock and are reflected as a reduction in stockholders' equity. Treasury shares also include restricted shares of the Company which were forfeited by associates.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 RELATED PARTIES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Jewelcor Management, Inc.</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On October 28, 1999, the Company entered into a consulting agreement with Jewelcor Management, Inc. ("JMI") to assist in developing and implementing a strategic plan for the Company and for other related consulting services as may be agreed upon between JMI and the Company. Seymour Holtzman, who became the Company's Chairman of the Board on April 11, 2000, is the beneficial holder of approximately 22% of the outstanding Common Stock (principally held by JMI). He is also the President and Chief Executive Officer, and indirectly, with his wife, the primary shareholder of JMI. As compensation for these services, JMI was given the right to receive a non-qualified stock option to purchase up to 400,000 shares of Common Stock, exercisable at the closing price of the Common Stock on October 28, 1999. JMI was also entitled to certain additional compensation in respect of its services under the consulting agreement, which was paid to JMI in shares of Common Stock in lieu of cash. The total value of the compensation paid to JMI under this agreement was $347,560, which consisted of (i) stock options to purchase 400,000 shares of Common Stock, which was valued by an independent third party, using a growth model, at $63,560 and (ii) the issuance of 203,489 shares of Common Stock, which had an aggregate market value of $240,000.</w:t>
      </w:r>
    </w:p>
    <w:p>
      <w:pPr>
        <w:spacing w:after="0" w:line="33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June 26, 2000, the Company extended its consulting arrangement with JMI for an additional one-year period commencing on April 29, 2000 and ending on April 29, 2001. As payment for services rendered under this extended agreement, the Company issued to JMI 182,857 non-forfeitable and fully vested shares of Common Stock. The fair value of those shares on June 26, 2000, the date of issuance, was $240,000 or $1.3125 per share. The agreement also includes a significant disincentive for non-performance, which would require JMI to pay to the Company a penalty equal to 150% of any unearned consulting services.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May 25, 2001, the Board of Directors approved the extension of the existing consulting agreement with Jewelcor Management Inc. ("JMI") for an additional one-year term commencing on April 29, 2001 and ending on April 28, 2002. As payment for services rendered under this agreement, the Company issued to JMI 61,856 non-forfeitable and fully vested shares of Common Stock. The fair value of those shares on May 25, 2001, the date of issuance, was $240,000 or $3.88 per share.</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May 25, 2001, the Board of Directors decided to hire Mr. Holtzman, who had served as the Company's non-employee Chairman of the Company, as an officer and employee of the Company. In connection with the hiring of Mr. Holtzman, the Board granted Mr. Holtzman an option, outside of the 1992 Plan, to purchase an aggregate of 300,000 shares of Common Stock at an exercise price of $3.88 per share, equal to the closing price of the Common Stock on that date. The option represents the principal portion of Mr. Holtzman's compensation as an employee of the Company.</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fiscal 2000, the Company also reimbursed JMI in the amount of $400,000, which was paid in shares of Common Stock, for expenses incurred by JMI in connection with the 2000 proxy solicitation. Based on the closing price of the stock on October 29, 1999, JMI received 346,021 shares of Common Stock.</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Arrangements with Other Directors</w:t>
      </w:r>
    </w:p>
    <w:p>
      <w:pPr>
        <w:spacing w:after="0" w:line="17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In fiscal 2000, the Company also entered into three consulting agreements with three of its other Board members: John J. Schultz, Robert L. Patron and George T. Porter, Jr.</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October 28, 1999, the Company engaged John J. Schultz, under a consulting agreement, to act as President and Chief Executive Officer of the Company on an interim basis and to assist in the search for a permanent President and Chief Executive Officer. Mr. Schultz was paid a rate of $2,000 per day, payable at his election in cash or in shares of Common Stock, plus reimbursement of reasonable out-of-pocket expenses. Mr. Schultz was paid $63,179 and $83,311 as compensation and reimbursement of related expenses during fiscal 2001 and 2000, respectively. As part of his compensation, Mr. Schultz was also granted stock options exercisable for up to 95,000 shares of Common Stock. The per share exercise price of these options was the closing price of the Common Stock on the date of grant. On January 12, 2001, Mr. Schultz resigned as a Director of the Company. In conjunction with his resignation, Mr. Schultz exercised 105,000 options and sold the shares issued upon exercise back to the Company. Such options related to his services as a board member in addition to his consulting agreement. The Company paid Mr. Schultz $97,032, which represented the spread between the closing price of Common Stock on January 12, 2001 of $2.1875 per share and the exercise price of the various options. The Company holds these 105,000 repurchased shares of Common Stock as treasury stock at February 2, 2002.</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November 19, 1999, the Company entered into a consulting agreement with Business Ventures International, Inc., a company affiliated with Robert Patron, a member of the Company's Board, to advise the Company with regard to real estate matters. As compensation for these services, Mr. Patron is paid a rate of $2,000 per day, payable at his election in cash or in shares of Common Stock, plus reimbursement of reasonable out-of-pocket expenses. Mr. Patron was paid $35,362 and $14,000 as compensation and reimbursement of related expenses for fiscal 2001 and 2000, respectively. No compensation for professional services under this agreement were paid in fiscal 2002. As part of his compensation, Mr. Patron was also granted stock options exercisable for up to 30,000 shares of Common Stock. The per share exercise price of these options was the closing price of shares of Common Stock on the date of grant. All 30,000 options remain outstanding at February 2, 2002.</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February 8, 2000, the Company retained Mr. Porter as a consultant to advise the Company with regard to merchandising strategies and operations. As compensation for these services, Mr. Porter is paid a rate of $2,000 per day, payable at his election in cash or in shares of Common Stock, plus reimbursement of reasonable out-of-pocket expenses. Mr. Porter was paid $13,661 and $7,373 as compensation and reimbursement for related expenses for fiscal 2001 and 2000, respectively. No compensation for professional services under this agreement were paid in fiscal 2002. As part of his compensation, Mr. Porter was also granted stock options exercisable for up to 30,000 shares of Common Stock. The per share exercise price of these options was the closing price of shares of Common Stock on the date of grant. All 30,000 options remain outstanding at February 2, 2002.</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June 26, 2000, the Company extended a loan to David A. Levin, its President and Chief Executive Officer, in the amount of $196,875 in order for Mr. Levin to acquire from the Company 150,000 newly issued shares of Common Stock at the closing price of the Common Stock on that day. The Company and Mr. Levin entered into a secured promissory note, whereby Mr. Levin agrees to pay to the Company the principal sum of $196,875 plus interest due and payable on June 26, 2003. The promissory note bears interest at a rate of 6.53% per annum and is secured by the 150,000 acquired shares of Common Stock.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 EMPLOYEE BENEFIT PLANS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has a defined contribution 401(k) plan that covers all eligible employees who have completed one year of service. Under this plan, the Company may provide matching contributions up to a stipulated percentage of employee contributions. The expenses of the plan are fully funded by the Company; and the matching contribution, if any, is established each year by the Board of Directors. For fiscal 2002, the matching contribution by the Company was set at 50% of contributions by eligible employees up to a maximum of 6% of salary. The Company recognized $137,000, $159,000 and $141,000 of expense under this plan in fiscal 2002, 2001 and 2000, respectively.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I.RESTRUCTURING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2000</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the fourth quarter of fiscal 2000, the Company recorded a pre-tax charge of $15.2 million related to inventory markdowns, the abandonment of the Company's Boston Traders(R) and related trademarks, severance, the closure of the Company's five Buffalo Jeans (R) Factory Stores and its five remaining Designs stores. All of these stores were closed and all employees were severed by the end of fiscal 2000. Of the $15.2 million charge, $7.8 million, which relates to markdowns, is reflected as a reduction in gross margin for fiscal 2000. This pre-tax charge of $15.2 million included cash costs of approximately $3.6 million related to lease terminations and corporate and store severance, and approximately $11.6 million of non-cash costs related to inventory markdowns and the impairment of trademarks and store assets. In addition, the Company also recorded a write-down of tax assets of $6.0 million attributable to the potential that certain deferred federal and state tax assets may not be realizable.</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total cost of store closings and severance was $182,000 less than the original charge due to favorable lease negotiations on lease termination payments. As a result, the Company recognized income of $182,000 in the fourth quarter of fiscal 2001 which was reflected in the Provision for impairment of assets, store closings and severance on the Consolidated Statement of Operations for fiscal 2001. There is no remaining restructuring reserve balance at February 2, 2002.</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J.ACQUISITIONS AND NEW BUSINESS ARRANGEMENTS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 Agreement with Candies, Inc.</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January 2002, the Company entered into a license agreement with Candie's, Inc. ("Candie's"), a leading designer and marketer of young women's footwear, apparel and accessories. The Candie's(R) license agreement provides the Company with the exclusive right to open and operate Candie's(R) branded stores in outlet malls and value centers throughout the United States and Puerto Rico as long as the Company opens the requisite number of outlet stores per year, and reaches 75 outlet stores in five years. Generally, to maintain the exclusivity in the value centers, the Company must open approximately five stores per year. If the Company does not maintain the store opening schedule required in the license agreement, the Company may lose the right to operate the existing stores within an exclusive radius until the expiration of the term. The license agreement also establishes that product purchased from Candie's will be priced according to a cost-plus formula. Among other terms of the license agreement, the Company can source its own Candie's(R) merchandise product for the retail stores of Candie's or its licensees cannot supply the appropriate merchandise assortments or quantities, as deemed by the Company.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conjunction with this agreement, the Company also acquired from Candies, Inc. one of its existing outlet stores located in Wrentham, Massachusetts. The Company paid a purchase price of $434,000 for the appraised value of the assets, which included inventory of approximately $105,000, furniture and fixtures of approximately $154,000 and goodwill for the remaining $175,000. The Company also assumed the obligations associated with the real estate leases for that store. The operations of the Candie's(R) Outlet store, which were immaterial to the consolidated results for the Company, were included in financial results of the Company for the period of January 9, 2002 through February 2, 2002.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Joint Venture Agreement with EcKo Complex, LLC</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Subsequent to fiscal 2002, the Company announced that it had entered into a joint venture with EcKo Complex, LLC ("EcKo"), a privately held company with worldwide annual sales exceeding $200 million, to open and operate EcKo(R) branded outlet stores throughout the United States. EcKo(R) is a leading design-driven lifestyle brand targeting young men and women.</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joint venture with EcKo, the Company, a 50.5% partner, would own and manage retail outlet stores bearing the name EcKo(R) Unltd. and featuring EcKo(R) branded merchandise. EcKo's contribution to the joint venture is the use of its trademark and the merchandise requirements at cost of the retail outlet stores. The Company will contribute all real estate and operating requirements of the retail outlet stores, including but not limited to, the real estate leases, payroll needs and advertising. Each partner will share in the operating profits of the joint venture, after each partner has received reimbursement for cost contributions. Under the terms of the agreement, the Company must maintain a prescribed store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sectPr>
      </w:pPr>
    </w:p>
    <w:bookmarkStart w:id="45" w:name="page46"/>
    <w:bookmarkEnd w:id="45"/>
    <w:p>
      <w:pPr>
        <w:ind w:right="3700"/>
        <w:spacing w:after="0" w:line="252" w:lineRule="auto"/>
        <w:rPr>
          <w:sz w:val="20"/>
          <w:szCs w:val="20"/>
          <w:color w:val="auto"/>
        </w:rPr>
      </w:pPr>
      <w:r>
        <w:rPr>
          <w:rFonts w:ascii="Courier New" w:cs="Courier New" w:eastAsia="Courier New" w:hAnsi="Courier New"/>
          <w:sz w:val="14"/>
          <w:szCs w:val="14"/>
          <w:color w:val="auto"/>
        </w:rPr>
        <w:t>opening schedule and open 75 stores over a six year period in order to maintain the joint venture's exclusivity. At certain times during the term of the agreement, the Company may exercise a put option to sell its share of the retail joint venture, and EcKo has an option to acquire the Company's share of the retail joint venture at a price based on the performance of the retail outlet stores.</w:t>
      </w:r>
    </w:p>
    <w:p>
      <w:pPr>
        <w:spacing w:after="0" w:line="327" w:lineRule="exact"/>
        <w:rPr>
          <w:sz w:val="20"/>
          <w:szCs w:val="20"/>
          <w:color w:val="auto"/>
        </w:rPr>
      </w:pPr>
    </w:p>
    <w:p>
      <w:pPr>
        <w:ind w:right="3780"/>
        <w:spacing w:after="0" w:line="252" w:lineRule="auto"/>
        <w:rPr>
          <w:sz w:val="20"/>
          <w:szCs w:val="20"/>
          <w:color w:val="auto"/>
        </w:rPr>
      </w:pPr>
      <w:r>
        <w:rPr>
          <w:rFonts w:ascii="Courier New" w:cs="Courier New" w:eastAsia="Courier New" w:hAnsi="Courier New"/>
          <w:sz w:val="14"/>
          <w:szCs w:val="14"/>
          <w:color w:val="auto"/>
        </w:rPr>
        <w:t>For financial reporting purposes, the joint venture's assets, liabilities and results of operations will be consolidated with those of the Company and EcKo's 49.5% ownership interest in the joint venture will be included in the Company's consolidated financial statements as minority interest.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 SELECTED QUARTERLY DATA (UNAUDITED)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FIRST QUARTER</w:t>
            </w:r>
          </w:p>
        </w:tc>
        <w:tc>
          <w:tcPr>
            <w:tcW w:w="1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SECOND QUARTER</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THIRD QUARTER</w:t>
            </w: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FOURTH QUARTER</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FULL YEAR</w:t>
            </w:r>
          </w:p>
        </w:tc>
      </w:tr>
      <w:tr>
        <w:trPr>
          <w:trHeight w:val="166"/>
        </w:trPr>
        <w:tc>
          <w:tcPr>
            <w:tcW w:w="3280" w:type="dxa"/>
            <w:vAlign w:val="bottom"/>
          </w:tcPr>
          <w:p>
            <w:pPr>
              <w:spacing w:after="0"/>
              <w:rPr>
                <w:sz w:val="14"/>
                <w:szCs w:val="14"/>
                <w:color w:val="auto"/>
              </w:rPr>
            </w:pPr>
          </w:p>
        </w:tc>
        <w:tc>
          <w:tcPr>
            <w:tcW w:w="7320" w:type="dxa"/>
            <w:vAlign w:val="bottom"/>
            <w:gridSpan w:val="9"/>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80" w:type="dxa"/>
            <w:vAlign w:val="bottom"/>
            <w:gridSpan w:val="5"/>
          </w:tcPr>
          <w:p>
            <w:pPr>
              <w:jc w:val="right"/>
              <w:ind w:right="788"/>
              <w:spacing w:after="0"/>
              <w:rPr>
                <w:sz w:val="20"/>
                <w:szCs w:val="20"/>
                <w:color w:val="auto"/>
              </w:rPr>
            </w:pPr>
            <w:r>
              <w:rPr>
                <w:rFonts w:ascii="Courier New" w:cs="Courier New" w:eastAsia="Courier New" w:hAnsi="Courier New"/>
                <w:sz w:val="14"/>
                <w:szCs w:val="14"/>
                <w:color w:val="auto"/>
              </w:rPr>
              <w:t>(In Thousands, Except Per Share Data)</w:t>
            </w:r>
          </w:p>
        </w:tc>
        <w:tc>
          <w:tcPr>
            <w:tcW w:w="1120" w:type="dxa"/>
            <w:vAlign w:val="bottom"/>
          </w:tcPr>
          <w:p>
            <w:pPr>
              <w:spacing w:after="0"/>
              <w:rPr>
                <w:sz w:val="14"/>
                <w:szCs w:val="1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FISCAL YEAR 2002</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39,395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47,698</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54,301</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53,725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$ 195,119</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6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9,405</w:t>
            </w:r>
          </w:p>
        </w:tc>
        <w:tc>
          <w:tcPr>
            <w:tcW w:w="5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13,015</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12,644</w:t>
            </w:r>
          </w:p>
        </w:tc>
        <w:tc>
          <w:tcPr>
            <w:tcW w:w="5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12,157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47,221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Income (Loss) (1)</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(1,368)</w:t>
            </w:r>
          </w:p>
        </w:tc>
        <w:tc>
          <w:tcPr>
            <w:tcW w:w="5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715</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538</w:t>
            </w:r>
          </w:p>
        </w:tc>
        <w:tc>
          <w:tcPr>
            <w:tcW w:w="52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(7,766)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(7,881)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Earnings (loss) per Share - Basic</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(0.09)</w:t>
            </w:r>
          </w:p>
        </w:tc>
        <w:tc>
          <w:tcPr>
            <w:tcW w:w="5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0.05</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0.04</w:t>
            </w:r>
          </w:p>
        </w:tc>
        <w:tc>
          <w:tcPr>
            <w:tcW w:w="52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(0.53)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(0.54)</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Earnings (loss) per Share - Diluted</w:t>
            </w:r>
          </w:p>
        </w:tc>
        <w:tc>
          <w:tcPr>
            <w:tcW w:w="60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(0.09)</w:t>
            </w:r>
          </w:p>
        </w:tc>
        <w:tc>
          <w:tcPr>
            <w:tcW w:w="520" w:type="dxa"/>
            <w:vAlign w:val="bottom"/>
          </w:tcPr>
          <w:p>
            <w:pPr>
              <w:spacing w:after="0"/>
              <w:rPr>
                <w:sz w:val="24"/>
                <w:szCs w:val="2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0.05</w:t>
            </w:r>
          </w:p>
        </w:tc>
        <w:tc>
          <w:tcPr>
            <w:tcW w:w="48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0.04</w:t>
            </w:r>
          </w:p>
        </w:tc>
        <w:tc>
          <w:tcPr>
            <w:tcW w:w="520" w:type="dxa"/>
            <w:vAlign w:val="bottom"/>
          </w:tcPr>
          <w:p>
            <w:pPr>
              <w:spacing w:after="0"/>
              <w:rPr>
                <w:sz w:val="24"/>
                <w:szCs w:val="2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(0.53)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(0.54)</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FISCAL YEAR 2001</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39,379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45,693</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56,587</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52,871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$ 194,530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60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10,652</w:t>
            </w:r>
          </w:p>
        </w:tc>
        <w:tc>
          <w:tcPr>
            <w:tcW w:w="5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13,421</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17,385</w:t>
            </w:r>
          </w:p>
        </w:tc>
        <w:tc>
          <w:tcPr>
            <w:tcW w:w="52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13,527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54,985</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(474)</w:t>
            </w:r>
          </w:p>
        </w:tc>
        <w:tc>
          <w:tcPr>
            <w:tcW w:w="5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1,084</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2,891</w:t>
            </w:r>
          </w:p>
        </w:tc>
        <w:tc>
          <w:tcPr>
            <w:tcW w:w="52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3,216</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Earnings (loss) per Share - Basic</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(0.03)</w:t>
            </w:r>
          </w:p>
        </w:tc>
        <w:tc>
          <w:tcPr>
            <w:tcW w:w="5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0.07</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0.18</w:t>
            </w:r>
          </w:p>
        </w:tc>
        <w:tc>
          <w:tcPr>
            <w:tcW w:w="52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(0.02)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Earnings (loss) per Share - Diluted</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(0.03)</w:t>
            </w:r>
          </w:p>
        </w:tc>
        <w:tc>
          <w:tcPr>
            <w:tcW w:w="5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0.06</w:t>
            </w:r>
          </w:p>
        </w:tc>
        <w:tc>
          <w:tcPr>
            <w:tcW w:w="4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0.18</w:t>
            </w:r>
          </w:p>
        </w:tc>
        <w:tc>
          <w:tcPr>
            <w:tcW w:w="52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(0.02)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0.20</w:t>
            </w:r>
          </w:p>
        </w:tc>
      </w:tr>
    </w:tbl>
    <w:p>
      <w:pPr>
        <w:spacing w:after="0" w:line="335" w:lineRule="exact"/>
        <w:rPr>
          <w:sz w:val="20"/>
          <w:szCs w:val="20"/>
          <w:color w:val="auto"/>
        </w:rPr>
      </w:pPr>
    </w:p>
    <w:p>
      <w:pPr>
        <w:jc w:val="both"/>
        <w:ind w:left="520" w:right="3700" w:hanging="512"/>
        <w:spacing w:after="0" w:line="252" w:lineRule="auto"/>
        <w:tabs>
          <w:tab w:leader="none" w:pos="5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fourth quarter of fiscal 2002, the Company recorded a write-down of its deferred tax assets of $8.0 million attributable to the potential that certain federal net operating loss carryforwards may not be realizable.</w:t>
      </w:r>
    </w:p>
    <w:p>
      <w:pPr>
        <w:spacing w:after="0" w:line="163" w:lineRule="exact"/>
        <w:rPr>
          <w:sz w:val="20"/>
          <w:szCs w:val="20"/>
          <w:color w:val="auto"/>
        </w:rPr>
      </w:pPr>
    </w:p>
    <w:p>
      <w:pPr>
        <w:ind w:right="3700"/>
        <w:spacing w:after="0" w:line="251" w:lineRule="auto"/>
        <w:rPr>
          <w:sz w:val="20"/>
          <w:szCs w:val="20"/>
          <w:color w:val="auto"/>
        </w:rPr>
      </w:pPr>
      <w:r>
        <w:rPr>
          <w:rFonts w:ascii="Courier New" w:cs="Courier New" w:eastAsia="Courier New" w:hAnsi="Courier New"/>
          <w:sz w:val="14"/>
          <w:szCs w:val="14"/>
          <w:color w:val="auto"/>
        </w:rPr>
        <w:t>Historically, the Company has experienced seasonal fluctuations in net sales, gross profit and net income, with increases occurring during the Company's third and fourth quarters as a result of "Fall" and "Holiday" seasons. In recent years, as the Company's percentage of outlet business increases in relation to total sales, the Company expects that the third and fourth quarters will decrease as a percentage of total sales. Quarterly sales comparisons are not necessarily indicative of actual trends, since such amounts also reflect the addition of new stores, closing of stores and the remodeling of stores during these periods.</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600"/>
          </w:cols>
          <w:pgMar w:left="220" w:top="616" w:right="1079" w:bottom="1440" w:gutter="0" w:footer="0" w:header="0"/>
        </w:sectPr>
      </w:pPr>
    </w:p>
    <w:bookmarkStart w:id="46" w:name="page47"/>
    <w:bookmarkEnd w:id="46"/>
    <w:p>
      <w:pPr>
        <w:ind w:right="4119"/>
        <w:spacing w:after="0" w:line="255"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October 3, 2000, Deloitte &amp; Touche LLP resigned as the Company's independent accountants. On October 11, 2000, Ernst &amp; Young LLP (Ernst &amp; Young) was engaged as the Company's new principal independent auditors. The Company's Board of Directors and its Audit Committee unanimously approved the change of principal independent auditors.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Since Deloitte &amp; Touche LLP was retained on December 21, 1999 and thereafter through October 3, 2000, there were no disagreements between the Company and Deloitte &amp; Touche LLP on matters of accounting principles or practices, financial statement disclosure, or auditing scope or procedure which, if not resolved to the satisfaction of Deloitte &amp; Touche LLP, would have caused Deloitte &amp; Touche LLP to make reference to the subject matter thereof in its reports. Since Deloitte &amp; Touche LLP was retained on December 21, 1999 and thereafter through October 3, 2000, there was no occurrence of the kinds of events described in Item 304(a)(1)(v) of Regulation S-K promulgated by the Securities and Exchange Commission. In addition, none of the reports issued by Deloitte &amp; Touche LLP concerning the Company's financial statements since it was retained on December 21, 1999 and thereafter through October 3, 2000 contain any adverse opinion or disclaimer of opinion. Such report was not qualified or modified as to uncertainty, audit scope, or accounting principles.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16"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information concerning the directors of the Company is set forth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DIRECTOR</w:t>
            </w:r>
          </w:p>
        </w:tc>
      </w:tr>
      <w:tr>
        <w:trPr>
          <w:trHeight w:val="166"/>
        </w:trPr>
        <w:tc>
          <w:tcPr>
            <w:tcW w:w="2860" w:type="dxa"/>
            <w:vAlign w:val="bottom"/>
          </w:tcPr>
          <w:p>
            <w:pPr>
              <w:ind w:left="1220"/>
              <w:spacing w:after="0"/>
              <w:rPr>
                <w:sz w:val="20"/>
                <w:szCs w:val="20"/>
                <w:color w:val="auto"/>
              </w:rPr>
            </w:pPr>
            <w:r>
              <w:rPr>
                <w:rFonts w:ascii="Courier New" w:cs="Courier New" w:eastAsia="Courier New" w:hAnsi="Courier New"/>
                <w:sz w:val="14"/>
                <w:szCs w:val="14"/>
                <w:color w:val="auto"/>
              </w:rPr>
              <w:t>NAME (1)</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AGE</w:t>
            </w:r>
          </w:p>
        </w:tc>
        <w:tc>
          <w:tcPr>
            <w:tcW w:w="4460" w:type="dxa"/>
            <w:vAlign w:val="bottom"/>
          </w:tcPr>
          <w:p>
            <w:pPr>
              <w:ind w:left="1880"/>
              <w:spacing w:after="0"/>
              <w:rPr>
                <w:sz w:val="20"/>
                <w:szCs w:val="20"/>
                <w:color w:val="auto"/>
              </w:rPr>
            </w:pPr>
            <w:r>
              <w:rPr>
                <w:rFonts w:ascii="Courier New" w:cs="Courier New" w:eastAsia="Courier New" w:hAnsi="Courier New"/>
                <w:sz w:val="14"/>
                <w:szCs w:val="14"/>
                <w:color w:val="auto"/>
              </w:rPr>
              <w:t>POSITION</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SINCE</w:t>
            </w:r>
          </w:p>
        </w:tc>
      </w:tr>
      <w:tr>
        <w:trPr>
          <w:trHeight w:val="166"/>
        </w:trPr>
        <w:tc>
          <w:tcPr>
            <w:tcW w:w="2860" w:type="dxa"/>
            <w:vAlign w:val="bottom"/>
          </w:tcPr>
          <w:p>
            <w:pPr>
              <w:ind w:left="12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4460" w:type="dxa"/>
            <w:vAlign w:val="bottom"/>
          </w:tcPr>
          <w:p>
            <w:pPr>
              <w:ind w:left="15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Seymour Holtzman...............</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w:t>
            </w:r>
          </w:p>
        </w:tc>
        <w:tc>
          <w:tcPr>
            <w:tcW w:w="4460" w:type="dxa"/>
            <w:vAlign w:val="bottom"/>
          </w:tcPr>
          <w:p>
            <w:pPr>
              <w:ind w:left="340"/>
              <w:spacing w:after="0"/>
              <w:rPr>
                <w:sz w:val="20"/>
                <w:szCs w:val="20"/>
                <w:color w:val="auto"/>
              </w:rPr>
            </w:pPr>
            <w:r>
              <w:rPr>
                <w:rFonts w:ascii="Courier New" w:cs="Courier New" w:eastAsia="Courier New" w:hAnsi="Courier New"/>
                <w:sz w:val="14"/>
                <w:szCs w:val="14"/>
                <w:color w:val="auto"/>
              </w:rPr>
              <w:t>Chairman of the Board and Director</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David A. Levin.................</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w:t>
            </w:r>
          </w:p>
        </w:tc>
        <w:tc>
          <w:tcPr>
            <w:tcW w:w="4460" w:type="dxa"/>
            <w:vAlign w:val="bottom"/>
          </w:tcPr>
          <w:p>
            <w:pPr>
              <w:ind w:left="340"/>
              <w:spacing w:after="0"/>
              <w:rPr>
                <w:sz w:val="20"/>
                <w:szCs w:val="20"/>
                <w:color w:val="auto"/>
              </w:rPr>
            </w:pPr>
            <w:r>
              <w:rPr>
                <w:rFonts w:ascii="Courier New" w:cs="Courier New" w:eastAsia="Courier New" w:hAnsi="Courier New"/>
                <w:sz w:val="14"/>
                <w:szCs w:val="14"/>
                <w:color w:val="auto"/>
              </w:rPr>
              <w:t>President, Chief Executive Officer and Director</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Stanley I. Berger..............</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w:t>
            </w:r>
          </w:p>
        </w:tc>
        <w:tc>
          <w:tcPr>
            <w:tcW w:w="4460" w:type="dxa"/>
            <w:vAlign w:val="bottom"/>
          </w:tcPr>
          <w:p>
            <w:pPr>
              <w:ind w:left="340"/>
              <w:spacing w:after="0"/>
              <w:rPr>
                <w:sz w:val="20"/>
                <w:szCs w:val="20"/>
                <w:color w:val="auto"/>
              </w:rPr>
            </w:pPr>
            <w:r>
              <w:rPr>
                <w:rFonts w:ascii="Courier New" w:cs="Courier New" w:eastAsia="Courier New" w:hAnsi="Courier New"/>
                <w:sz w:val="14"/>
                <w:szCs w:val="14"/>
                <w:color w:val="auto"/>
              </w:rPr>
              <w:t>Director</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1976-1999</w:t>
            </w:r>
          </w:p>
        </w:tc>
      </w:tr>
      <w:tr>
        <w:trPr>
          <w:trHeight w:val="166"/>
        </w:trPr>
        <w:tc>
          <w:tcPr>
            <w:tcW w:w="2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and 2000</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Jesse Choper...................</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w:t>
            </w:r>
          </w:p>
        </w:tc>
        <w:tc>
          <w:tcPr>
            <w:tcW w:w="4460" w:type="dxa"/>
            <w:vAlign w:val="bottom"/>
          </w:tcPr>
          <w:p>
            <w:pPr>
              <w:ind w:left="340"/>
              <w:spacing w:after="0"/>
              <w:rPr>
                <w:sz w:val="20"/>
                <w:szCs w:val="20"/>
                <w:color w:val="auto"/>
              </w:rPr>
            </w:pPr>
            <w:r>
              <w:rPr>
                <w:rFonts w:ascii="Courier New" w:cs="Courier New" w:eastAsia="Courier New" w:hAnsi="Courier New"/>
                <w:sz w:val="14"/>
                <w:szCs w:val="14"/>
                <w:color w:val="auto"/>
              </w:rPr>
              <w:t>Director (2),(3)</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Alan Cohen.....................</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w:t>
            </w:r>
          </w:p>
        </w:tc>
        <w:tc>
          <w:tcPr>
            <w:tcW w:w="4460" w:type="dxa"/>
            <w:vAlign w:val="bottom"/>
          </w:tcPr>
          <w:p>
            <w:pPr>
              <w:ind w:left="340"/>
              <w:spacing w:after="0"/>
              <w:rPr>
                <w:sz w:val="20"/>
                <w:szCs w:val="20"/>
                <w:color w:val="auto"/>
              </w:rPr>
            </w:pPr>
            <w:r>
              <w:rPr>
                <w:rFonts w:ascii="Courier New" w:cs="Courier New" w:eastAsia="Courier New" w:hAnsi="Courier New"/>
                <w:sz w:val="14"/>
                <w:szCs w:val="14"/>
                <w:color w:val="auto"/>
              </w:rPr>
              <w:t>Director</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Jeremiah P. Murphy, Jr.........</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w:t>
            </w:r>
          </w:p>
        </w:tc>
        <w:tc>
          <w:tcPr>
            <w:tcW w:w="4460" w:type="dxa"/>
            <w:vAlign w:val="bottom"/>
          </w:tcPr>
          <w:p>
            <w:pPr>
              <w:ind w:left="340"/>
              <w:spacing w:after="0"/>
              <w:rPr>
                <w:sz w:val="20"/>
                <w:szCs w:val="20"/>
                <w:color w:val="auto"/>
              </w:rPr>
            </w:pPr>
            <w:r>
              <w:rPr>
                <w:rFonts w:ascii="Courier New" w:cs="Courier New" w:eastAsia="Courier New" w:hAnsi="Courier New"/>
                <w:sz w:val="14"/>
                <w:szCs w:val="14"/>
                <w:color w:val="auto"/>
              </w:rPr>
              <w:t>Director (2),(4)</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Joseph Pennacchio..............</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w:t>
            </w:r>
          </w:p>
        </w:tc>
        <w:tc>
          <w:tcPr>
            <w:tcW w:w="4460" w:type="dxa"/>
            <w:vAlign w:val="bottom"/>
          </w:tcPr>
          <w:p>
            <w:pPr>
              <w:ind w:left="340"/>
              <w:spacing w:after="0"/>
              <w:rPr>
                <w:sz w:val="20"/>
                <w:szCs w:val="20"/>
                <w:color w:val="auto"/>
              </w:rPr>
            </w:pPr>
            <w:r>
              <w:rPr>
                <w:rFonts w:ascii="Courier New" w:cs="Courier New" w:eastAsia="Courier New" w:hAnsi="Courier New"/>
                <w:sz w:val="14"/>
                <w:szCs w:val="14"/>
                <w:color w:val="auto"/>
              </w:rPr>
              <w:t>Director (2),(3),(4)</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George T. Porter, Jr...........</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w:t>
            </w:r>
          </w:p>
        </w:tc>
        <w:tc>
          <w:tcPr>
            <w:tcW w:w="4460" w:type="dxa"/>
            <w:vAlign w:val="bottom"/>
          </w:tcPr>
          <w:p>
            <w:pPr>
              <w:ind w:left="340"/>
              <w:spacing w:after="0"/>
              <w:rPr>
                <w:sz w:val="20"/>
                <w:szCs w:val="20"/>
                <w:color w:val="auto"/>
              </w:rPr>
            </w:pPr>
            <w:r>
              <w:rPr>
                <w:rFonts w:ascii="Courier New" w:cs="Courier New" w:eastAsia="Courier New" w:hAnsi="Courier New"/>
                <w:sz w:val="14"/>
                <w:szCs w:val="14"/>
                <w:color w:val="auto"/>
              </w:rPr>
              <w:t>Director</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bl>
    <w:p>
      <w:pPr>
        <w:spacing w:after="0" w:line="335" w:lineRule="exact"/>
        <w:rPr>
          <w:sz w:val="20"/>
          <w:szCs w:val="20"/>
          <w:color w:val="auto"/>
        </w:rPr>
      </w:pPr>
    </w:p>
    <w:p>
      <w:pPr>
        <w:ind w:left="520" w:right="3419" w:hanging="512"/>
        <w:spacing w:after="0" w:line="255" w:lineRule="auto"/>
        <w:tabs>
          <w:tab w:leader="none" w:pos="5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 Patron, a director of the Company since October 2000, resigned his position effective March 11, 2002.</w:t>
      </w:r>
    </w:p>
    <w:p>
      <w:pPr>
        <w:spacing w:after="0" w:line="159"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member of the Audit Committee.</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member of the Compensation Committee.</w:t>
      </w:r>
    </w:p>
    <w:p>
      <w:pPr>
        <w:spacing w:after="0" w:line="17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member of the Corporate Governance Committee.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16" w:right="1440" w:bottom="1440" w:gutter="0" w:footer="0" w:header="0"/>
        </w:sectPr>
      </w:pPr>
    </w:p>
    <w:bookmarkStart w:id="48" w:name="page49"/>
    <w:bookmarkEnd w:id="48"/>
    <w:p>
      <w:pPr>
        <w:ind w:right="3339"/>
        <w:spacing w:after="0" w:line="251" w:lineRule="auto"/>
        <w:rPr>
          <w:sz w:val="20"/>
          <w:szCs w:val="20"/>
          <w:color w:val="auto"/>
        </w:rPr>
      </w:pPr>
      <w:r>
        <w:rPr>
          <w:rFonts w:ascii="Courier New" w:cs="Courier New" w:eastAsia="Courier New" w:hAnsi="Courier New"/>
          <w:sz w:val="14"/>
          <w:szCs w:val="14"/>
          <w:color w:val="auto"/>
        </w:rPr>
        <w:t>Seymour Holtzman was appointed a director of the Company on April 7, 2000 and Chairman of the Board on April 11, 2000. On May 25, 2001, the Board of Directors of the Company hired Mr. Holtzman as an officer and an employee of the Company. Mr. Holtzman is Chairman and Chief Executive Officer of: Jewelcor Management Inc.; C.D. Peacock, Inc., a prominent Chicago, Illinois retail jewelry establishment; and S.A. Peck &amp; Company, a retail and mail order jewelry company. In addition, Mr. Holtzman served as President and Chief Executive Officer of Jewelcor Incorporated (a formerly New York Stock Exchange listed company) from 1973 to 1988. From 1986 to 1988, Mr. Holtzman was Chairman and Chief Executive Officer of Gruen Marketing Corporation (a formerly American Stock Exchange listed company), which distributed watches nationwide and operated retail factory outlets. Mr. Holtzman is currently on the Board of Directors of Little Switzerland, Inc. and Ambanc Holding Co., Inc.</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David A. Levin was appointed President and Chief Executive Officer of the Company on April 10, 2000 and a director of the Company on April 11, 2000. From 1999 to 2000, he served as the Executive Vice President of eOutlet.com. Mr. Levin was President of Camp Coleman, a division of The Coleman Company, from 1998 to 1999. Prior to that, Mr. Levin was President of Parade of Shoes, a division of J. Baker, Inc., from 1995 to 1997. In addition, Mr. Levin was President of Prestige Fragrance &amp; Cosmetics, a division of Revlon, Inc., from 1991 to 1995. Mr. Levin has worked in the retail industry for almost 30 years.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Stanley I. Berger is a founder of the Company and served as Chairman of the Board from 1976 to 1999. Mr. Berger also served as the Company's Chief Executive Officer from January 1993 until December 1994. Prior to January 1993, Mr. Berger served as the President and Chief Operating Officer of the Company since 1977. Mr. Berger has been a director of the Company since its inception, except for the period between October 8, 1999 and April 11, 2000.</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Jesse Choper was elected a director of the Company on October 8, 1999. Mr. Choper is the Earl Warren Professor of Public Law at the University of California at Berkeley School of Law, where he has taught since 1965. From 1960 to 1961 Professor Choper was a law clerk for Supreme Court Chief Justice Earl Warren. Mr. Choper is also on the Board of Directors of musicmaker.com, Inc.</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Alan Cohen was appointed as a director of the Company on May 2, 2000. Mr. Cohen has been Chairman of Alco Capital Group, which specializes in corporate restructuring, reorganizations, and other turnaround situations, since 1975. Currently he serves as the court appointed trustee of County Seat Stores, Inc., a nation-wide chain of specialty apparel stores. Mr. Cohen is also on the Board of Directors of Ames Department Stores, Inc.</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Jeremiah P. Murphy, Jr. was elected a director of the Company on October 8, 1999. Mr. Murphy has been the President of the Harvard Cooperative Society, a 120-year-old member based retail business, since 1992. From 1987 to 1992, Mr. Murphy was Vice-President/General Manager of Neiman Marcus' largest and most profitable store, North Park in Dallas, Texas.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Joseph Pennacchio was elected a director of the Company on October 8, 1999. Mr. Pennacchio has been Chief Executive Officer of Aurafin LLC, a privately held jewelry manufacturer and wholesaler, since 1997. From May 1994 to May 1996, Mr. Pennacchio was President of Jan Bell Marketing, a $250 million jewelry retailer, which is listed on the American Stock Exchange. Mr. Pennacchio was also President of Jordan Marsh Department Stores from 1992 to 1994.</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George T. Porter, Jr. was appointed a director of the Company on October 28, 1999. Mr. Porter was President of Levi's USA for Levi Strauss &amp; Co. from 1994 to</w:t>
      </w:r>
    </w:p>
    <w:p>
      <w:pPr>
        <w:spacing w:after="0" w:line="1"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1997. Beginning in 1974, Mr. Porter held various positions at Levi Strauss &amp; Co., including President of Levi's Men's Jeans Division. Mr. Porter was also Corporate Vice President, General Manager, Nike USA from 1997 to 1998.</w:t>
      </w:r>
    </w:p>
    <w:p>
      <w:pPr>
        <w:spacing w:after="0" w:line="16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All directors hold office until the next Annual Meeting of Stockholders and until their respective successors have been duly elected and qualified.</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16"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Executive Officers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Dennis R. Hernreich, 45, has been Senior Vice President, Chief Financial Officer and Treasurer since September 5, 2000. Prior to joining the Company, from 1996 through 1999, Mr. Hernreich held the position of Senior Vice President and Chief Financial Officer of Loehmann's Inc., a national retailer of women's apparel. Most recently, from 1999 to August 2000, Mr. Hernreich was Senior Vice President and Chief Financial Officer of Pennsylvania Fashions, Inc., a 275-store retail outlet chain operating under the name Rue 21.</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Ronald N. Batts, 52, has been Senior Vice President of Operations since October 22, 2001. Mr. Batts previously worked as Senior Vice President of Retail for the Haggar Clothing Company where he established and directed Haggar Direct, Inc., a consumer direct start-up company. Prior to Haggar, Mr. Batts was Chief Operating Officer for Mothercare stores, a 238 store national maternity and childrenswear specialty chain. In addition, he has served as Chief Executive Officer of CSVA, Inc., a venture capital funded retail acquisition company, as President of Eckerd Apparel, a division of Jack Eckerd Corporation, and as President of two divisions of Mercantile Stores.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16(a) of the Securities Exchange Act of 1934, as amended (the "Exchange Act"), requires the Company's executive officers and directors, and persons who own more than 10% of a registered class of the Company's equity securities (collectively, the "Reporting Persons"), to file reports of ownership and changes in ownership with the Commission. The Reporting Persons are required to furnish the Company with copies of all Section 16(a) reports they file. Based solely upon a review of Forms 3 and 4 and amendments thereto furnished to the Company during fiscal 2002 and Forms 5 and amendments thereto furnished to the Company with respect to fiscal 2002, the Company believes that the current Reporting Persons complied with all applicable Section 16(a) reporting requirements and all required reports were filed in a timely manner.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Summary Compensation Table. The following Summary Compensation Table sets forth certain information regarding compensation paid or accrued by the Company with respect to the Chief Executive Officer, the Chief Financial Officer and the Senior Vice President of Operations of the Company as of the end of fiscal 2002 and as of February 3, 2001 ("fiscal 2001"). The table also includes two former executives of the Company, including John J. Schultz, former Interim President and Chief Executive Officer from January 2000 through April 2000, and Dan O. Paulus, former Senior Vice President and General Merchandising Manager who resigned November 14, 2000 (collectively, the "Named Executive Officers"), for fiscal 2001 and the fiscal year ended January 29, 2000 ("fiscal 2000").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gridSpan w:val="2"/>
          </w:tcPr>
          <w:p>
            <w:pPr>
              <w:ind w:left="2340"/>
              <w:spacing w:after="0"/>
              <w:rPr>
                <w:sz w:val="20"/>
                <w:szCs w:val="20"/>
                <w:color w:val="auto"/>
              </w:rPr>
            </w:pPr>
            <w:r>
              <w:rPr>
                <w:rFonts w:ascii="Courier New" w:cs="Courier New" w:eastAsia="Courier New" w:hAnsi="Courier New"/>
                <w:sz w:val="14"/>
                <w:szCs w:val="14"/>
                <w:color w:val="auto"/>
              </w:rPr>
              <w:t>Summary Compensation Table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3"/>
        </w:trPr>
        <w:tc>
          <w:tcPr>
            <w:tcW w:w="3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Long-Term</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540" w:type="dxa"/>
            <w:vAlign w:val="bottom"/>
          </w:tcPr>
          <w:p>
            <w:pPr>
              <w:ind w:left="1480"/>
              <w:spacing w:after="0"/>
              <w:rPr>
                <w:sz w:val="20"/>
                <w:szCs w:val="20"/>
                <w:color w:val="auto"/>
              </w:rPr>
            </w:pPr>
            <w:r>
              <w:rPr>
                <w:rFonts w:ascii="Courier New" w:cs="Courier New" w:eastAsia="Courier New" w:hAnsi="Courier New"/>
                <w:sz w:val="14"/>
                <w:szCs w:val="14"/>
                <w:color w:val="auto"/>
              </w:rPr>
              <w:t>Name and</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Annual</w:t>
            </w:r>
          </w:p>
        </w:tc>
        <w:tc>
          <w:tcPr>
            <w:tcW w:w="820" w:type="dxa"/>
            <w:vAlign w:val="bottom"/>
          </w:tcPr>
          <w:p>
            <w:pPr>
              <w:spacing w:after="0"/>
              <w:rPr>
                <w:sz w:val="14"/>
                <w:szCs w:val="14"/>
                <w:color w:val="auto"/>
              </w:rPr>
            </w:pP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Compensation</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40" w:type="dxa"/>
            <w:vAlign w:val="bottom"/>
          </w:tcPr>
          <w:p>
            <w:pPr>
              <w:ind w:left="1040"/>
              <w:spacing w:after="0"/>
              <w:rPr>
                <w:sz w:val="20"/>
                <w:szCs w:val="20"/>
                <w:color w:val="auto"/>
              </w:rPr>
            </w:pPr>
            <w:r>
              <w:rPr>
                <w:rFonts w:ascii="Courier New" w:cs="Courier New" w:eastAsia="Courier New" w:hAnsi="Courier New"/>
                <w:sz w:val="14"/>
                <w:szCs w:val="14"/>
                <w:color w:val="auto"/>
              </w:rPr>
              <w:t>Principal Position</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Fiscal</w:t>
            </w:r>
          </w:p>
        </w:tc>
        <w:tc>
          <w:tcPr>
            <w:tcW w:w="220" w:type="dxa"/>
            <w:vAlign w:val="bottom"/>
          </w:tcPr>
          <w:p>
            <w:pPr>
              <w:spacing w:after="0"/>
              <w:rPr>
                <w:sz w:val="14"/>
                <w:szCs w:val="14"/>
                <w:color w:val="auto"/>
              </w:rPr>
            </w:pPr>
          </w:p>
        </w:tc>
        <w:tc>
          <w:tcPr>
            <w:tcW w:w="198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Compensation</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Awards</w:t>
            </w:r>
          </w:p>
        </w:tc>
        <w:tc>
          <w:tcPr>
            <w:tcW w:w="13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3540" w:type="dxa"/>
            <w:vAlign w:val="bottom"/>
          </w:tcPr>
          <w:p>
            <w:pPr>
              <w:ind w:left="960"/>
              <w:spacing w:after="0"/>
              <w:rPr>
                <w:sz w:val="20"/>
                <w:szCs w:val="20"/>
                <w:color w:val="auto"/>
              </w:rPr>
            </w:pPr>
            <w:r>
              <w:rPr>
                <w:rFonts w:ascii="Courier New" w:cs="Courier New" w:eastAsia="Courier New" w:hAnsi="Courier New"/>
                <w:sz w:val="14"/>
                <w:szCs w:val="14"/>
                <w:color w:val="auto"/>
              </w:rPr>
              <w:t>(at February 2, 2002)</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Year</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Salary</w:t>
            </w:r>
          </w:p>
        </w:tc>
        <w:tc>
          <w:tcPr>
            <w:tcW w:w="5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Bonus</w:t>
            </w:r>
          </w:p>
        </w:tc>
        <w:tc>
          <w:tcPr>
            <w:tcW w:w="1340" w:type="dxa"/>
            <w:vAlign w:val="bottom"/>
          </w:tcPr>
          <w:p>
            <w:pPr>
              <w:ind w:left="460"/>
              <w:spacing w:after="0"/>
              <w:rPr>
                <w:sz w:val="20"/>
                <w:szCs w:val="20"/>
                <w:color w:val="auto"/>
              </w:rPr>
            </w:pPr>
            <w:r>
              <w:rPr>
                <w:rFonts w:ascii="Courier New" w:cs="Courier New" w:eastAsia="Courier New" w:hAnsi="Courier New"/>
                <w:sz w:val="14"/>
                <w:szCs w:val="14"/>
                <w:color w:val="auto"/>
              </w:rPr>
              <w:t>Options</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Compensation(1)</w:t>
            </w:r>
          </w:p>
        </w:tc>
      </w:tr>
      <w:tr>
        <w:trPr>
          <w:trHeight w:val="166"/>
        </w:trPr>
        <w:tc>
          <w:tcPr>
            <w:tcW w:w="354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Seymour Holtzman</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18,616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300,000</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Chairman of the Board (2)</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David A. Levin</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382,374</w:t>
            </w:r>
          </w:p>
        </w:tc>
        <w:tc>
          <w:tcPr>
            <w:tcW w:w="52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125,000</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14,484</w:t>
            </w: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President and Chief Executive</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2001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311,758</w:t>
            </w:r>
          </w:p>
        </w:tc>
        <w:tc>
          <w:tcPr>
            <w:tcW w:w="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300,000</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449</w:t>
            </w: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Officer</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Dennis R. Hernreich</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229,615</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15,000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100,000</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6,829</w:t>
            </w: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Senior Vice President and</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2001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121,610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6,250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85,000</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85,307</w:t>
            </w: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Chief Financial Officer and</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Treasurer (3)</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Ronald N. Batts</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86,432</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10,403</w:t>
            </w: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Senior Vice President of Operations (4)</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John J. Schultz</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2001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63,179</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60,000</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Former Interim President and</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58,000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30,000</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Chief Executive Officer (5)</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Dan O. Paulus</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2001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221,928</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35,000</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5,570</w:t>
            </w: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Former Senior Vice President and</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233,700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70,000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3,540</w:t>
            </w: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General Merchandise Manager (6)</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right="3339" w:hanging="512"/>
        <w:spacing w:after="0" w:line="251" w:lineRule="auto"/>
        <w:tabs>
          <w:tab w:leader="none" w:pos="5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disclosed in this column with respect to fiscal 2002 represent: (i) payments by the Company of insurance premiums for term life insurance for the benefit of the executive officers (Mr. Levin $3,131, Mr. Hernreich $411 and Mr. Batts $124); (ii) matching contributions made by the Company for the benefit of each of the following executive officers to the Company's retirement plan (the "401(k) Plan") established pursuant to Section 401(k) of the Internal Revenue Code of 1986, as amended (the "Internal Revenue Code") (Mr. Levin $4,482 and Mr. Hernreich $469); (iii) car allowances (Mr. Levin $6,872 and Mr. Hernreich $2,771); and (iv) reimbursement for relocation costs (Mr. Hernreich $3,177 and Mr. Batts $10,279).</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16" w:right="1440" w:bottom="1440" w:gutter="0" w:footer="0" w:header="0"/>
        </w:sectPr>
      </w:pPr>
    </w:p>
    <w:bookmarkStart w:id="51" w:name="page52"/>
    <w:bookmarkEnd w:id="51"/>
    <w:p>
      <w:pPr>
        <w:ind w:left="520" w:hanging="512"/>
        <w:spacing w:after="0" w:line="251" w:lineRule="auto"/>
        <w:tabs>
          <w:tab w:leader="none" w:pos="5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Holtzman was hired by the Company as an executive officer and employee of the Company on May 25, 2001. As compensation for his services, the Company granted to Mr. Holtzman an option to purchase up to 300,000 shares of the Company's common stock, see "Employment Agreements" for more discussion.</w:t>
      </w:r>
    </w:p>
    <w:p>
      <w:pPr>
        <w:spacing w:after="0" w:line="164" w:lineRule="exact"/>
        <w:rPr>
          <w:rFonts w:ascii="Courier New" w:cs="Courier New" w:eastAsia="Courier New" w:hAnsi="Courier New"/>
          <w:sz w:val="14"/>
          <w:szCs w:val="14"/>
          <w:color w:val="auto"/>
        </w:rPr>
      </w:pPr>
    </w:p>
    <w:p>
      <w:pPr>
        <w:ind w:left="520" w:right="80" w:hanging="512"/>
        <w:spacing w:after="0" w:line="251" w:lineRule="auto"/>
        <w:tabs>
          <w:tab w:leader="none" w:pos="5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Hernreich's employment agreement entitles him to receive minimum monthly payments in respect of his annual bonus at the rate of $1,250 per month. Any annual bonus that the Compensation Committee determines shall be paid to Mr. Hernreich would be reduced by the total of all such payments made to the executive. During fiscal 2002 and fiscal 2001, Mr. Hernreich received a total of $15,000 and $6,250, respectively.</w:t>
      </w:r>
    </w:p>
    <w:p>
      <w:pPr>
        <w:spacing w:after="0" w:line="164" w:lineRule="exact"/>
        <w:rPr>
          <w:rFonts w:ascii="Courier New" w:cs="Courier New" w:eastAsia="Courier New" w:hAnsi="Courier New"/>
          <w:sz w:val="14"/>
          <w:szCs w:val="14"/>
          <w:color w:val="auto"/>
        </w:rPr>
      </w:pPr>
    </w:p>
    <w:p>
      <w:pPr>
        <w:ind w:left="520" w:right="80" w:hanging="512"/>
        <w:spacing w:after="0" w:line="251" w:lineRule="auto"/>
        <w:tabs>
          <w:tab w:leader="none" w:pos="5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Batts has been Senior Vice President of Operations since October 22, 2002. Mr. Batts' employment agreement entitles him to receive minimum monthly payments in respect of his annual bonus at the rate of $2,000 per month for the initial term of the agreement. Any annual bonus that the Compensation Committee determines shall be paid to Mr. Batts would be reduced by the total of all such payments made to the executive. During fiscal 2002, Mr. Batts received a total of $6,000, which represents the three months from when Mr. Batts started with the Company.</w:t>
      </w:r>
    </w:p>
    <w:p>
      <w:pPr>
        <w:spacing w:after="0" w:line="163" w:lineRule="exact"/>
        <w:rPr>
          <w:rFonts w:ascii="Courier New" w:cs="Courier New" w:eastAsia="Courier New" w:hAnsi="Courier New"/>
          <w:sz w:val="14"/>
          <w:szCs w:val="14"/>
          <w:color w:val="auto"/>
        </w:rPr>
      </w:pPr>
    </w:p>
    <w:p>
      <w:pPr>
        <w:ind w:left="520" w:hanging="512"/>
        <w:spacing w:after="0" w:line="255" w:lineRule="auto"/>
        <w:tabs>
          <w:tab w:leader="none" w:pos="5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Schultz acted in the position of interim President and Chief Executive Officer from October 20, 1999 until April 10, 2000.</w:t>
      </w:r>
    </w:p>
    <w:p>
      <w:pPr>
        <w:spacing w:after="0" w:line="159" w:lineRule="exact"/>
        <w:rPr>
          <w:rFonts w:ascii="Courier New" w:cs="Courier New" w:eastAsia="Courier New" w:hAnsi="Courier New"/>
          <w:sz w:val="14"/>
          <w:szCs w:val="14"/>
          <w:color w:val="auto"/>
        </w:rPr>
      </w:pPr>
    </w:p>
    <w:p>
      <w:pPr>
        <w:ind w:left="520" w:right="520" w:hanging="512"/>
        <w:spacing w:after="0" w:line="255" w:lineRule="auto"/>
        <w:tabs>
          <w:tab w:leader="none" w:pos="5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Paulus served as the Company's Senior Vice President and General Merchandise Manager from February 4, 2000 to November 14, 2000.</w:t>
      </w:r>
    </w:p>
    <w:p>
      <w:pPr>
        <w:spacing w:after="0" w:line="160" w:lineRule="exact"/>
        <w:rPr>
          <w:sz w:val="20"/>
          <w:szCs w:val="20"/>
          <w:color w:val="auto"/>
        </w:rPr>
      </w:pPr>
    </w:p>
    <w:p>
      <w:pPr>
        <w:ind w:right="520"/>
        <w:spacing w:after="0" w:line="252" w:lineRule="auto"/>
        <w:rPr>
          <w:sz w:val="20"/>
          <w:szCs w:val="20"/>
          <w:color w:val="auto"/>
        </w:rPr>
      </w:pPr>
      <w:r>
        <w:rPr>
          <w:rFonts w:ascii="Courier New" w:cs="Courier New" w:eastAsia="Courier New" w:hAnsi="Courier New"/>
          <w:sz w:val="14"/>
          <w:szCs w:val="14"/>
          <w:color w:val="auto"/>
        </w:rPr>
        <w:t>Option Grants Table. The following Option Grants Table sets forth certain information as of February 2, 2002, regarding stock options granted during fiscal 2002 by the Company to the Named Executive Officers.</w:t>
      </w:r>
    </w:p>
    <w:p>
      <w:pPr>
        <w:spacing w:after="0" w:line="163"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06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Individual Grants</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49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Percent of</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24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Number of</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Total Options</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Shares of Common Stock</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Granted</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Exercise</w:t>
            </w:r>
          </w:p>
        </w:tc>
      </w:tr>
      <w:tr>
        <w:trPr>
          <w:trHeight w:val="166"/>
        </w:trPr>
        <w:tc>
          <w:tcPr>
            <w:tcW w:w="1940" w:type="dxa"/>
            <w:vAlign w:val="bottom"/>
          </w:tcPr>
          <w:p>
            <w:pPr>
              <w:spacing w:after="0"/>
              <w:rPr>
                <w:sz w:val="14"/>
                <w:szCs w:val="14"/>
                <w:color w:val="auto"/>
              </w:rPr>
            </w:pPr>
          </w:p>
        </w:tc>
        <w:tc>
          <w:tcPr>
            <w:tcW w:w="2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Underlying</w:t>
            </w:r>
          </w:p>
        </w:tc>
        <w:tc>
          <w:tcPr>
            <w:tcW w:w="1640" w:type="dxa"/>
            <w:vAlign w:val="bottom"/>
          </w:tcPr>
          <w:p>
            <w:pPr>
              <w:ind w:left="120"/>
              <w:spacing w:after="0"/>
              <w:rPr>
                <w:sz w:val="20"/>
                <w:szCs w:val="20"/>
                <w:color w:val="auto"/>
              </w:rPr>
            </w:pPr>
            <w:r>
              <w:rPr>
                <w:rFonts w:ascii="Courier New" w:cs="Courier New" w:eastAsia="Courier New" w:hAnsi="Courier New"/>
                <w:sz w:val="14"/>
                <w:szCs w:val="14"/>
                <w:color w:val="auto"/>
              </w:rPr>
              <w:t>to Employees in</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Price Per</w:t>
            </w:r>
          </w:p>
        </w:tc>
      </w:tr>
      <w:tr>
        <w:trPr>
          <w:trHeight w:val="166"/>
        </w:trPr>
        <w:tc>
          <w:tcPr>
            <w:tcW w:w="1940" w:type="dxa"/>
            <w:vAlign w:val="bottom"/>
          </w:tcPr>
          <w:p>
            <w:pPr>
              <w:spacing w:after="0"/>
              <w:rPr>
                <w:sz w:val="14"/>
                <w:szCs w:val="14"/>
                <w:color w:val="auto"/>
              </w:rPr>
            </w:pPr>
          </w:p>
        </w:tc>
        <w:tc>
          <w:tcPr>
            <w:tcW w:w="24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Options Granted</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Fiscal Year</w:t>
            </w:r>
          </w:p>
        </w:tc>
        <w:tc>
          <w:tcPr>
            <w:tcW w:w="30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Share</w:t>
            </w:r>
          </w:p>
        </w:tc>
      </w:tr>
      <w:tr>
        <w:trPr>
          <w:trHeight w:val="166"/>
        </w:trPr>
        <w:tc>
          <w:tcPr>
            <w:tcW w:w="1940" w:type="dxa"/>
            <w:vAlign w:val="bottom"/>
          </w:tcPr>
          <w:p>
            <w:pPr>
              <w:spacing w:after="0"/>
              <w:rPr>
                <w:sz w:val="14"/>
                <w:szCs w:val="14"/>
                <w:color w:val="auto"/>
              </w:rPr>
            </w:pPr>
          </w:p>
        </w:tc>
        <w:tc>
          <w:tcPr>
            <w:tcW w:w="24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Seymour Holtzman</w:t>
            </w:r>
          </w:p>
        </w:tc>
        <w:tc>
          <w:tcPr>
            <w:tcW w:w="2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300,000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3.88</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David A. Levin</w:t>
            </w:r>
          </w:p>
        </w:tc>
        <w:tc>
          <w:tcPr>
            <w:tcW w:w="2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125,000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3.88</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Dennis R. Hernreich</w:t>
            </w:r>
          </w:p>
        </w:tc>
        <w:tc>
          <w:tcPr>
            <w:tcW w:w="2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100,000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3.88</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Ronald N. Batts</w:t>
            </w:r>
          </w:p>
        </w:tc>
        <w:tc>
          <w:tcPr>
            <w:tcW w:w="2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50,000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0" w:hanging="512"/>
        <w:spacing w:after="0" w:line="251" w:lineRule="auto"/>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shown on these columns represent hypothetical gains that could be achieved for the options if exercised at the end of the option term. These gains are based on assumed rates of stock appreciation (based on a market value on the date of the grant) of 5% and 10% compounded annually from the date the options were granted to their expiration date. The gains shown are net of the option exercise price, but do not include deductions for taxes or other expenses associated with the exercise. Actual gains, if any, on stock option exercises will depend on the future performance of the Common Stock and the date on which the options are exercised.</w:t>
      </w:r>
    </w:p>
    <w:p>
      <w:pPr>
        <w:spacing w:after="0" w:line="329"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Potential Realizable</w:t>
            </w:r>
          </w:p>
        </w:tc>
      </w:tr>
      <w:tr>
        <w:trPr>
          <w:trHeight w:val="166"/>
        </w:trPr>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Value of</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Assumed</w:t>
            </w:r>
          </w:p>
        </w:tc>
      </w:tr>
      <w:tr>
        <w:trPr>
          <w:trHeight w:val="166"/>
        </w:trPr>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ind w:left="340"/>
              <w:spacing w:after="0"/>
              <w:rPr>
                <w:sz w:val="20"/>
                <w:szCs w:val="20"/>
                <w:color w:val="auto"/>
              </w:rPr>
            </w:pPr>
            <w:r>
              <w:rPr>
                <w:rFonts w:ascii="Courier New" w:cs="Courier New" w:eastAsia="Courier New" w:hAnsi="Courier New"/>
                <w:sz w:val="14"/>
                <w:szCs w:val="14"/>
                <w:color w:val="auto"/>
              </w:rPr>
              <w:t>Annual</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Rates of</w:t>
            </w:r>
          </w:p>
        </w:tc>
      </w:tr>
      <w:tr>
        <w:trPr>
          <w:trHeight w:val="166"/>
        </w:trPr>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340"/>
              <w:spacing w:after="0"/>
              <w:rPr>
                <w:sz w:val="20"/>
                <w:szCs w:val="20"/>
                <w:color w:val="auto"/>
              </w:rPr>
            </w:pPr>
            <w:r>
              <w:rPr>
                <w:rFonts w:ascii="Courier New" w:cs="Courier New" w:eastAsia="Courier New" w:hAnsi="Courier New"/>
                <w:sz w:val="14"/>
                <w:szCs w:val="14"/>
                <w:color w:val="auto"/>
                <w:w w:val="99"/>
              </w:rPr>
              <w:t>Stock Price</w:t>
            </w:r>
          </w:p>
        </w:tc>
        <w:tc>
          <w:tcPr>
            <w:tcW w:w="620" w:type="dxa"/>
            <w:vAlign w:val="bottom"/>
          </w:tcPr>
          <w:p>
            <w:pPr>
              <w:spacing w:after="0"/>
              <w:rPr>
                <w:sz w:val="14"/>
                <w:szCs w:val="14"/>
                <w:color w:val="auto"/>
              </w:rPr>
            </w:pPr>
          </w:p>
        </w:tc>
      </w:tr>
      <w:tr>
        <w:trPr>
          <w:trHeight w:val="166"/>
        </w:trPr>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Appreciation</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for</w:t>
            </w:r>
          </w:p>
        </w:tc>
      </w:tr>
      <w:tr>
        <w:trPr>
          <w:trHeight w:val="166"/>
        </w:trPr>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Option Term</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w:t>
            </w:r>
          </w:p>
        </w:tc>
      </w:tr>
      <w:tr>
        <w:trPr>
          <w:trHeight w:val="166"/>
        </w:trPr>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Expiration</w:t>
            </w:r>
          </w:p>
        </w:tc>
        <w:tc>
          <w:tcPr>
            <w:tcW w:w="300" w:type="dxa"/>
            <w:vAlign w:val="bottom"/>
          </w:tcPr>
          <w:p>
            <w:pPr>
              <w:spacing w:after="0"/>
              <w:rPr>
                <w:sz w:val="14"/>
                <w:szCs w:val="14"/>
                <w:color w:val="auto"/>
              </w:rPr>
            </w:pPr>
          </w:p>
        </w:tc>
        <w:tc>
          <w:tcPr>
            <w:tcW w:w="190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Date</w:t>
            </w:r>
          </w:p>
        </w:tc>
        <w:tc>
          <w:tcPr>
            <w:tcW w:w="30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5%</w:t>
            </w:r>
          </w:p>
        </w:tc>
        <w:tc>
          <w:tcPr>
            <w:tcW w:w="380" w:type="dxa"/>
            <w:vAlign w:val="bottom"/>
          </w:tcPr>
          <w:p>
            <w:pPr>
              <w:spacing w:after="0"/>
              <w:rPr>
                <w:sz w:val="14"/>
                <w:szCs w:val="14"/>
                <w:color w:val="auto"/>
              </w:rPr>
            </w:pP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10%</w:t>
            </w:r>
          </w:p>
        </w:tc>
      </w:tr>
      <w:tr>
        <w:trPr>
          <w:trHeight w:val="166"/>
        </w:trPr>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5/25/11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732,033</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$ 1,855,116</w:t>
            </w:r>
          </w:p>
        </w:tc>
      </w:tr>
      <w:tr>
        <w:trPr>
          <w:trHeight w:val="331"/>
        </w:trPr>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5/25/11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305,014</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772,965</w:t>
            </w:r>
          </w:p>
        </w:tc>
      </w:tr>
      <w:tr>
        <w:trPr>
          <w:trHeight w:val="331"/>
        </w:trPr>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5/25/11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244,011</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618,372</w:t>
            </w:r>
          </w:p>
        </w:tc>
      </w:tr>
      <w:tr>
        <w:trPr>
          <w:trHeight w:val="331"/>
        </w:trPr>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10/22/11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86,473</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219,140</w:t>
            </w:r>
          </w:p>
        </w:tc>
      </w:tr>
    </w:tbl>
    <w:p>
      <w:pPr>
        <w:sectPr>
          <w:pgSz w:w="11900" w:h="16838" w:orient="portrait"/>
          <w:cols w:equalWidth="0" w:num="2">
            <w:col w:w="6900" w:space="260"/>
            <w:col w:w="3280"/>
          </w:cols>
          <w:pgMar w:left="220" w:top="616" w:right="1239" w:bottom="1440" w:gutter="0" w:footer="0" w:header="0"/>
        </w:sectPr>
      </w:pPr>
    </w:p>
    <w:bookmarkStart w:id="52" w:name="page53"/>
    <w:bookmarkEnd w:id="52"/>
    <w:p>
      <w:pPr>
        <w:ind w:right="3339"/>
        <w:spacing w:after="0" w:line="252" w:lineRule="auto"/>
        <w:rPr>
          <w:sz w:val="20"/>
          <w:szCs w:val="20"/>
          <w:color w:val="auto"/>
        </w:rPr>
      </w:pPr>
      <w:r>
        <w:rPr>
          <w:rFonts w:ascii="Courier New" w:cs="Courier New" w:eastAsia="Courier New" w:hAnsi="Courier New"/>
          <w:sz w:val="14"/>
          <w:szCs w:val="14"/>
          <w:color w:val="auto"/>
        </w:rPr>
        <w:t>Aggregate Option Exercises and Fiscal Year-End Option Value Table. The following table sets forth information for the Named Executive Officers with respect to the exercise of stock options during the fiscal year ended February 2, 2002 and the year-end value of unexercised options.</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Aggregated Option Exercises in Fiscal 2002 and Fiscal Year-End Option Values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Number and Value of Securities</w:t>
      </w:r>
    </w:p>
    <w:p>
      <w:pPr>
        <w:spacing w:after="0" w:line="200" w:lineRule="exact"/>
        <w:rPr>
          <w:sz w:val="20"/>
          <w:szCs w:val="20"/>
          <w:color w:val="auto"/>
        </w:rPr>
      </w:pPr>
    </w:p>
    <w:p>
      <w:pPr>
        <w:spacing w:after="0" w:line="304"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Underlying Exercisable/</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Unexercisable Shares (1)</w:t>
      </w:r>
    </w:p>
    <w:p>
      <w:pPr>
        <w:spacing w:after="0" w:line="7" w:lineRule="exact"/>
        <w:rPr>
          <w:sz w:val="20"/>
          <w:szCs w:val="20"/>
          <w:color w:val="auto"/>
        </w:rPr>
      </w:pPr>
    </w:p>
    <w:p>
      <w:pPr>
        <w:ind w:left="2240"/>
        <w:spacing w:after="0"/>
        <w:tabs>
          <w:tab w:leader="none" w:pos="542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160"/>
        <w:spacing w:after="0"/>
        <w:tabs>
          <w:tab w:leader="none" w:pos="3860" w:val="left"/>
          <w:tab w:leader="none" w:pos="5420" w:val="left"/>
          <w:tab w:leader="none" w:pos="7400" w:val="left"/>
        </w:tabs>
        <w:rPr>
          <w:sz w:val="20"/>
          <w:szCs w:val="20"/>
          <w:color w:val="auto"/>
        </w:rPr>
      </w:pPr>
      <w:r>
        <w:rPr>
          <w:rFonts w:ascii="Courier New" w:cs="Courier New" w:eastAsia="Courier New" w:hAnsi="Courier New"/>
          <w:sz w:val="14"/>
          <w:szCs w:val="14"/>
          <w:color w:val="auto"/>
        </w:rPr>
        <w:t>Acquired on</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7" w:lineRule="exact"/>
        <w:rPr>
          <w:sz w:val="20"/>
          <w:szCs w:val="20"/>
          <w:color w:val="auto"/>
        </w:rPr>
      </w:pPr>
    </w:p>
    <w:p>
      <w:pPr>
        <w:spacing w:after="0"/>
        <w:tabs>
          <w:tab w:leader="none" w:pos="2060" w:val="left"/>
          <w:tab w:leader="none" w:pos="2920" w:val="left"/>
          <w:tab w:leader="none" w:pos="3520" w:val="left"/>
          <w:tab w:leader="none" w:pos="4980" w:val="left"/>
          <w:tab w:leader="none" w:pos="6100" w:val="left"/>
          <w:tab w:leader="none" w:pos="7140" w:val="left"/>
          <w:tab w:leader="none" w:pos="83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Exercise</w:t>
        <w:tab/>
        <w:t>(#)</w:t>
      </w:r>
      <w:r>
        <w:rPr>
          <w:sz w:val="20"/>
          <w:szCs w:val="20"/>
          <w:color w:val="auto"/>
        </w:rPr>
        <w:tab/>
      </w:r>
      <w:r>
        <w:rPr>
          <w:rFonts w:ascii="Courier New" w:cs="Courier New" w:eastAsia="Courier New" w:hAnsi="Courier New"/>
          <w:sz w:val="14"/>
          <w:szCs w:val="14"/>
          <w:color w:val="auto"/>
        </w:rPr>
        <w:t>Realized ($)</w:t>
      </w:r>
      <w:r>
        <w:rPr>
          <w:sz w:val="20"/>
          <w:szCs w:val="20"/>
          <w:color w:val="auto"/>
        </w:rPr>
        <w:tab/>
      </w:r>
      <w:r>
        <w:rPr>
          <w:rFonts w:ascii="Courier New" w:cs="Courier New" w:eastAsia="Courier New" w:hAnsi="Courier New"/>
          <w:sz w:val="14"/>
          <w:szCs w:val="14"/>
          <w:color w:val="auto"/>
        </w:rPr>
        <w:t># of Shares</w:t>
        <w:tab/>
        <w:t>Value</w:t>
      </w:r>
      <w:r>
        <w:rPr>
          <w:sz w:val="20"/>
          <w:szCs w:val="20"/>
          <w:color w:val="auto"/>
        </w:rPr>
        <w:tab/>
      </w:r>
      <w:r>
        <w:rPr>
          <w:rFonts w:ascii="Courier New" w:cs="Courier New" w:eastAsia="Courier New" w:hAnsi="Courier New"/>
          <w:sz w:val="14"/>
          <w:szCs w:val="14"/>
          <w:color w:val="auto"/>
        </w:rPr>
        <w:t># of shares</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Seymour Holtzman</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40,938</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315,000</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77,563</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David A. Levin</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281,250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325,000</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577,500</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Dennis R. Hernreich</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28,334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52,293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156,666</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16,582</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Ronald N. Batts</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50,000</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62,500</w:t>
            </w:r>
          </w:p>
        </w:tc>
      </w:tr>
    </w:tbl>
    <w:p>
      <w:pPr>
        <w:spacing w:after="0" w:line="335" w:lineRule="exact"/>
        <w:rPr>
          <w:sz w:val="20"/>
          <w:szCs w:val="20"/>
          <w:color w:val="auto"/>
        </w:rPr>
      </w:pPr>
    </w:p>
    <w:p>
      <w:pPr>
        <w:ind w:right="3859" w:firstLine="8"/>
        <w:spacing w:after="0" w:line="255" w:lineRule="auto"/>
        <w:tabs>
          <w:tab w:leader="none" w:pos="344"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are based on the difference between the closing price of the Company's Common Stock on February 1, 2002 ($4.00) and the exercise price.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 January 27, 1993, the Board of Directors adopted the 401(k) Plan. All eligible employees of the Company are entitled to participate in such plan. The 401(k) Plan permits each participant to defer up to fifteen percent of such participant's annual salary up to a maximum annual amount ($11,000 in calendar year 2002 and $10,500 in calendar years 2001 and 2000). The Board of Directors of the Company may determine, from fiscal year to fiscal year, whether and to what extent the Company will contribute to the 401(k) Plan by matching contributions made to such plan by eligible employees. During fiscal 2002, the matching contribution by the Company continued to be 50% of contributions by eligible employees up to a maximum of six percent of salary.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 Man Insurance</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fiscal 2001, the Company obtained a key man life insurance policy in the amount of $2,000,000 on the life of Mr. Levin. In fiscal 2002, the Company obtained a key man life insurance policy in the amount of $2,000,000 on the life of Mr. Hernreich.</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entered into an employment agreement, effective as of March 31, 2000, with David A. Levin for a two-year term ending April 10, 2002. Mr. Levin's agreement was extended on April 10, 2001 by unanimous consent of the Board of Directors for an additional two- year term to end on April 10, 2004.</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As of September 4, 2000, the Company entered into an employment agreement with Dennis R. Hernreich for a one-year term ending September 1, 2001. Mr. Hernreich's agreement was also extended as of April 25, 2001 by the unanimous consent of the Board of Directors for an additional one-year term to end on September 4, 2002.</w:t>
      </w:r>
    </w:p>
    <w:p>
      <w:pPr>
        <w:spacing w:after="0" w:line="165"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As of October 22, 2001, the Company entered into an employment agreement with Ronald N. Batts for a one-year term ending October 22, 2002.</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All three of these employment agreements with Messrs. Levin, Hernreich and Batts (collectively, the "Employment Agreements") automatically renew for successive one-year terms unless either party notifies the other to the contrary at least 90 days, or 60 days in the case of Mr. Batts, prior to expiration of the then current term.</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16" w:right="1440" w:bottom="1440" w:gutter="0" w:footer="0" w:header="0"/>
        </w:sectPr>
      </w:pPr>
    </w:p>
    <w:bookmarkStart w:id="53" w:name="page54"/>
    <w:bookmarkEnd w:id="53"/>
    <w:p>
      <w:pPr>
        <w:ind w:right="3339"/>
        <w:spacing w:after="0" w:line="250" w:lineRule="auto"/>
        <w:rPr>
          <w:sz w:val="20"/>
          <w:szCs w:val="20"/>
          <w:color w:val="auto"/>
        </w:rPr>
      </w:pPr>
      <w:r>
        <w:rPr>
          <w:rFonts w:ascii="Courier New" w:cs="Courier New" w:eastAsia="Courier New" w:hAnsi="Courier New"/>
          <w:sz w:val="14"/>
          <w:szCs w:val="14"/>
          <w:color w:val="auto"/>
        </w:rPr>
        <w:t>The Employment Agreements require each executive officer to devote substantially all of the executive officer's time and attention to the business of the Company as necessary to fulfill his respective duties. Pursuant to the Employment Agreements, Messrs. Levin, Hernreich and Batts will be paid a base salary at an annual rate of $375,000, $225,000 and $240,000, respectively. The Employment Agreements with Messrs. Hernreich and Batts also contain a guaranteed discretionary prepayment of bonus in the annual amount of $15,000 and $24,000, respectively. The Employment Agreements provide that the annual rate of base salary for the renewal term may be increased by the Compensation Committee of the Board of Directors in its sole discretion. The Employment Agreements also provide for the payment of bonuses in such amounts as may be determined by the Compensation Committee. While Messrs. Levin, Hernreich and Batts are employed by the Company, the Company will provide each executive an automobile allowance in the amount of $600 per month. Each executive is entitled to vacation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17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Employment Agreements for Messrs. Hernreich and Batts also provide for compensation to relocate to the Boston area. In accordance with their agreements, Messrs. Hernreich and Batts are entitled to receive a total amount of $85,000 for moving costs associated with their relocation to Boston. Mr. Hernreich received $85,000 less applicable taxes in fiscal 2001. In addition, Messrs. Hernreich and Batts are entitled to receive reimbursement for reasonable expenses associated with their temporary living arrangements.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Mr. Levin is entitled to receive an annual bonus of up to 50%, Mr. Hernreich is entitled to receive an annual bonus of up to 45%, and Mr. Batts is entitled to receive an annual bonus of up to 40% of their respective annual base salaries depending on the performance of the Company. The Compensation Committee of the Board of Directors shall determine, in its sole discretion, the amount of bonus to be paid to the executive officers. Mr. Levin is entitled to receive an annual bonus of 10% if the Company meets its annual projections for its fiscal budget plan, as approved by the Board of Directors. Any bonus paid to Messrs. Hernreich and Batts will first be reduced by the amount of the prepaid discretionary bonuses discussed above. No bonuses were paid, above the $15,000 paid to Mr. Hernreich and the $6,000 paid to Mr. Batts, in fiscal 2002.</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January 31, 2002, the Compensation Committee increased Messrs. Levin's and Hernreich's base salary to $430,000 and $280,000, respectively. Under the new terms, Mr. Hernreich's guaranteed discretionary prepayment of bonus is eliminated going forward. Messrs. Levin and Hernreich also received bonuses for fiscal 2002 of $70,000 and $45,000, respectively. These bonuses were paid in fiscal 2003; however, Mr. Hernreich's paid bonus was $30,000 which reflected the $15,000 prepayment paid in fiscal 2002.</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Employment Agreements provide that in the event the executive officer's employment is terminated by the Company at any time for any reason other than "justifiable cause" (as defined in the Employment Agreements), disability or death, the Company is required to pay executive the lesser of (1) the base salary for the remaining term of the related Employment Agreement or (2) an amount equal to one half of the executive's annual salary. If the remaining term of the related Employment Agreement on the date of termination is more than six months, the executive must make a good faith effort to find new employment and mitigate damages, costs and expenses to the Company. If he is terminated without justifiable cause within one year after a Change of Control of the Company (as defined in the Employment Agreements) has occurred, the executive shall receive a lump sum payment in the amount of (1) the base salary for the remaining term of the related Employment Agreement or (2) an amount equal to the current base salary for one year. The Employment Agreements contain confidentiality provisions pursuant to which each executive agrees not to disclose confidential information regarding the Company. The Employment Agreements also contain covenants pursuant to which each executive agrees, during the term of his employment and for a one-year period following the termination of his employment, not to have any connection with any business which competes with the business of the Company.</w:t>
      </w:r>
    </w:p>
    <w:p>
      <w:pPr>
        <w:spacing w:after="0" w:line="200" w:lineRule="exact"/>
        <w:rPr>
          <w:sz w:val="20"/>
          <w:szCs w:val="20"/>
          <w:color w:val="auto"/>
        </w:rPr>
      </w:pPr>
    </w:p>
    <w:p>
      <w:pPr>
        <w:spacing w:after="0" w:line="30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16" w:right="1440" w:bottom="1440" w:gutter="0" w:footer="0" w:header="0"/>
        </w:sectPr>
      </w:pPr>
    </w:p>
    <w:bookmarkStart w:id="54" w:name="page55"/>
    <w:bookmarkEnd w:id="54"/>
    <w:p>
      <w:pPr>
        <w:ind w:right="3339"/>
        <w:spacing w:after="0" w:line="250" w:lineRule="auto"/>
        <w:rPr>
          <w:sz w:val="20"/>
          <w:szCs w:val="20"/>
          <w:color w:val="auto"/>
        </w:rPr>
      </w:pPr>
      <w:r>
        <w:rPr>
          <w:rFonts w:ascii="Courier New" w:cs="Courier New" w:eastAsia="Courier New" w:hAnsi="Courier New"/>
          <w:sz w:val="14"/>
          <w:szCs w:val="14"/>
          <w:color w:val="auto"/>
        </w:rPr>
        <w:t>For purposes of the Employment Agreements, a "Change in Control of the Company" shall mean (i) any sale of all or substantially all of the assets of the Company to any person or group of related persons within the meaning of Section 13(d) of the Exchange Act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were previously so approved).</w:t>
      </w:r>
    </w:p>
    <w:p>
      <w:pPr>
        <w:spacing w:after="0" w:line="17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May 25, 2001, the Board of Directors hired Seymour Holtzman, who had served as the Company's non-employee Chairman of the Board, as an executive officer and employee of the Company. In connection with his hiring, the Board awarded Mr. Holtzman an option to purchase an aggregate of 300,000 shares of the Company's Common Stock at $3.88 per share, equal to the closing price of the Common Stock on that date. The option vests at a rate of 100,000 shares per year over three years and expires ten years from date of grant. The option represents the principal portion of Mr. Holtzman's compensation as an employee of the Company. Except for payment to Mr. Holtzman of $3,000 for his non-employee director fees, which were received prior to May 25, 2001, Mr. Holtzman received $18,616 in compensation during fiscal 2002.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Compensation</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During fiscal 2002, non-employee directors of the Company were paid $3,000 plus expenses for each meeting of the Board of Directors in which they participated. During fiscal 2001, non-employee directors of the Company were paid, in addition to reimbursement of expenses, for meetings of committees of the Board in which they participated as follows: $3,000 for each Compensation Committee meeting; $1,500 for each Audit Committee meeting; and $1,500 for each Corporate Governance Committee meeting. During fiscal 2002, non-employee directors of the Company were also eligible to participate in the Company's 1992 Stock Incentive Plan, as amended (the "1992 Stock Incentive Plan"). Prior to January 20, 2000, under the provisions of the 1992 Stock Incentive Plan, each non-employee director of the Company who was elected by the stockholders to the Board would automatically be granted, upon such election, a stock option to purchase 10,000 shares of Common Stock at the fair market value of Common Stock on the date of grant. Each non-employee director of the Company who was re-elected by the stockholders to the Board would be granted, upon such re-election, a stock option to purchase 3,000 shares of Common Stock at the then fair market value of Common Stock. On January 20, 2000, the Board of Directors amended the plan to provide for the grant to each non-employee director of the Company a stock option to purchase 15,000 shares of Common Stock upon such director's election and a stock option to purchase 15,000 shares of Common Stock upon such director's re-election. On June 26, 2001, the plan was further amended by the Board of Directors to provide that each of such stock options would become exercisable in three equal annual installments commencing with the date of grant. All options are granted with a term of ten years .</w:t>
      </w:r>
    </w:p>
    <w:p>
      <w:pPr>
        <w:spacing w:after="0" w:line="176"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1992 Stock Incentive Plan also provides that non-employee directors of the Company may elect to receive all or a portion of their directors' fees, on a current or deferred basis, in shares of Common Stock that are free of any restrictions under the 1992 Stock Incentive Plan by entering into an irrevocable agreement with the Company in advance of the beginning of a calendar year. During fiscal 2002, all non-employee directors elected to receive their directors' fees in Common Stock.</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16"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Persons serving on the Compensation Committee had no relationships with the Company in fiscal 2002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such entity's board of directors or compensation committee.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16" w:right="1440" w:bottom="1440" w:gutter="0" w:footer="0" w:header="0"/>
        </w:sectPr>
      </w:pPr>
    </w:p>
    <w:bookmarkStart w:id="56" w:name="page57"/>
    <w:bookmarkEnd w:id="56"/>
    <w:p>
      <w:pPr>
        <w:ind w:left="2240"/>
        <w:spacing w:after="0"/>
        <w:rPr>
          <w:sz w:val="20"/>
          <w:szCs w:val="20"/>
          <w:color w:val="auto"/>
        </w:rPr>
      </w:pPr>
      <w:r>
        <w:rPr>
          <w:rFonts w:ascii="Courier New" w:cs="Courier New" w:eastAsia="Courier New" w:hAnsi="Courier New"/>
          <w:sz w:val="14"/>
          <w:szCs w:val="14"/>
          <w:color w:val="auto"/>
        </w:rPr>
        <w:t>COMPENSATION COMMITTEE REPORT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Decisions concerning the compensation of the Company's executive officers generally are made by the two-member Compensation Committee of the Board of Directors. Each member of the Compensation Committee is a non-employee director of the Company. This Compensation Committee Report summarizes the Company's executive officer compensation practices and policies for fiscal year 2002. The Compensation Committee consists of two members, Joseph Pennacchio and Jesse Choper.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Policies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compensation policies are designed to link executive officer compensation to the annual and long-term performance of the Company and to provide industry-competitive compensation for such officers. The Company's executive officer compensation consists of two key components: (1) an annual component, consisting of annual base salary and annual incentive bonus, if any, and (2) a long-term component consisting of the grant of stock options.</w:t>
      </w:r>
    </w:p>
    <w:p>
      <w:pPr>
        <w:spacing w:after="0" w:line="16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policies with respect to each of these elements, as well as the bases for determining the compensation of the Company's executives, are described below.</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Annual Component: Base Salary and Annual Incentive Bonus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Compensation Committee reviews all base salaries for executive officers and establishes them by reviewing the performance of each executive officer, evaluating the responsibilities of each executive officer's position and comparing the executive officers' salaries with salaries of executive officers of other companies in the specialty retail apparel industry (the "Industry"). The Compensation Committee defines the Industry as public companies in the specialty retail apparel business with similar sales and market capitalization. Annual base salary adjustments are influenced by the Company's performance in the previous fiscal year and the individual's contribution to that performance, the individual's performance, promotions of the individual that may have occurred during the fiscal year, and any increases in the individual's level of responsibility (which is measured by various factors including, but not limited to, the number of departments and employees for which the executive officer is responsible). Under the Company's employment agreements with Messrs. Levin, Hernreich and Batts, compensation for such executive officers had a base salary element and annual cost of living increases for fiscal 2002. As discussed previously, on January 31, 2002, the Compensation Committee increased the base salaries of Messrs. Levin and Hernreich.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Long-Term Component: Stock Options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 align executive officers' interests more closely with the interests of the stockholders of the Company, the Company's long-term compensation program emphasizes the grant of stock options exercisable for shares of Common Stock. The amount of such awards is determined one or more times in each fiscal year by the Compensation Committee. Stock options normally are granted to executive officers in amounts based largely upon the size of stock-based awards of other companies in the Industry for comparable positions as well as the availability of shares of Common Stock under the 1992 Stock Incentive Plan. The Compensation Committee may take into account other factors in determining the size of stock option grants, including, but not limited to, the need to attract and retain individuals the Compensation Committee perceives to be valuable to the Company.</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addition to the foregoing, executive officers receive benefits under certain group health, long-term disability and life insurance plans, which are generally available to the Company's eligible employees. After one year of service with the Company, the executive officers are eligible to participate in the 401(k) Plan. Benefits under these plans are not tied to corporate performance.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16" w:right="1440" w:bottom="1440" w:gutter="0" w:footer="0" w:header="0"/>
        </w:sectPr>
      </w:pPr>
    </w:p>
    <w:bookmarkStart w:id="57" w:name="page58"/>
    <w:bookmarkEnd w:id="57"/>
    <w:p>
      <w:pPr>
        <w:ind w:right="3339"/>
        <w:spacing w:after="0" w:line="251" w:lineRule="auto"/>
        <w:rPr>
          <w:sz w:val="20"/>
          <w:szCs w:val="20"/>
          <w:color w:val="auto"/>
        </w:rPr>
      </w:pPr>
      <w:r>
        <w:rPr>
          <w:rFonts w:ascii="Courier New" w:cs="Courier New" w:eastAsia="Courier New" w:hAnsi="Courier New"/>
          <w:sz w:val="14"/>
          <w:szCs w:val="14"/>
          <w:color w:val="auto"/>
        </w:rPr>
        <w:t>The Securities and Exchange Commission requires that this Compensation Committee Report comment upon the 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 to Section 162(m) is to make every reasonable effort to cause compensation to be deductible by the Company while simultaneously providing executive officers of the Company with appropriate rewards for their performance.</w:t>
      </w:r>
    </w:p>
    <w:p>
      <w:pPr>
        <w:spacing w:after="0" w:line="329"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THE COMPENSATION COMMITTEE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Joseph Pennacchio</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Jesse Choper</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16" w:right="1440" w:bottom="1440" w:gutter="0" w:footer="0" w:header="0"/>
        </w:sectPr>
      </w:pPr>
    </w:p>
    <w:bookmarkStart w:id="58" w:name="page59"/>
    <w:bookmarkEnd w:id="58"/>
    <w:p>
      <w:pPr>
        <w:ind w:left="2760"/>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following Performance Graph compares the Company's cumulative stockholder return with that of a broad market index (Standard &amp; Poor's Industrials Index) and one published industry index (Standard &amp; Poor's 500 - Composite Retail Index) for each of the most recent five years ended January 31. The cumulative stockholder return for shares of the Company's Common Stock and each of the indices is calculated assuming that $100 was invested on January 31, 1997. The Company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the Company's Common Stock, the S &amp; P Industrial and Composite Retail 500.</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6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[GRAPHIC OMITTED]</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2160" w:type="dxa"/>
            <w:vAlign w:val="bottom"/>
          </w:tcPr>
          <w:p>
            <w:pPr>
              <w:spacing w:after="0"/>
              <w:rPr>
                <w:sz w:val="24"/>
                <w:szCs w:val="24"/>
                <w:color w:val="auto"/>
              </w:rPr>
            </w:pPr>
          </w:p>
        </w:tc>
        <w:tc>
          <w:tcPr>
            <w:tcW w:w="26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Annual Return Percentage</w:t>
            </w: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160" w:type="dxa"/>
            <w:vAlign w:val="bottom"/>
          </w:tcPr>
          <w:p>
            <w:pPr>
              <w:spacing w:after="0"/>
              <w:rPr>
                <w:sz w:val="14"/>
                <w:szCs w:val="14"/>
                <w:color w:val="auto"/>
              </w:rPr>
            </w:pPr>
          </w:p>
        </w:tc>
        <w:tc>
          <w:tcPr>
            <w:tcW w:w="26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Years Ending</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2160" w:type="dxa"/>
            <w:vAlign w:val="bottom"/>
          </w:tcPr>
          <w:p>
            <w:pPr>
              <w:spacing w:after="0"/>
              <w:rPr>
                <w:sz w:val="20"/>
                <w:szCs w:val="20"/>
                <w:color w:val="auto"/>
              </w:rPr>
            </w:pPr>
            <w:r>
              <w:rPr>
                <w:rFonts w:ascii="Courier New" w:cs="Courier New" w:eastAsia="Courier New" w:hAnsi="Courier New"/>
                <w:sz w:val="14"/>
                <w:szCs w:val="14"/>
                <w:color w:val="auto"/>
              </w:rPr>
              <w:t>Company/Index</w:t>
            </w:r>
          </w:p>
        </w:tc>
        <w:tc>
          <w:tcPr>
            <w:tcW w:w="1420" w:type="dxa"/>
            <w:vAlign w:val="bottom"/>
          </w:tcPr>
          <w:p>
            <w:pPr>
              <w:spacing w:after="0"/>
              <w:rPr>
                <w:sz w:val="24"/>
                <w:szCs w:val="24"/>
                <w:color w:val="auto"/>
              </w:rPr>
            </w:pP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Jan 98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Jan 99</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Jan 00</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Jan 01</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Jan 02</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DESIGNS, INC.</w:t>
            </w:r>
          </w:p>
        </w:tc>
        <w:tc>
          <w:tcPr>
            <w:tcW w:w="1420" w:type="dxa"/>
            <w:vAlign w:val="bottom"/>
          </w:tcPr>
          <w:p>
            <w:pPr>
              <w:spacing w:after="0"/>
              <w:rPr>
                <w:sz w:val="24"/>
                <w:szCs w:val="2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(63.54)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(46.67)</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50.00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77.78</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S&amp;P INDUSTRIALS</w:t>
            </w:r>
          </w:p>
        </w:tc>
        <w:tc>
          <w:tcPr>
            <w:tcW w:w="142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23.80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32.14</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16.12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(18.56)</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COMPOSITE RETAIL- 500</w:t>
            </w:r>
          </w:p>
        </w:tc>
        <w:tc>
          <w:tcPr>
            <w:tcW w:w="142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46.73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62.73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4.13</w:t>
            </w:r>
          </w:p>
        </w:tc>
      </w:tr>
      <w:tr>
        <w:trPr>
          <w:trHeight w:val="497"/>
        </w:trPr>
        <w:tc>
          <w:tcPr>
            <w:tcW w:w="2160" w:type="dxa"/>
            <w:vAlign w:val="bottom"/>
          </w:tcPr>
          <w:p>
            <w:pPr>
              <w:spacing w:after="0"/>
              <w:rPr>
                <w:sz w:val="24"/>
                <w:szCs w:val="24"/>
                <w:color w:val="auto"/>
              </w:rPr>
            </w:pPr>
          </w:p>
        </w:tc>
        <w:tc>
          <w:tcPr>
            <w:tcW w:w="26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Indexed Returns</w:t>
            </w: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97"/>
        </w:trPr>
        <w:tc>
          <w:tcPr>
            <w:tcW w:w="2160" w:type="dxa"/>
            <w:vAlign w:val="bottom"/>
          </w:tcPr>
          <w:p>
            <w:pPr>
              <w:spacing w:after="0"/>
              <w:rPr>
                <w:sz w:val="24"/>
                <w:szCs w:val="24"/>
                <w:color w:val="auto"/>
              </w:rPr>
            </w:pPr>
          </w:p>
        </w:tc>
        <w:tc>
          <w:tcPr>
            <w:tcW w:w="2620" w:type="dxa"/>
            <w:vAlign w:val="bottom"/>
            <w:gridSpan w:val="2"/>
          </w:tcPr>
          <w:p>
            <w:pPr>
              <w:jc w:val="center"/>
              <w:ind w:right="388"/>
              <w:spacing w:after="0"/>
              <w:rPr>
                <w:sz w:val="20"/>
                <w:szCs w:val="20"/>
                <w:color w:val="auto"/>
              </w:rPr>
            </w:pPr>
            <w:r>
              <w:rPr>
                <w:rFonts w:ascii="Courier New" w:cs="Courier New" w:eastAsia="Courier New" w:hAnsi="Courier New"/>
                <w:sz w:val="14"/>
                <w:szCs w:val="14"/>
                <w:color w:val="auto"/>
              </w:rPr>
              <w:t>Base Period</w:t>
            </w: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Company/Index</w:t>
            </w:r>
          </w:p>
        </w:tc>
        <w:tc>
          <w:tcPr>
            <w:tcW w:w="1420" w:type="dxa"/>
            <w:vAlign w:val="bottom"/>
          </w:tcPr>
          <w:p>
            <w:pPr>
              <w:ind w:left="780"/>
              <w:spacing w:after="0"/>
              <w:rPr>
                <w:sz w:val="20"/>
                <w:szCs w:val="20"/>
                <w:color w:val="auto"/>
              </w:rPr>
            </w:pPr>
            <w:r>
              <w:rPr>
                <w:rFonts w:ascii="Courier New" w:cs="Courier New" w:eastAsia="Courier New" w:hAnsi="Courier New"/>
                <w:sz w:val="14"/>
                <w:szCs w:val="14"/>
                <w:color w:val="auto"/>
              </w:rPr>
              <w:t>Jan 97</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Jan 98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Jan 99</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Jan 00</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Jan 01</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Jan 02</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DESIGNS, INC.</w:t>
            </w:r>
          </w:p>
        </w:tc>
        <w:tc>
          <w:tcPr>
            <w:tcW w:w="1420" w:type="dxa"/>
            <w:vAlign w:val="bottom"/>
          </w:tcPr>
          <w:p>
            <w:pPr>
              <w:jc w:val="center"/>
              <w:ind w:left="648"/>
              <w:spacing w:after="0"/>
              <w:rPr>
                <w:sz w:val="20"/>
                <w:szCs w:val="20"/>
                <w:color w:val="auto"/>
              </w:rPr>
            </w:pPr>
            <w:r>
              <w:rPr>
                <w:rFonts w:ascii="Courier New" w:cs="Courier New" w:eastAsia="Courier New" w:hAnsi="Courier New"/>
                <w:sz w:val="14"/>
                <w:szCs w:val="14"/>
                <w:color w:val="auto"/>
              </w:rPr>
              <w:t>100</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36.46</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46.88</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25.00</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37.50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66.67</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S&amp;P INDUSTRIALS</w:t>
            </w:r>
          </w:p>
        </w:tc>
        <w:tc>
          <w:tcPr>
            <w:tcW w:w="1420" w:type="dxa"/>
            <w:vAlign w:val="bottom"/>
          </w:tcPr>
          <w:p>
            <w:pPr>
              <w:jc w:val="center"/>
              <w:ind w:left="648"/>
              <w:spacing w:after="0"/>
              <w:rPr>
                <w:sz w:val="20"/>
                <w:szCs w:val="20"/>
                <w:color w:val="auto"/>
              </w:rPr>
            </w:pPr>
            <w:r>
              <w:rPr>
                <w:rFonts w:ascii="Courier New" w:cs="Courier New" w:eastAsia="Courier New" w:hAnsi="Courier New"/>
                <w:sz w:val="14"/>
                <w:szCs w:val="14"/>
                <w:color w:val="auto"/>
              </w:rPr>
              <w:t>100</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123.80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163.59</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189.96</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173.86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141.59</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COMPOSITE RETAIL - 500</w:t>
            </w:r>
          </w:p>
        </w:tc>
        <w:tc>
          <w:tcPr>
            <w:tcW w:w="1420" w:type="dxa"/>
            <w:vAlign w:val="bottom"/>
          </w:tcPr>
          <w:p>
            <w:pPr>
              <w:jc w:val="center"/>
              <w:ind w:left="648"/>
              <w:spacing w:after="0"/>
              <w:rPr>
                <w:sz w:val="20"/>
                <w:szCs w:val="20"/>
                <w:color w:val="auto"/>
              </w:rPr>
            </w:pPr>
            <w:r>
              <w:rPr>
                <w:rFonts w:ascii="Courier New" w:cs="Courier New" w:eastAsia="Courier New" w:hAnsi="Courier New"/>
                <w:sz w:val="14"/>
                <w:szCs w:val="14"/>
                <w:color w:val="auto"/>
              </w:rPr>
              <w:t>100</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146.73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238.78</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234.85</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242.97</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253.01</w:t>
            </w:r>
          </w:p>
        </w:tc>
      </w:tr>
      <w:tr>
        <w:trPr>
          <w:trHeight w:val="663"/>
        </w:trPr>
        <w:tc>
          <w:tcPr>
            <w:tcW w:w="2160" w:type="dxa"/>
            <w:vAlign w:val="bottom"/>
          </w:tcPr>
          <w:p>
            <w:pPr>
              <w:spacing w:after="0"/>
              <w:rPr>
                <w:sz w:val="24"/>
                <w:szCs w:val="24"/>
                <w:color w:val="auto"/>
              </w:rPr>
            </w:pPr>
          </w:p>
        </w:tc>
        <w:tc>
          <w:tcPr>
            <w:tcW w:w="142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58</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59" w:name="page60"/>
    <w:bookmarkEnd w:id="59"/>
    <w:p>
      <w:pPr>
        <w:ind w:right="3519"/>
        <w:spacing w:after="0" w:line="251" w:lineRule="auto"/>
        <w:rPr>
          <w:sz w:val="20"/>
          <w:szCs w:val="20"/>
          <w:color w:val="auto"/>
        </w:rPr>
      </w:pPr>
      <w:r>
        <w:rPr>
          <w:rFonts w:ascii="Courier New" w:cs="Courier New" w:eastAsia="Courier New" w:hAnsi="Courier New"/>
          <w:sz w:val="14"/>
          <w:szCs w:val="14"/>
          <w:color w:val="auto"/>
        </w:rPr>
        <w:t>To supplement the five year historical performance shown above, below is a Performance Graph which compares the Company's cumulative stockholder return since the change in control which occurred in October 1999. At the Company's Annual Meeting of Stockholders held in October 1999, the stockholders voted to elect a new slate of directors supported by Jewelcor Management, Inc.</w:t>
      </w:r>
    </w:p>
    <w:p>
      <w:pPr>
        <w:spacing w:after="0" w:line="165"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[GRAPHIC OMITTED]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Ownership of Certain Beneficial Owners</w:t>
      </w:r>
    </w:p>
    <w:p>
      <w:pPr>
        <w:spacing w:after="0" w:line="173" w:lineRule="exact"/>
        <w:rPr>
          <w:sz w:val="20"/>
          <w:szCs w:val="20"/>
          <w:color w:val="auto"/>
        </w:rPr>
      </w:pPr>
    </w:p>
    <w:p>
      <w:pPr>
        <w:ind w:right="1000" w:firstLine="517"/>
        <w:spacing w:after="0" w:line="251" w:lineRule="auto"/>
        <w:rPr>
          <w:sz w:val="20"/>
          <w:szCs w:val="20"/>
          <w:color w:val="auto"/>
        </w:rPr>
      </w:pPr>
      <w:r>
        <w:rPr>
          <w:rFonts w:ascii="Courier New" w:cs="Courier New" w:eastAsia="Courier New" w:hAnsi="Courier New"/>
          <w:sz w:val="14"/>
          <w:szCs w:val="14"/>
          <w:color w:val="auto"/>
        </w:rPr>
        <w:t>The following table sets forth certain information with respect to persons known to the Company to be the beneficial owners of more than five percent of the issued and outstanding shares of Common Stock as of April 8, 2002. The Company is informed that, except as indicated, each person has sole voting and investment power with respect to all shares of Common Stock shown as beneficially owned by such person, subject to community property laws where applicable.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Number of Shares</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Name and Address of Beneficial Owner</w:t>
            </w:r>
          </w:p>
        </w:tc>
        <w:tc>
          <w:tcPr>
            <w:tcW w:w="32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Beneficially Owned</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3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w w:val="81"/>
              </w:rPr>
              <w:t>Jewelcor Management, Inc...........................................</w:t>
            </w:r>
          </w:p>
        </w:tc>
        <w:tc>
          <w:tcPr>
            <w:tcW w:w="2760" w:type="dxa"/>
            <w:vAlign w:val="bottom"/>
          </w:tcPr>
          <w:p>
            <w:pPr>
              <w:jc w:val="right"/>
              <w:spacing w:after="0"/>
              <w:rPr>
                <w:sz w:val="20"/>
                <w:szCs w:val="20"/>
                <w:color w:val="auto"/>
              </w:rPr>
            </w:pPr>
            <w:r>
              <w:rPr>
                <w:rFonts w:ascii="Courier New" w:cs="Courier New" w:eastAsia="Courier New" w:hAnsi="Courier New"/>
                <w:sz w:val="14"/>
                <w:szCs w:val="14"/>
                <w:color w:val="auto"/>
              </w:rPr>
              <w:t>3,152,223</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100 N. Wilkes Barre Blvd.</w:t>
            </w:r>
          </w:p>
        </w:tc>
        <w:tc>
          <w:tcPr>
            <w:tcW w:w="2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Wilkes Barre, Pennsylvania</w:t>
            </w:r>
          </w:p>
        </w:tc>
        <w:tc>
          <w:tcPr>
            <w:tcW w:w="2200" w:type="dxa"/>
            <w:vAlign w:val="bottom"/>
          </w:tcPr>
          <w:p>
            <w:pPr>
              <w:jc w:val="right"/>
              <w:ind w:right="1688"/>
              <w:spacing w:after="0"/>
              <w:rPr>
                <w:sz w:val="20"/>
                <w:szCs w:val="20"/>
                <w:color w:val="auto"/>
              </w:rPr>
            </w:pPr>
            <w:r>
              <w:rPr>
                <w:rFonts w:ascii="Courier New" w:cs="Courier New" w:eastAsia="Courier New" w:hAnsi="Courier New"/>
                <w:sz w:val="14"/>
                <w:szCs w:val="14"/>
                <w:color w:val="auto"/>
                <w:w w:val="99"/>
              </w:rPr>
              <w:t>18702</w:t>
            </w:r>
          </w:p>
        </w:tc>
        <w:tc>
          <w:tcPr>
            <w:tcW w:w="27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31"/>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w w:val="81"/>
              </w:rPr>
              <w:t>Franklin Resources, Inc............................................</w:t>
            </w:r>
          </w:p>
        </w:tc>
        <w:tc>
          <w:tcPr>
            <w:tcW w:w="2760" w:type="dxa"/>
            <w:vAlign w:val="bottom"/>
          </w:tcPr>
          <w:p>
            <w:pPr>
              <w:jc w:val="right"/>
              <w:spacing w:after="0"/>
              <w:rPr>
                <w:sz w:val="20"/>
                <w:szCs w:val="20"/>
                <w:color w:val="auto"/>
              </w:rPr>
            </w:pPr>
            <w:r>
              <w:rPr>
                <w:rFonts w:ascii="Courier New" w:cs="Courier New" w:eastAsia="Courier New" w:hAnsi="Courier New"/>
                <w:sz w:val="14"/>
                <w:szCs w:val="14"/>
                <w:color w:val="auto"/>
              </w:rPr>
              <w:t>1,030,000</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One Franklin Parkway</w:t>
            </w:r>
          </w:p>
        </w:tc>
        <w:tc>
          <w:tcPr>
            <w:tcW w:w="2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San Mateo, California 94403</w:t>
            </w:r>
          </w:p>
        </w:tc>
        <w:tc>
          <w:tcPr>
            <w:tcW w:w="2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31"/>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w w:val="81"/>
              </w:rPr>
              <w:t>Stanley I. Berger..................................................</w:t>
            </w:r>
          </w:p>
        </w:tc>
        <w:tc>
          <w:tcPr>
            <w:tcW w:w="2760" w:type="dxa"/>
            <w:vAlign w:val="bottom"/>
          </w:tcPr>
          <w:p>
            <w:pPr>
              <w:jc w:val="right"/>
              <w:spacing w:after="0"/>
              <w:rPr>
                <w:sz w:val="20"/>
                <w:szCs w:val="20"/>
                <w:color w:val="auto"/>
              </w:rPr>
            </w:pPr>
            <w:r>
              <w:rPr>
                <w:rFonts w:ascii="Courier New" w:cs="Courier New" w:eastAsia="Courier New" w:hAnsi="Courier New"/>
                <w:sz w:val="14"/>
                <w:szCs w:val="14"/>
                <w:color w:val="auto"/>
              </w:rPr>
              <w:t>1,004,679</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100 Essex Road</w:t>
            </w:r>
          </w:p>
        </w:tc>
        <w:tc>
          <w:tcPr>
            <w:tcW w:w="2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Chestnut Hill, Massachusetts</w:t>
            </w: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02467</w:t>
            </w:r>
          </w:p>
        </w:tc>
        <w:tc>
          <w:tcPr>
            <w:tcW w:w="27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31"/>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w w:val="81"/>
              </w:rPr>
              <w:t>Dimensional Fund Advisors..........................................</w:t>
            </w:r>
          </w:p>
        </w:tc>
        <w:tc>
          <w:tcPr>
            <w:tcW w:w="2760" w:type="dxa"/>
            <w:vAlign w:val="bottom"/>
          </w:tcPr>
          <w:p>
            <w:pPr>
              <w:jc w:val="right"/>
              <w:spacing w:after="0"/>
              <w:rPr>
                <w:sz w:val="20"/>
                <w:szCs w:val="20"/>
                <w:color w:val="auto"/>
              </w:rPr>
            </w:pPr>
            <w:r>
              <w:rPr>
                <w:rFonts w:ascii="Courier New" w:cs="Courier New" w:eastAsia="Courier New" w:hAnsi="Courier New"/>
                <w:sz w:val="14"/>
                <w:szCs w:val="14"/>
                <w:color w:val="auto"/>
              </w:rPr>
              <w:t>791,400</w:t>
            </w:r>
          </w:p>
        </w:tc>
        <w:tc>
          <w:tcPr>
            <w:tcW w:w="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1299 Ocean Avenue, 11th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Santa Monica, California 90401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right="1340" w:hanging="512"/>
        <w:spacing w:after="0" w:line="255" w:lineRule="auto"/>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April 8, 2002, 14,567,886 shares of Common Stock were issued and outstanding.</w:t>
      </w:r>
    </w:p>
    <w:p>
      <w:pPr>
        <w:spacing w:after="0" w:line="159" w:lineRule="exact"/>
        <w:rPr>
          <w:rFonts w:ascii="Courier New" w:cs="Courier New" w:eastAsia="Courier New" w:hAnsi="Courier New"/>
          <w:sz w:val="14"/>
          <w:szCs w:val="14"/>
          <w:color w:val="auto"/>
        </w:rPr>
      </w:pPr>
    </w:p>
    <w:p>
      <w:pPr>
        <w:ind w:left="520" w:right="1000" w:hanging="512"/>
        <w:spacing w:after="0" w:line="251" w:lineRule="auto"/>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received a Statement of Changes in Beneficial Ownership on Form 4 dated February 4, 2002, stating that Jewelcor Management Inc. ("JMI") was the beneficial owner of the number of shares of Common Stock set forth opposite its name in the table. Includes options to acquire 400,000 shares of Common Stock. Excludes 132,765 shares, including options to acquire 120,000 shares, owned individually by Seymour Holtzman and 30,000 shares owned by Mr. Holtzman's grandchildren. Mr. Holtzman is the Chairman, President and Chief Executive Officer and, indirectly with his wife, the primary shareholder of JMI.</w:t>
      </w:r>
    </w:p>
    <w:p>
      <w:pPr>
        <w:spacing w:after="0" w:line="163" w:lineRule="exact"/>
        <w:rPr>
          <w:rFonts w:ascii="Courier New" w:cs="Courier New" w:eastAsia="Courier New" w:hAnsi="Courier New"/>
          <w:sz w:val="14"/>
          <w:szCs w:val="14"/>
          <w:color w:val="auto"/>
        </w:rPr>
      </w:pPr>
    </w:p>
    <w:p>
      <w:pPr>
        <w:ind w:left="520" w:right="1180" w:hanging="512"/>
        <w:spacing w:after="0" w:line="252" w:lineRule="auto"/>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received a Schedule 13G dated February 14, 2002, stating that Franklin Resources, Inc. was the beneficial owner of the number of shares of Common Stock set forth opposite its name in the table.</w:t>
      </w:r>
    </w:p>
    <w:p>
      <w:pPr>
        <w:spacing w:after="0" w:line="16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to acquire 25,000 shares of Common Stock.</w:t>
      </w:r>
    </w:p>
    <w:p>
      <w:pPr>
        <w:spacing w:after="0" w:line="172" w:lineRule="exact"/>
        <w:rPr>
          <w:rFonts w:ascii="Courier New" w:cs="Courier New" w:eastAsia="Courier New" w:hAnsi="Courier New"/>
          <w:sz w:val="14"/>
          <w:szCs w:val="14"/>
          <w:color w:val="auto"/>
        </w:rPr>
      </w:pPr>
    </w:p>
    <w:p>
      <w:pPr>
        <w:ind w:left="520" w:right="1180" w:hanging="512"/>
        <w:spacing w:after="0" w:line="252" w:lineRule="auto"/>
        <w:tabs>
          <w:tab w:leader="none" w:pos="5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received a Schedule 13G dated January 30, 2002, stating that Dimensional Fund Advisors was the beneficial owner of the number of shares of Common Stock set forth opposite its name in the table.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Percent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Class (1)</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21.06%</w:t>
      </w:r>
    </w:p>
    <w:p>
      <w:pPr>
        <w:spacing w:after="0" w:line="200" w:lineRule="exact"/>
        <w:rPr>
          <w:sz w:val="20"/>
          <w:szCs w:val="20"/>
          <w:color w:val="auto"/>
        </w:rPr>
      </w:pPr>
    </w:p>
    <w:p>
      <w:pPr>
        <w:spacing w:after="0" w:line="30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7.07%</w:t>
      </w:r>
    </w:p>
    <w:p>
      <w:pPr>
        <w:spacing w:after="0" w:line="200" w:lineRule="exact"/>
        <w:rPr>
          <w:sz w:val="20"/>
          <w:szCs w:val="20"/>
          <w:color w:val="auto"/>
        </w:rPr>
      </w:pPr>
    </w:p>
    <w:p>
      <w:pPr>
        <w:spacing w:after="0" w:line="30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6.88%</w:t>
      </w:r>
    </w:p>
    <w:p>
      <w:pPr>
        <w:spacing w:after="0" w:line="200" w:lineRule="exact"/>
        <w:rPr>
          <w:sz w:val="20"/>
          <w:szCs w:val="20"/>
          <w:color w:val="auto"/>
        </w:rPr>
      </w:pPr>
    </w:p>
    <w:p>
      <w:pPr>
        <w:spacing w:after="0" w:line="30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5.43%</w:t>
      </w:r>
    </w:p>
    <w:p>
      <w:pPr>
        <w:sectPr>
          <w:pgSz w:w="11900" w:h="16838" w:orient="portrait"/>
          <w:cols w:equalWidth="0" w:num="2">
            <w:col w:w="7900" w:space="720"/>
            <w:col w:w="1619"/>
          </w:cols>
          <w:pgMar w:left="220" w:top="616"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4"/>
          <w:szCs w:val="14"/>
          <w:color w:val="auto"/>
        </w:rPr>
        <w:t>Security Ownership of Management</w:t>
      </w:r>
    </w:p>
    <w:p>
      <w:pPr>
        <w:spacing w:after="0" w:line="173" w:lineRule="exact"/>
        <w:rPr>
          <w:sz w:val="20"/>
          <w:szCs w:val="20"/>
          <w:color w:val="auto"/>
        </w:rPr>
      </w:pPr>
    </w:p>
    <w:p>
      <w:pPr>
        <w:ind w:right="1080" w:firstLine="517"/>
        <w:spacing w:after="0" w:line="251" w:lineRule="auto"/>
        <w:rPr>
          <w:sz w:val="20"/>
          <w:szCs w:val="20"/>
          <w:color w:val="auto"/>
        </w:rPr>
      </w:pPr>
      <w:r>
        <w:rPr>
          <w:rFonts w:ascii="Courier New" w:cs="Courier New" w:eastAsia="Courier New" w:hAnsi="Courier New"/>
          <w:sz w:val="14"/>
          <w:szCs w:val="14"/>
          <w:color w:val="auto"/>
        </w:rPr>
        <w:t>The following table sets forth certain information as of April 8, 2002, with respect to the directors of the Company, the Named Executive Officers and the directors and executive officers of the Company as a group. Except as indicated, each person has sole voting and investment power with respect to all shares of Common Stock shown as beneficially owned by such person, subject to community property laws where applicable.</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Number of Shares</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Name and Title</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Beneficially</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Owned</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Seymour Holtzman</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3,314,988</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Chairman of the Board and Director</w:t>
            </w: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David A. Levin</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457,167</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Chief Executive Officer, President and Director</w:t>
            </w: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Dennis R. Hernreich</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84,268</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Chief Financial Officer, Senior Vice President and Treasurer</w:t>
            </w: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Ronald N. Batts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24"/>
                <w:szCs w:val="24"/>
                <w:color w:val="auto"/>
              </w:rPr>
            </w:pP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Senior Vice President of Operations</w:t>
            </w:r>
          </w:p>
        </w:tc>
        <w:tc>
          <w:tcPr>
            <w:tcW w:w="1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Stanley I. Berger, Director</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1,004,679</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Jesse Choper, Director</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67,136</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Alan Cohen, Director</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42,545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Jeremiah P. Murphy, Jr. , Director</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63,446</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Joseph Pennacchio, Director</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60,332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George T. Porter, Jr. , Director</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82,283</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(6)</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Directors and Executive Officers as a group (10 persons)(8)</w:t>
            </w:r>
          </w:p>
        </w:tc>
        <w:tc>
          <w:tcPr>
            <w:tcW w:w="19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5,176,844(2)(7)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0" w:hanging="512"/>
        <w:spacing w:after="0"/>
        <w:tabs>
          <w:tab w:leader="none" w:pos="5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w:t>
      </w:r>
    </w:p>
    <w:p>
      <w:pPr>
        <w:spacing w:after="0" w:line="173" w:lineRule="exact"/>
        <w:rPr>
          <w:sz w:val="20"/>
          <w:szCs w:val="20"/>
          <w:color w:val="auto"/>
        </w:rPr>
      </w:pPr>
    </w:p>
    <w:p>
      <w:pPr>
        <w:ind w:left="520" w:right="1000" w:hanging="512"/>
        <w:spacing w:after="0" w:line="251" w:lineRule="auto"/>
        <w:tabs>
          <w:tab w:leader="none" w:pos="5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ownership is determined in accordance with the rules of the Securities and Exchange Commission and generally includes voting or investment power with respect to securities. In computing the number of shares beneficially owned by a person and the percentage ownership of that person, shares of Common Stock subject to options held by that person that are currently exercisable, or that become exercisable within 60 days, are deemed outstanding. Such shares, however, are not deemed outstanding for the purpose of computing the percentage ownership of any other person. Percentage ownership is based on 14,567,886 shares of Common Stock outstanding as of April 8, 2002, plus securities deemed to be outstanding with respect to individual stockholders pursuant to Rule 13d-3(d)(1) under the Exchange Act.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Percent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Class (1)</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21.97%</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3.09%</w:t>
      </w:r>
    </w:p>
    <w:p>
      <w:pPr>
        <w:spacing w:after="0" w:line="338"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6.88%</w:t>
      </w:r>
    </w:p>
    <w:p>
      <w:pPr>
        <w:spacing w:after="0" w:line="173"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33.25%</w:t>
      </w:r>
    </w:p>
    <w:p>
      <w:pPr>
        <w:sectPr>
          <w:pgSz w:w="11900" w:h="16838" w:orient="portrait"/>
          <w:cols w:equalWidth="0" w:num="2">
            <w:col w:w="7900" w:space="720"/>
            <w:col w:w="1619"/>
          </w:cols>
          <w:pgMar w:left="220" w:top="616" w:right="1440" w:bottom="1440" w:gutter="0" w:footer="0" w:header="0"/>
        </w:sectPr>
      </w:pPr>
    </w:p>
    <w:bookmarkStart w:id="62" w:name="page63"/>
    <w:bookmarkEnd w:id="62"/>
    <w:p>
      <w:pPr>
        <w:ind w:left="512" w:right="3339" w:hanging="512"/>
        <w:spacing w:after="0" w:line="251" w:lineRule="auto"/>
        <w:tabs>
          <w:tab w:leader="none" w:pos="51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Holtzman may be deemed to have shared voting and investment power over 3,314,988 shares of Common Stock, which includes 3,152,223 shares (including options to acquire 400,000 shares) beneficially owned by JMI, of which Mr. Holtzman is the Chairman, President and Chief Executive Officer and indirectly, with his wife, the primary shareholder; 132,765 shares owned individually, which includes 120,000 shares subject to stock options exercisable within 60 days; and 30,000 shares owned by Mr. Holtzman's grandchildren as to which he disclaims beneficial ownership.</w:t>
      </w:r>
    </w:p>
    <w:p>
      <w:pPr>
        <w:spacing w:after="0" w:line="163" w:lineRule="exact"/>
        <w:rPr>
          <w:rFonts w:ascii="Courier New" w:cs="Courier New" w:eastAsia="Courier New" w:hAnsi="Courier New"/>
          <w:sz w:val="14"/>
          <w:szCs w:val="14"/>
          <w:color w:val="auto"/>
        </w:rPr>
      </w:pPr>
    </w:p>
    <w:p>
      <w:pPr>
        <w:ind w:left="512" w:right="3679" w:hanging="512"/>
        <w:spacing w:after="0" w:line="255" w:lineRule="auto"/>
        <w:tabs>
          <w:tab w:leader="none" w:pos="51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241,667 shares subject to stock options exercisable within 60 days.</w:t>
      </w:r>
    </w:p>
    <w:p>
      <w:pPr>
        <w:spacing w:after="0" w:line="159" w:lineRule="exact"/>
        <w:rPr>
          <w:rFonts w:ascii="Courier New" w:cs="Courier New" w:eastAsia="Courier New" w:hAnsi="Courier New"/>
          <w:sz w:val="14"/>
          <w:szCs w:val="14"/>
          <w:color w:val="auto"/>
        </w:rPr>
      </w:pPr>
    </w:p>
    <w:p>
      <w:pPr>
        <w:ind w:left="512" w:right="3779" w:hanging="512"/>
        <w:spacing w:after="0" w:line="255" w:lineRule="auto"/>
        <w:tabs>
          <w:tab w:leader="none" w:pos="51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61,668 shares subject to stock options exercisable within 60 days.</w:t>
      </w:r>
    </w:p>
    <w:p>
      <w:pPr>
        <w:spacing w:after="0" w:line="159" w:lineRule="exact"/>
        <w:rPr>
          <w:rFonts w:ascii="Courier New" w:cs="Courier New" w:eastAsia="Courier New" w:hAnsi="Courier New"/>
          <w:sz w:val="14"/>
          <w:szCs w:val="14"/>
          <w:color w:val="auto"/>
        </w:rPr>
      </w:pPr>
    </w:p>
    <w:p>
      <w:pPr>
        <w:ind w:left="512" w:right="3779" w:hanging="512"/>
        <w:spacing w:after="0" w:line="255" w:lineRule="auto"/>
        <w:tabs>
          <w:tab w:leader="none" w:pos="51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25,000 shares subject to stock options exercisable within 60 days.</w:t>
      </w:r>
    </w:p>
    <w:p>
      <w:pPr>
        <w:spacing w:after="0" w:line="159" w:lineRule="exact"/>
        <w:rPr>
          <w:rFonts w:ascii="Courier New" w:cs="Courier New" w:eastAsia="Courier New" w:hAnsi="Courier New"/>
          <w:sz w:val="14"/>
          <w:szCs w:val="14"/>
          <w:color w:val="auto"/>
        </w:rPr>
      </w:pPr>
    </w:p>
    <w:p>
      <w:pPr>
        <w:ind w:left="512" w:right="3779" w:hanging="512"/>
        <w:spacing w:after="0" w:line="255" w:lineRule="auto"/>
        <w:tabs>
          <w:tab w:leader="none" w:pos="51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55,000 shares subject to stock options exercisable within 60 days.</w:t>
      </w:r>
    </w:p>
    <w:p>
      <w:pPr>
        <w:spacing w:after="0" w:line="159" w:lineRule="exact"/>
        <w:rPr>
          <w:rFonts w:ascii="Courier New" w:cs="Courier New" w:eastAsia="Courier New" w:hAnsi="Courier New"/>
          <w:sz w:val="14"/>
          <w:szCs w:val="14"/>
          <w:color w:val="auto"/>
        </w:rPr>
      </w:pPr>
    </w:p>
    <w:p>
      <w:pPr>
        <w:ind w:left="512" w:right="3519" w:hanging="512"/>
        <w:spacing w:after="0" w:line="255" w:lineRule="auto"/>
        <w:tabs>
          <w:tab w:leader="none" w:pos="51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1,003,335 shares subject to stock options exercisable within 60 days.</w:t>
      </w:r>
    </w:p>
    <w:p>
      <w:pPr>
        <w:spacing w:after="0" w:line="159" w:lineRule="exact"/>
        <w:rPr>
          <w:rFonts w:ascii="Courier New" w:cs="Courier New" w:eastAsia="Courier New" w:hAnsi="Courier New"/>
          <w:sz w:val="14"/>
          <w:szCs w:val="14"/>
          <w:color w:val="auto"/>
        </w:rPr>
      </w:pPr>
    </w:p>
    <w:p>
      <w:pPr>
        <w:ind w:left="512" w:right="3519" w:hanging="512"/>
        <w:spacing w:after="0" w:line="255" w:lineRule="auto"/>
        <w:tabs>
          <w:tab w:leader="none" w:pos="51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560,790 shares owned by Mr. Patron whom ceased to be a director of the Company during fiscal year 2002.</w:t>
      </w:r>
    </w:p>
    <w:p>
      <w:pPr>
        <w:spacing w:after="0" w:line="326"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1"/>
          </w:cols>
          <w:pgMar w:left="228" w:top="616"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Jewelcor Management, Inc.</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October 28, 1999, the Company entered into a consulting agreement with Jewelcor Management, Inc. ("JMI") to assist in developing and implementing a strategic plan for the Company and for other related consulting services as may be agreed upon between JMI and the Company. Seymour Holtzman, who became the Company's Chairman of the Board of Directors on April 11, 2000, is a beneficial holder of approximately 22% of the outstanding Common Stock of the Company (principally held by JMI). He is also the President and Chief Executive Officer, and indirectly, with his wife, the primary shareholder of JMI. In fiscal 2000, JMI received compensation under this agreement totaling $347,560 which consisted of (i) a stock option to purchase 400,000 shares of the Company's Common Stock, which was valued by an independent third party, using a growth model, at $63,560 and (ii) the issuance of 203,489 shares of the Company's Common Stock, which had an aggregate market value of $240,000.</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2000, JMI received 182,857 non-forfeitable and fully vested shares of the Company's Common Stock in connection with the Company extending its consulting arrangement with JMI for an additional one-year period commencing on April 29, 2000 and ending on April 29, 2001. The fair value of those shares on June 26, 2000, the date of issuance, was $240,000 or $1.3125 per share. This consulting agreement was again extended through April 29, 2002 at the same terms and conditions. Under this extended agreement, JMI receives Common Stock of the Company each month equal to $20,000 per month. The agreement also includes a significant disincentive for non-performance, which would require JMI to pay to the Company a penalty equal to 150% of any unearned consulting services.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fiscal 2000, the Company also reimbursed JMI in the amount of $400,000, which was paid in shares of the Company's Common Stock, for expenses incurred by JMI in connection with the October 1999 proxy solicitation. Based on the closing price of the stock on October 29, 1999, JMI received 346,021 shares of the Company's Common Stock.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Arrangements with Other Directors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February 8, 2000, the Company retained Mr. Porter as a consultant to advise the Company with regard to merchandising strategies and operations. As compensation for these services, Mr. Porter is paid a rate of $2,000 per day, payable at his election in cash or in shares of Common Stock, plus reimbursement of reasonable out-of-pocket expenses. Mr. Porter was paid $4,000 and $13,661 as compensation and reimbursement of related expenses for fiscal 2002 and 2001, respectively. As part of his compensation, Mr. Porter was also granted stock options exercisable for up to 30,000 shares of the Company's Common Stock. The per share exercise price of these options was the closing price of the Common Stock on the date of grant.</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June 2000, the Company extended a loan to David A. Levin, its President and Chief Executive Officer, in the amount of $196,875 in order for Mr. Levin to acquire from the Company 150,000 newly issued shares of the Company's Common Stock at the closing price of the Common Stock on that day. The Company and Mr. Levin entered into a secured promissory note, whereby Mr. Levin agrees to pay to the Company the principal sum of $196,875 plus interest due and payable on June 26, 2003. The promissory note bears interest at a rate of 6.53% per annum and is secured by the 150,000 acquired shares of the Company's Common Stock.</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16" w:right="1440" w:bottom="1440" w:gutter="0" w:footer="0" w:header="0"/>
        </w:sectPr>
      </w:pPr>
    </w:p>
    <w:bookmarkStart w:id="64" w:name="page65"/>
    <w:bookmarkEnd w:id="64"/>
    <w:p>
      <w:pPr>
        <w:ind w:left="31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14(a)(1) Financial Statements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list of consolidated financial statements and notes required by this Item 14(a)(1) is set forth in the "Index to Financial Statements" on page 24 of this Annual Report.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14(a)(2) Financial Statement Schedules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Schedule II- Valuation and Qualifying Accounts for the three fiscal years ended February 2, 2002, February 3, 2001 and January 29, 2000 on page 65 of this Annual Report.</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All other schedules, other than the schedule listed above,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14(a)(3) Exhibits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list of exhibits required by this Item 14(a)(3) is set forth in the "Index to Exhibits" beginning on page 66 of this Annual Report.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14(b) Reports on Form 8-K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16" w:right="1440" w:bottom="1440" w:gutter="0" w:footer="0" w:header="0"/>
        </w:sectPr>
      </w:pPr>
    </w:p>
    <w:bookmarkStart w:id="65" w:name="page66"/>
    <w:bookmarkEnd w:id="65"/>
    <w:p>
      <w:pPr>
        <w:jc w:val="center"/>
        <w:ind w:left="100"/>
        <w:spacing w:after="0"/>
        <w:rPr>
          <w:sz w:val="20"/>
          <w:szCs w:val="20"/>
          <w:color w:val="auto"/>
        </w:rPr>
      </w:pPr>
      <w:r>
        <w:rPr>
          <w:rFonts w:ascii="Courier New" w:cs="Courier New" w:eastAsia="Courier New" w:hAnsi="Courier New"/>
          <w:sz w:val="14"/>
          <w:szCs w:val="14"/>
          <w:color w:val="auto"/>
        </w:rPr>
        <w:t>SCHEDULE II</w:t>
      </w:r>
    </w:p>
    <w:p>
      <w:pPr>
        <w:spacing w:after="0" w:line="7"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For the Three Fiscal Years Ended February 2, 2002</w:t>
      </w:r>
    </w:p>
    <w:p>
      <w:pPr>
        <w:spacing w:after="0" w:line="200" w:lineRule="exact"/>
        <w:rPr>
          <w:sz w:val="20"/>
          <w:szCs w:val="20"/>
          <w:color w:val="auto"/>
        </w:rPr>
      </w:pPr>
    </w:p>
    <w:p>
      <w:pPr>
        <w:spacing w:after="0" w:line="30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Balance at</w:t>
      </w:r>
    </w:p>
    <w:p>
      <w:pPr>
        <w:spacing w:after="0" w:line="7" w:lineRule="exact"/>
        <w:rPr>
          <w:sz w:val="20"/>
          <w:szCs w:val="20"/>
          <w:color w:val="auto"/>
        </w:rPr>
      </w:pPr>
    </w:p>
    <w:p>
      <w:pPr>
        <w:ind w:left="3620"/>
        <w:spacing w:after="0"/>
        <w:tabs>
          <w:tab w:leader="none" w:pos="5320" w:val="left"/>
        </w:tabs>
        <w:rPr>
          <w:sz w:val="20"/>
          <w:szCs w:val="20"/>
          <w:color w:val="auto"/>
        </w:rPr>
      </w:pPr>
      <w:r>
        <w:rPr>
          <w:rFonts w:ascii="Courier New" w:cs="Courier New" w:eastAsia="Courier New" w:hAnsi="Courier New"/>
          <w:sz w:val="14"/>
          <w:szCs w:val="14"/>
          <w:color w:val="auto"/>
        </w:rPr>
        <w:t>Beginning of</w:t>
      </w:r>
      <w:r>
        <w:rPr>
          <w:sz w:val="20"/>
          <w:szCs w:val="20"/>
          <w:color w:val="auto"/>
        </w:rPr>
        <w:tab/>
      </w:r>
      <w:r>
        <w:rPr>
          <w:rFonts w:ascii="Courier New" w:cs="Courier New" w:eastAsia="Courier New" w:hAnsi="Courier New"/>
          <w:sz w:val="14"/>
          <w:szCs w:val="14"/>
          <w:color w:val="auto"/>
        </w:rPr>
        <w:t>Net Provision</w:t>
      </w:r>
    </w:p>
    <w:p>
      <w:pPr>
        <w:spacing w:after="0" w:line="7" w:lineRule="exact"/>
        <w:rPr>
          <w:sz w:val="20"/>
          <w:szCs w:val="20"/>
          <w:color w:val="auto"/>
        </w:rPr>
      </w:pPr>
    </w:p>
    <w:p>
      <w:pPr>
        <w:ind w:left="1640"/>
        <w:spacing w:after="0"/>
        <w:tabs>
          <w:tab w:leader="none" w:pos="3960" w:val="left"/>
          <w:tab w:leader="none" w:pos="550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(Benefit)</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Restructuring Reserves</w:t>
      </w:r>
    </w:p>
    <w:p>
      <w:pPr>
        <w:spacing w:after="0" w:line="7" w:lineRule="exact"/>
        <w:rPr>
          <w:sz w:val="20"/>
          <w:szCs w:val="20"/>
          <w:color w:val="auto"/>
        </w:rPr>
      </w:pPr>
    </w:p>
    <w:p>
      <w:pPr>
        <w:spacing w:after="0"/>
        <w:tabs>
          <w:tab w:leader="none" w:pos="3960" w:val="left"/>
          <w:tab w:leader="none" w:pos="5680" w:val="left"/>
        </w:tabs>
        <w:rPr>
          <w:sz w:val="20"/>
          <w:szCs w:val="20"/>
          <w:color w:val="auto"/>
        </w:rPr>
      </w:pPr>
      <w:r>
        <w:rPr>
          <w:rFonts w:ascii="Courier New" w:cs="Courier New" w:eastAsia="Courier New" w:hAnsi="Courier New"/>
          <w:sz w:val="14"/>
          <w:szCs w:val="14"/>
          <w:color w:val="auto"/>
        </w:rPr>
        <w:t>Year ended January 29, 2000</w:t>
      </w:r>
      <w:r>
        <w:rPr>
          <w:sz w:val="20"/>
          <w:szCs w:val="20"/>
          <w:color w:val="auto"/>
        </w:rPr>
        <w:tab/>
      </w:r>
      <w:r>
        <w:rPr>
          <w:rFonts w:ascii="Courier New" w:cs="Courier New" w:eastAsia="Courier New" w:hAnsi="Courier New"/>
          <w:sz w:val="14"/>
          <w:szCs w:val="14"/>
          <w:color w:val="auto"/>
        </w:rPr>
        <w:t>$7,161</w:t>
      </w:r>
      <w:r>
        <w:rPr>
          <w:sz w:val="20"/>
          <w:szCs w:val="20"/>
          <w:color w:val="auto"/>
        </w:rPr>
        <w:tab/>
      </w:r>
      <w:r>
        <w:rPr>
          <w:rFonts w:ascii="Courier New" w:cs="Courier New" w:eastAsia="Courier New" w:hAnsi="Courier New"/>
          <w:sz w:val="14"/>
          <w:szCs w:val="14"/>
          <w:color w:val="auto"/>
        </w:rPr>
        <w:t>$14,545 (1)</w:t>
      </w:r>
    </w:p>
    <w:p>
      <w:pPr>
        <w:spacing w:after="0" w:line="7" w:lineRule="exact"/>
        <w:rPr>
          <w:sz w:val="20"/>
          <w:szCs w:val="20"/>
          <w:color w:val="auto"/>
        </w:rPr>
      </w:pPr>
    </w:p>
    <w:p>
      <w:pPr>
        <w:spacing w:after="0"/>
        <w:tabs>
          <w:tab w:leader="none" w:pos="4040" w:val="left"/>
          <w:tab w:leader="none" w:pos="5940" w:val="left"/>
        </w:tabs>
        <w:rPr>
          <w:sz w:val="20"/>
          <w:szCs w:val="20"/>
          <w:color w:val="auto"/>
        </w:rPr>
      </w:pPr>
      <w:r>
        <w:rPr>
          <w:rFonts w:ascii="Courier New" w:cs="Courier New" w:eastAsia="Courier New" w:hAnsi="Courier New"/>
          <w:sz w:val="14"/>
          <w:szCs w:val="14"/>
          <w:color w:val="auto"/>
        </w:rPr>
        <w:t>Year ended February 3, 2001</w:t>
      </w:r>
      <w:r>
        <w:rPr>
          <w:sz w:val="20"/>
          <w:szCs w:val="20"/>
          <w:color w:val="auto"/>
        </w:rPr>
        <w:tab/>
      </w:r>
      <w:r>
        <w:rPr>
          <w:rFonts w:ascii="Courier New" w:cs="Courier New" w:eastAsia="Courier New" w:hAnsi="Courier New"/>
          <w:sz w:val="14"/>
          <w:szCs w:val="14"/>
          <w:color w:val="auto"/>
        </w:rPr>
        <w:t>6,696</w:t>
      </w:r>
      <w:r>
        <w:rPr>
          <w:sz w:val="20"/>
          <w:szCs w:val="20"/>
          <w:color w:val="auto"/>
        </w:rPr>
        <w:tab/>
      </w:r>
      <w:r>
        <w:rPr>
          <w:rFonts w:ascii="Courier New" w:cs="Courier New" w:eastAsia="Courier New" w:hAnsi="Courier New"/>
          <w:sz w:val="14"/>
          <w:szCs w:val="14"/>
          <w:color w:val="auto"/>
        </w:rPr>
        <w:t>(182)(2)</w:t>
      </w:r>
    </w:p>
    <w:p>
      <w:pPr>
        <w:spacing w:after="0" w:line="7" w:lineRule="exact"/>
        <w:rPr>
          <w:sz w:val="20"/>
          <w:szCs w:val="20"/>
          <w:color w:val="auto"/>
        </w:rPr>
      </w:pPr>
    </w:p>
    <w:p>
      <w:pPr>
        <w:spacing w:after="0"/>
        <w:tabs>
          <w:tab w:leader="none" w:pos="4200" w:val="left"/>
          <w:tab w:leader="none" w:pos="6100" w:val="left"/>
        </w:tabs>
        <w:rPr>
          <w:sz w:val="20"/>
          <w:szCs w:val="20"/>
          <w:color w:val="auto"/>
        </w:rPr>
      </w:pPr>
      <w:r>
        <w:rPr>
          <w:rFonts w:ascii="Courier New" w:cs="Courier New" w:eastAsia="Courier New" w:hAnsi="Courier New"/>
          <w:sz w:val="14"/>
          <w:szCs w:val="14"/>
          <w:color w:val="auto"/>
        </w:rPr>
        <w:t>Year ended February 2, 2002</w:t>
      </w:r>
      <w:r>
        <w:rPr>
          <w:sz w:val="20"/>
          <w:szCs w:val="20"/>
          <w:color w:val="auto"/>
        </w:rPr>
        <w:tab/>
      </w:r>
      <w:r>
        <w:rPr>
          <w:rFonts w:ascii="Courier New" w:cs="Courier New" w:eastAsia="Courier New" w:hAnsi="Courier New"/>
          <w:sz w:val="14"/>
          <w:szCs w:val="14"/>
          <w:color w:val="auto"/>
        </w:rPr>
        <w:t>852</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ind w:left="520" w:hanging="512"/>
        <w:spacing w:after="0"/>
        <w:tabs>
          <w:tab w:leader="none" w:pos="5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severance and store closing charge for fiscal 2000 of</w:t>
      </w:r>
    </w:p>
    <w:p>
      <w:pPr>
        <w:spacing w:after="0" w:line="7" w:lineRule="exact"/>
        <w:rPr>
          <w:rFonts w:ascii="Courier New" w:cs="Courier New" w:eastAsia="Courier New" w:hAnsi="Courier New"/>
          <w:sz w:val="14"/>
          <w:szCs w:val="14"/>
          <w:color w:val="auto"/>
        </w:rPr>
      </w:pPr>
    </w:p>
    <w:p>
      <w:pPr>
        <w:ind w:left="52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$14.5 million, is a markdown reserve of $7.8 million which was included in costs of goods sold for the fiscal 2000. In addition, the total provision of $14.5 million, included restructuring income of $717,000 recorded in the fourth quarter due to excess reserves which were established in fiscal 1999.</w:t>
      </w:r>
    </w:p>
    <w:p>
      <w:pPr>
        <w:spacing w:after="0" w:line="164" w:lineRule="exact"/>
        <w:rPr>
          <w:rFonts w:ascii="Courier New" w:cs="Courier New" w:eastAsia="Courier New" w:hAnsi="Courier New"/>
          <w:sz w:val="14"/>
          <w:szCs w:val="14"/>
          <w:color w:val="auto"/>
        </w:rPr>
      </w:pPr>
    </w:p>
    <w:p>
      <w:pPr>
        <w:ind w:left="520" w:hanging="512"/>
        <w:spacing w:after="0" w:line="252" w:lineRule="auto"/>
        <w:tabs>
          <w:tab w:leader="none" w:pos="5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($182,000) recognized in fiscal 2001 represents income recognized as a result of favorable lease negotiations on lease termination payments relating to the fiscal 2000 restructuring program.</w:t>
      </w:r>
    </w:p>
    <w:p>
      <w:pPr>
        <w:spacing w:after="0" w:line="162" w:lineRule="exact"/>
        <w:rPr>
          <w:rFonts w:ascii="Courier New" w:cs="Courier New" w:eastAsia="Courier New" w:hAnsi="Courier New"/>
          <w:sz w:val="14"/>
          <w:szCs w:val="14"/>
          <w:color w:val="auto"/>
        </w:rPr>
      </w:pPr>
    </w:p>
    <w:p>
      <w:pPr>
        <w:ind w:left="520" w:hanging="512"/>
        <w:spacing w:after="0" w:line="255" w:lineRule="auto"/>
        <w:tabs>
          <w:tab w:leader="none" w:pos="5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reserve balance at year end is a markdown reserve of $3.5 million which was included in inventory on the consolidated balance sheet.</w:t>
      </w:r>
    </w:p>
    <w:p>
      <w:pPr>
        <w:spacing w:after="0" w:line="159" w:lineRule="exact"/>
        <w:rPr>
          <w:rFonts w:ascii="Courier New" w:cs="Courier New" w:eastAsia="Courier New" w:hAnsi="Courier New"/>
          <w:sz w:val="14"/>
          <w:szCs w:val="14"/>
          <w:color w:val="auto"/>
        </w:rPr>
      </w:pPr>
    </w:p>
    <w:p>
      <w:pPr>
        <w:ind w:left="520" w:right="80" w:hanging="512"/>
        <w:spacing w:after="0" w:line="252" w:lineRule="auto"/>
        <w:tabs>
          <w:tab w:leader="none" w:pos="5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reserve balance at year end are the remaining severance and landlord settlement payments to be made in accordance with the fiscal 2000 restructuring program.</w:t>
      </w:r>
    </w:p>
    <w:p>
      <w:pPr>
        <w:spacing w:after="0" w:line="329"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Balance</w:t>
            </w:r>
          </w:p>
        </w:tc>
        <w:tc>
          <w:tcPr>
            <w:tcW w:w="300" w:type="dxa"/>
            <w:vAlign w:val="bottom"/>
          </w:tcPr>
          <w:p>
            <w:pPr>
              <w:spacing w:after="0"/>
              <w:rPr>
                <w:sz w:val="14"/>
                <w:szCs w:val="14"/>
                <w:color w:val="auto"/>
              </w:rPr>
            </w:pPr>
          </w:p>
        </w:tc>
      </w:tr>
      <w:tr>
        <w:trPr>
          <w:trHeight w:val="166"/>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Charges/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At End</w:t>
            </w:r>
          </w:p>
        </w:tc>
        <w:tc>
          <w:tcPr>
            <w:tcW w:w="300" w:type="dxa"/>
            <w:vAlign w:val="bottom"/>
          </w:tcPr>
          <w:p>
            <w:pPr>
              <w:spacing w:after="0"/>
              <w:rPr>
                <w:sz w:val="14"/>
                <w:szCs w:val="14"/>
                <w:color w:val="auto"/>
              </w:rPr>
            </w:pPr>
          </w:p>
        </w:tc>
      </w:tr>
      <w:tr>
        <w:trPr>
          <w:trHeight w:val="166"/>
        </w:trPr>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Write-offs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Year</w:t>
            </w:r>
          </w:p>
        </w:tc>
        <w:tc>
          <w:tcPr>
            <w:tcW w:w="300" w:type="dxa"/>
            <w:vAlign w:val="bottom"/>
          </w:tcPr>
          <w:p>
            <w:pPr>
              <w:spacing w:after="0"/>
              <w:rPr>
                <w:sz w:val="14"/>
                <w:szCs w:val="14"/>
                <w:color w:val="auto"/>
              </w:rPr>
            </w:pPr>
          </w:p>
        </w:tc>
      </w:tr>
      <w:tr>
        <w:trPr>
          <w:trHeight w:val="663"/>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$(15,010)</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$6,696 (3)</w:t>
            </w:r>
          </w:p>
        </w:tc>
      </w:tr>
      <w:tr>
        <w:trPr>
          <w:trHeight w:val="166"/>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(5,662)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852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r>
    </w:tbl>
    <w:p>
      <w:pPr>
        <w:sectPr>
          <w:pgSz w:w="11900" w:h="16838" w:orient="portrait"/>
          <w:cols w:equalWidth="0" w:num="2">
            <w:col w:w="6900" w:space="340"/>
            <w:col w:w="2999"/>
          </w:cols>
          <w:pgMar w:left="220" w:top="616" w:right="1440"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Exhibits</w:t>
            </w:r>
          </w:p>
        </w:tc>
        <w:tc>
          <w:tcPr>
            <w:tcW w:w="56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Restated Certificate of Incorporation of the Company, as</w:t>
            </w:r>
          </w:p>
        </w:tc>
        <w:tc>
          <w:tcPr>
            <w:tcW w:w="48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amended (included as Exhibit 3.1 to Amendment No. 3 of the</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Company's Registration Statement on Form S-1 (No. 33-13402),</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78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Certificate of Amendment to Restated Certificate of</w:t>
            </w:r>
          </w:p>
        </w:tc>
        <w:tc>
          <w:tcPr>
            <w:tcW w:w="48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Incorporation, as amended, dated June 22, 1993 (included as</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Exhibit 3.2 to the Company's Quarterly Report on Form 10-Q</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dated June 17, 1996, 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3.3</w:t>
            </w: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Certificate of Designations, Preferences and Rights of a</w:t>
            </w:r>
          </w:p>
        </w:tc>
        <w:tc>
          <w:tcPr>
            <w:tcW w:w="48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Series of Preferred Stock of the Company established Series</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A Junior Participating Cumulative Preferred Stock dated May</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1, 1995 (included as Exhibit 3.2 to the Company's Annual</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Report on Form 10-K dated May 1, 1996, and incorporated</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3.4</w:t>
            </w: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By-Laws of the Company, as amended (included as Exhibit 3.4</w:t>
            </w:r>
          </w:p>
        </w:tc>
        <w:tc>
          <w:tcPr>
            <w:tcW w:w="48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to the Company's Quarterly Report on Form 10-Q dated</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December 12, 2000, 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10.1</w:t>
            </w: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1992 Stock Incentive Plan, as amended (included as Exhibit</w:t>
            </w:r>
          </w:p>
        </w:tc>
        <w:tc>
          <w:tcPr>
            <w:tcW w:w="48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10.1 to the Company's Quarterly Report on Form 10-Q dated</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September 18, 2001, 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10.2</w:t>
            </w: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License Agreement between the Company and Levi Strauss &amp; Co.</w:t>
            </w:r>
          </w:p>
        </w:tc>
        <w:tc>
          <w:tcPr>
            <w:tcW w:w="48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dated as of April 14, 1992 (included as Exhibit 10.8 to the</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Company's Annual Report on Form 10-K dated April 29, 1993,</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10.3</w:t>
            </w: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Amended and Restated Trademark License Agreement between the</w:t>
            </w:r>
          </w:p>
        </w:tc>
        <w:tc>
          <w:tcPr>
            <w:tcW w:w="48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Company and Levi Strauss &amp; Co. dated as of October 31, 1998</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(included as Exhibit 10.4 to the Company's Current Report on</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Form 8-K dated December 3, 1998, and incorporated herein by</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10.4</w:t>
            </w: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Amendment to the Amended and Restated Trademark License</w:t>
            </w:r>
          </w:p>
        </w:tc>
        <w:tc>
          <w:tcPr>
            <w:tcW w:w="48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Agreement dated March 22, 2000 (included as Exhibit 10.7 to</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the Company's Annual Report on Form 10-K dated April 28,</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2000, 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10.5</w:t>
            </w: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Second Amended and Restated Loan and Security Agreement</w:t>
            </w:r>
          </w:p>
        </w:tc>
        <w:tc>
          <w:tcPr>
            <w:tcW w:w="48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dated as of December 7, 2000 among the Company and Fleet</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Retail Finance Inc., as agent for the Lender(s) identified</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therein (included as Exhibit 10.12 to the Company's</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Quarterly Report on Form 10-Q dated December 12, 2000, and</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Amendment and Distribution Agreement dated as of October 31,</w:t>
            </w:r>
          </w:p>
        </w:tc>
        <w:tc>
          <w:tcPr>
            <w:tcW w:w="48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1998 among the Designs Partner, the Levi's Only Stores</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Partner and the Original Levi Store Partnership (included as</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Exhibit 10.2 to the Company's Current Report on Form 8-K</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dated December 3, 1998, and incorporated herein by</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Guaranty by the Company of the indemnification obligation of</w:t>
            </w:r>
          </w:p>
        </w:tc>
        <w:tc>
          <w:tcPr>
            <w:tcW w:w="48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the Designs Partner dated as of October 31, 1998 in favor of</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LS &amp; Co. (included as Exhibit 10.3 to the Company's Current</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Report on Form 8-K dated December 3, 1998, and incorporated</w:t>
            </w:r>
          </w:p>
        </w:tc>
        <w:tc>
          <w:tcPr>
            <w:tcW w:w="48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Asset Purchase Agreement between Levi's Only Stores and the</w:t>
            </w:r>
          </w:p>
        </w:tc>
        <w:tc>
          <w:tcPr>
            <w:tcW w:w="480" w:type="dxa"/>
            <w:vAlign w:val="bottom"/>
          </w:tcPr>
          <w:p>
            <w:pPr>
              <w:spacing w:after="0"/>
              <w:rPr>
                <w:sz w:val="24"/>
                <w:szCs w:val="24"/>
                <w:color w:val="auto"/>
              </w:rPr>
            </w:pPr>
          </w:p>
        </w:tc>
      </w:tr>
      <w:tr>
        <w:trPr>
          <w:trHeight w:val="166"/>
        </w:trPr>
        <w:tc>
          <w:tcPr>
            <w:tcW w:w="780" w:type="dxa"/>
            <w:vAlign w:val="bottom"/>
          </w:tcPr>
          <w:p>
            <w:pPr>
              <w:spacing w:after="0"/>
              <w:rPr>
                <w:sz w:val="14"/>
                <w:szCs w:val="14"/>
                <w:color w:val="auto"/>
              </w:rPr>
            </w:pPr>
          </w:p>
        </w:tc>
        <w:tc>
          <w:tcPr>
            <w:tcW w:w="5640" w:type="dxa"/>
            <w:vAlign w:val="bottom"/>
          </w:tcPr>
          <w:p>
            <w:pPr>
              <w:ind w:left="80"/>
              <w:spacing w:after="0"/>
              <w:rPr>
                <w:sz w:val="20"/>
                <w:szCs w:val="20"/>
                <w:color w:val="auto"/>
              </w:rPr>
            </w:pPr>
            <w:r>
              <w:rPr>
                <w:rFonts w:ascii="Courier New" w:cs="Courier New" w:eastAsia="Courier New" w:hAnsi="Courier New"/>
                <w:sz w:val="14"/>
                <w:szCs w:val="14"/>
                <w:color w:val="auto"/>
              </w:rPr>
              <w:t>Company relating to</w:t>
            </w:r>
          </w:p>
        </w:tc>
        <w:tc>
          <w:tcPr>
            <w:tcW w:w="480" w:type="dxa"/>
            <w:vAlign w:val="bottom"/>
          </w:tcPr>
          <w:p>
            <w:pPr>
              <w:spacing w:after="0"/>
              <w:rPr>
                <w:sz w:val="14"/>
                <w:szCs w:val="14"/>
                <w:color w:val="auto"/>
              </w:rPr>
            </w:pPr>
          </w:p>
        </w:tc>
      </w:tr>
      <w:tr>
        <w:trPr>
          <w:trHeight w:val="497"/>
        </w:trPr>
        <w:tc>
          <w:tcPr>
            <w:tcW w:w="780" w:type="dxa"/>
            <w:vAlign w:val="bottom"/>
          </w:tcPr>
          <w:p>
            <w:pPr>
              <w:spacing w:after="0"/>
              <w:rPr>
                <w:sz w:val="24"/>
                <w:szCs w:val="24"/>
                <w:color w:val="auto"/>
              </w:rPr>
            </w:pPr>
          </w:p>
        </w:tc>
        <w:tc>
          <w:tcPr>
            <w:tcW w:w="5640" w:type="dxa"/>
            <w:vAlign w:val="bottom"/>
          </w:tcPr>
          <w:p>
            <w:pPr>
              <w:ind w:left="2580"/>
              <w:spacing w:after="0"/>
              <w:rPr>
                <w:sz w:val="20"/>
                <w:szCs w:val="20"/>
                <w:color w:val="auto"/>
              </w:rPr>
            </w:pPr>
            <w:r>
              <w:rPr>
                <w:rFonts w:ascii="Courier New" w:cs="Courier New" w:eastAsia="Courier New" w:hAnsi="Courier New"/>
                <w:sz w:val="14"/>
                <w:szCs w:val="14"/>
                <w:color w:val="auto"/>
              </w:rPr>
              <w:t>66</w:t>
            </w:r>
          </w:p>
        </w:tc>
        <w:tc>
          <w:tcPr>
            <w:tcW w:w="4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the sale by the Company of stores located in Minneapolis,</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Minnesota</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dated January 28, 1995 (included as Exhibit 10.9</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to the Company's Current Report on Form 8-K dated April 24,</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1995, and</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10.9</w:t>
            </w: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Asset Purchase Agreement among Boston Trading Ltd., Inc.,</w:t>
            </w:r>
          </w:p>
        </w:tc>
        <w:tc>
          <w:tcPr>
            <w:tcW w:w="48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Designs Acquisition Corp., the Company and others dated</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April 21,</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1995 (included as Exhibit 10.16 to the Company's</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Quarterly</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Report on Form 10-Q dated September 12, 1995, and</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10.10</w:t>
            </w: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Non-Negotiable Promissory Note between the Company and</w:t>
            </w:r>
          </w:p>
        </w:tc>
        <w:tc>
          <w:tcPr>
            <w:tcW w:w="48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Atlantic Harbor, Inc., formerly know as Boston Trading Ltd.,</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Inc., dated May 2, 1995 (included as Exhibit 10.17 to the</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Company's</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Quarterly Report on Form 10-Q dated September 12,</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1995, and</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10.11</w:t>
            </w: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Asset Purchase Agreement dated as of September 30, 1998</w:t>
            </w:r>
          </w:p>
        </w:tc>
        <w:tc>
          <w:tcPr>
            <w:tcW w:w="48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between the Company and LOS relating to the purchase by the</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Company of 16 Dockers(R) Outlet and nine Levi's(R) Outlet</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stores (included as Exhibit 10.1 to the Company's Current</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Report on</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Form 8-K dated December 3, 1998, and incorporated</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herein by</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10.12</w:t>
            </w: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Agreement</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Regarding Leases dated November 2, 2000 between</w:t>
            </w:r>
          </w:p>
        </w:tc>
        <w:tc>
          <w:tcPr>
            <w:tcW w:w="48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the Company and O.M. 66 B Street LLC (included as Exhibit</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10.41 to the Company's Quarterly Report on Form 10-Q dated</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December 12, 2000, and incorporated herein be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10.13</w:t>
            </w: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Consulting Agreement dated as of December 15, 1999 between</w:t>
            </w:r>
          </w:p>
        </w:tc>
        <w:tc>
          <w:tcPr>
            <w:tcW w:w="48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the Company and George T. Porter, Jr. (included as Exhibit</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10.22 to the Company's Annual Report Form 10-K dated April</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28, 2000,</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10.14</w:t>
            </w: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Consulting Agreement dated as of November 14, 1999 between</w:t>
            </w:r>
          </w:p>
        </w:tc>
        <w:tc>
          <w:tcPr>
            <w:tcW w:w="48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the Company and Business Ventures International, Inc.</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(included</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as Exhibit 10.23 to the Company's Annual Report on</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Form 10-K</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dated April 28, 2000, and incorporated herein by</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10.15</w:t>
            </w: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Extension</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to Consulting Agreement, dated as of April 28,</w:t>
            </w:r>
          </w:p>
        </w:tc>
        <w:tc>
          <w:tcPr>
            <w:tcW w:w="48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2001, between the Company and Jewelcor Management, Inc.</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(included</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as Exhibit 10.15 to the Company's Quarterly Report</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on Form 10-Q dated September 18, 2001, and incorporated</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herein by</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10.16</w:t>
            </w: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Employment Agreement dated as of March 31, 2000 between the</w:t>
            </w:r>
          </w:p>
        </w:tc>
        <w:tc>
          <w:tcPr>
            <w:tcW w:w="48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Company and David A. Levin (included as Exhibit 10.27 to the</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Company's</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Annual Report on Form 10-K dated April 28, 2000,</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10.17</w:t>
            </w: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Amendment</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to Employment Agreement dated as of March 31, 2000</w:t>
            </w:r>
          </w:p>
        </w:tc>
        <w:tc>
          <w:tcPr>
            <w:tcW w:w="48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between the Company and David A. Levin (included as Exhibit</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10.19 to the Company's Quarterly Report on Form 10-Q dated</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June 19, 2001, 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10.18</w:t>
            </w: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Secured Promissory Note dated as of June 26, 2000 between</w:t>
            </w:r>
          </w:p>
        </w:tc>
        <w:tc>
          <w:tcPr>
            <w:tcW w:w="48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the Company and David A. Levin (included as Exhibit 10.28 to</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the Company's Quarterly Report on Form 10-Q dated September</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12, 2000,</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10.19</w:t>
            </w: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Pledge and Security Agreement dated June 26, 2000 between</w:t>
            </w:r>
          </w:p>
        </w:tc>
        <w:tc>
          <w:tcPr>
            <w:tcW w:w="48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the Company and David A. Levin (included as Exhibit 10.29 to</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the Company's Quarterly Report on Form 10-Q dated September</w:t>
            </w:r>
          </w:p>
        </w:tc>
        <w:tc>
          <w:tcPr>
            <w:tcW w:w="48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rPr>
              <w:t>12, 2000,</w:t>
            </w:r>
          </w:p>
        </w:tc>
        <w:tc>
          <w:tcPr>
            <w:tcW w:w="4740" w:type="dxa"/>
            <w:vAlign w:val="bottom"/>
          </w:tcPr>
          <w:p>
            <w:pPr>
              <w:ind w:left="60"/>
              <w:spacing w:after="0"/>
              <w:rPr>
                <w:sz w:val="20"/>
                <w:szCs w:val="20"/>
                <w:color w:val="auto"/>
              </w:rPr>
            </w:pPr>
            <w:r>
              <w:rPr>
                <w:rFonts w:ascii="Courier New" w:cs="Courier New" w:eastAsia="Courier New" w:hAnsi="Courier New"/>
                <w:sz w:val="14"/>
                <w:szCs w:val="14"/>
                <w:color w:val="auto"/>
              </w:rPr>
              <w:t>and incorporated herein by reference).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740" w:type="dxa"/>
            <w:vAlign w:val="bottom"/>
          </w:tcPr>
          <w:p>
            <w:pPr>
              <w:ind w:left="1680"/>
              <w:spacing w:after="0"/>
              <w:rPr>
                <w:sz w:val="20"/>
                <w:szCs w:val="20"/>
                <w:color w:val="auto"/>
              </w:rPr>
            </w:pPr>
            <w:r>
              <w:rPr>
                <w:rFonts w:ascii="Courier New" w:cs="Courier New" w:eastAsia="Courier New" w:hAnsi="Courier New"/>
                <w:sz w:val="14"/>
                <w:szCs w:val="14"/>
                <w:color w:val="auto"/>
              </w:rPr>
              <w:t>67</w:t>
            </w:r>
          </w:p>
        </w:tc>
        <w:tc>
          <w:tcPr>
            <w:tcW w:w="4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10.20</w:t>
            </w:r>
          </w:p>
        </w:tc>
        <w:tc>
          <w:tcPr>
            <w:tcW w:w="5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Employment Agreement dated as of August 14, 2000 between the</w:t>
            </w:r>
          </w:p>
        </w:tc>
        <w:tc>
          <w:tcPr>
            <w:tcW w:w="5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4740" w:type="dxa"/>
            <w:vAlign w:val="bottom"/>
          </w:tcPr>
          <w:p>
            <w:pPr>
              <w:ind w:left="200"/>
              <w:spacing w:after="0"/>
              <w:rPr>
                <w:sz w:val="20"/>
                <w:szCs w:val="20"/>
                <w:color w:val="auto"/>
              </w:rPr>
            </w:pPr>
            <w:r>
              <w:rPr>
                <w:rFonts w:ascii="Courier New" w:cs="Courier New" w:eastAsia="Courier New" w:hAnsi="Courier New"/>
                <w:sz w:val="14"/>
                <w:szCs w:val="14"/>
                <w:color w:val="auto"/>
              </w:rPr>
              <w:t>Company and Dennis R. Hernreich (included as Exhibit</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10.30</w:t>
            </w:r>
          </w:p>
        </w:tc>
        <w:tc>
          <w:tcPr>
            <w:tcW w:w="5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4740" w:type="dxa"/>
            <w:vAlign w:val="bottom"/>
          </w:tcPr>
          <w:p>
            <w:pPr>
              <w:ind w:left="200"/>
              <w:spacing w:after="0"/>
              <w:rPr>
                <w:sz w:val="20"/>
                <w:szCs w:val="20"/>
                <w:color w:val="auto"/>
              </w:rPr>
            </w:pPr>
            <w:r>
              <w:rPr>
                <w:rFonts w:ascii="Courier New" w:cs="Courier New" w:eastAsia="Courier New" w:hAnsi="Courier New"/>
                <w:sz w:val="14"/>
                <w:szCs w:val="14"/>
                <w:color w:val="auto"/>
              </w:rPr>
              <w:t>to the Company's Quarterly Report on Form 10-Q dated</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September 12, 2000, and 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10.21</w:t>
            </w:r>
          </w:p>
        </w:tc>
        <w:tc>
          <w:tcPr>
            <w:tcW w:w="4740" w:type="dxa"/>
            <w:vAlign w:val="bottom"/>
          </w:tcPr>
          <w:p>
            <w:pPr>
              <w:ind w:left="200"/>
              <w:spacing w:after="0"/>
              <w:rPr>
                <w:sz w:val="20"/>
                <w:szCs w:val="20"/>
                <w:color w:val="auto"/>
              </w:rPr>
            </w:pPr>
            <w:r>
              <w:rPr>
                <w:rFonts w:ascii="Courier New" w:cs="Courier New" w:eastAsia="Courier New" w:hAnsi="Courier New"/>
                <w:sz w:val="14"/>
                <w:szCs w:val="14"/>
                <w:color w:val="auto"/>
              </w:rPr>
              <w:t>Amendment to Employment Agreement dated as of August</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52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5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2000 between the Company and Dennis R. Hernreich (included</w:t>
            </w:r>
          </w:p>
        </w:tc>
        <w:tc>
          <w:tcPr>
            <w:tcW w:w="5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as Exhibit 10.23 to the Company's Quarterly Report on Form</w:t>
            </w:r>
          </w:p>
        </w:tc>
        <w:tc>
          <w:tcPr>
            <w:tcW w:w="5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4740" w:type="dxa"/>
            <w:vAlign w:val="bottom"/>
          </w:tcPr>
          <w:p>
            <w:pPr>
              <w:ind w:left="200"/>
              <w:spacing w:after="0"/>
              <w:rPr>
                <w:sz w:val="20"/>
                <w:szCs w:val="20"/>
                <w:color w:val="auto"/>
              </w:rPr>
            </w:pPr>
            <w:r>
              <w:rPr>
                <w:rFonts w:ascii="Courier New" w:cs="Courier New" w:eastAsia="Courier New" w:hAnsi="Courier New"/>
                <w:sz w:val="14"/>
                <w:szCs w:val="14"/>
                <w:color w:val="auto"/>
              </w:rPr>
              <w:t>10-Q dated June 19, 2001, and incorporated herein by</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4740" w:type="dxa"/>
            <w:vAlign w:val="bottom"/>
          </w:tcPr>
          <w:p>
            <w:pPr>
              <w:ind w:left="200"/>
              <w:spacing w:after="0"/>
              <w:rPr>
                <w:sz w:val="20"/>
                <w:szCs w:val="20"/>
                <w:color w:val="auto"/>
              </w:rPr>
            </w:pPr>
            <w:r>
              <w:rPr>
                <w:rFonts w:ascii="Courier New" w:cs="Courier New" w:eastAsia="Courier New" w:hAnsi="Courier New"/>
                <w:sz w:val="14"/>
                <w:szCs w:val="14"/>
                <w:color w:val="auto"/>
              </w:rPr>
              <w:t>reference).</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10.22</w:t>
            </w:r>
          </w:p>
        </w:tc>
        <w:tc>
          <w:tcPr>
            <w:tcW w:w="5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Employment Agreement dated as of October 22, 2001 between</w:t>
            </w:r>
          </w:p>
        </w:tc>
        <w:tc>
          <w:tcPr>
            <w:tcW w:w="52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4740" w:type="dxa"/>
            <w:vAlign w:val="bottom"/>
          </w:tcPr>
          <w:p>
            <w:pPr>
              <w:ind w:left="200"/>
              <w:spacing w:after="0"/>
              <w:rPr>
                <w:sz w:val="20"/>
                <w:szCs w:val="20"/>
                <w:color w:val="auto"/>
              </w:rPr>
            </w:pPr>
            <w:r>
              <w:rPr>
                <w:rFonts w:ascii="Courier New" w:cs="Courier New" w:eastAsia="Courier New" w:hAnsi="Courier New"/>
                <w:sz w:val="14"/>
                <w:szCs w:val="14"/>
                <w:color w:val="auto"/>
              </w:rPr>
              <w:t>the Company and Ronald N. Batts (included as Exhibit</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10.25</w:t>
            </w:r>
          </w:p>
        </w:tc>
        <w:tc>
          <w:tcPr>
            <w:tcW w:w="5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4740" w:type="dxa"/>
            <w:vAlign w:val="bottom"/>
          </w:tcPr>
          <w:p>
            <w:pPr>
              <w:ind w:left="200"/>
              <w:spacing w:after="0"/>
              <w:rPr>
                <w:sz w:val="20"/>
                <w:szCs w:val="20"/>
                <w:color w:val="auto"/>
              </w:rPr>
            </w:pPr>
            <w:r>
              <w:rPr>
                <w:rFonts w:ascii="Courier New" w:cs="Courier New" w:eastAsia="Courier New" w:hAnsi="Courier New"/>
                <w:sz w:val="14"/>
                <w:szCs w:val="14"/>
                <w:color w:val="auto"/>
              </w:rPr>
              <w:t>to the Company's Quarterly Report on Form 10-Q dated</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December 14, 2001, and 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10.23</w:t>
            </w:r>
          </w:p>
        </w:tc>
        <w:tc>
          <w:tcPr>
            <w:tcW w:w="5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Retail Store License Agreement dated as of January 9, 2002</w:t>
            </w:r>
          </w:p>
        </w:tc>
        <w:tc>
          <w:tcPr>
            <w:tcW w:w="52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4740" w:type="dxa"/>
            <w:vAlign w:val="bottom"/>
          </w:tcPr>
          <w:p>
            <w:pPr>
              <w:ind w:left="200"/>
              <w:spacing w:after="0"/>
              <w:rPr>
                <w:sz w:val="20"/>
                <w:szCs w:val="20"/>
                <w:color w:val="auto"/>
              </w:rPr>
            </w:pPr>
            <w:r>
              <w:rPr>
                <w:rFonts w:ascii="Courier New" w:cs="Courier New" w:eastAsia="Courier New" w:hAnsi="Courier New"/>
                <w:sz w:val="14"/>
                <w:szCs w:val="14"/>
                <w:color w:val="auto"/>
              </w:rPr>
              <w:t>between the Company and Candie's, Inc.</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10.24</w:t>
            </w:r>
          </w:p>
        </w:tc>
        <w:tc>
          <w:tcPr>
            <w:tcW w:w="4740" w:type="dxa"/>
            <w:vAlign w:val="bottom"/>
          </w:tcPr>
          <w:p>
            <w:pPr>
              <w:ind w:left="200"/>
              <w:spacing w:after="0"/>
              <w:rPr>
                <w:sz w:val="20"/>
                <w:szCs w:val="20"/>
                <w:color w:val="auto"/>
              </w:rPr>
            </w:pPr>
            <w:r>
              <w:rPr>
                <w:rFonts w:ascii="Courier New" w:cs="Courier New" w:eastAsia="Courier New" w:hAnsi="Courier New"/>
                <w:sz w:val="14"/>
                <w:szCs w:val="14"/>
                <w:color w:val="auto"/>
              </w:rPr>
              <w:t>Retail Store License Agreement Amendment No. 1 dated</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January</w:t>
            </w:r>
          </w:p>
        </w:tc>
        <w:tc>
          <w:tcPr>
            <w:tcW w:w="52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4740" w:type="dxa"/>
            <w:vAlign w:val="bottom"/>
          </w:tcPr>
          <w:p>
            <w:pPr>
              <w:ind w:left="200"/>
              <w:spacing w:after="0"/>
              <w:rPr>
                <w:sz w:val="20"/>
                <w:szCs w:val="20"/>
                <w:color w:val="auto"/>
              </w:rPr>
            </w:pPr>
            <w:r>
              <w:rPr>
                <w:rFonts w:ascii="Courier New" w:cs="Courier New" w:eastAsia="Courier New" w:hAnsi="Courier New"/>
                <w:sz w:val="14"/>
                <w:szCs w:val="14"/>
                <w:color w:val="auto"/>
              </w:rPr>
              <w:t>15, 2002 between the Company and Candie's, Inc.</w:t>
            </w: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18.1</w:t>
            </w:r>
          </w:p>
        </w:tc>
        <w:tc>
          <w:tcPr>
            <w:tcW w:w="5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Letter of Preferability from Ernst &amp; Young dated June 13,</w:t>
            </w:r>
          </w:p>
        </w:tc>
        <w:tc>
          <w:tcPr>
            <w:tcW w:w="520" w:type="dxa"/>
            <w:vAlign w:val="bottom"/>
          </w:tcPr>
          <w:p>
            <w:pPr>
              <w:spacing w:after="0"/>
              <w:rPr>
                <w:sz w:val="24"/>
                <w:szCs w:val="24"/>
                <w:color w:val="auto"/>
              </w:rPr>
            </w:pPr>
          </w:p>
        </w:tc>
      </w:tr>
      <w:tr>
        <w:trPr>
          <w:trHeight w:val="166"/>
        </w:trPr>
        <w:tc>
          <w:tcPr>
            <w:tcW w:w="660" w:type="dxa"/>
            <w:vAlign w:val="bottom"/>
          </w:tcPr>
          <w:p>
            <w:pPr>
              <w:spacing w:after="0"/>
              <w:rPr>
                <w:sz w:val="14"/>
                <w:szCs w:val="14"/>
                <w:color w:val="auto"/>
              </w:rPr>
            </w:pPr>
          </w:p>
        </w:tc>
        <w:tc>
          <w:tcPr>
            <w:tcW w:w="4740" w:type="dxa"/>
            <w:vAlign w:val="bottom"/>
          </w:tcPr>
          <w:p>
            <w:pPr>
              <w:ind w:left="200"/>
              <w:spacing w:after="0"/>
              <w:rPr>
                <w:sz w:val="20"/>
                <w:szCs w:val="20"/>
                <w:color w:val="auto"/>
              </w:rPr>
            </w:pPr>
            <w:r>
              <w:rPr>
                <w:rFonts w:ascii="Courier New" w:cs="Courier New" w:eastAsia="Courier New" w:hAnsi="Courier New"/>
                <w:sz w:val="14"/>
                <w:szCs w:val="14"/>
                <w:color w:val="auto"/>
              </w:rPr>
              <w:t>2001 (included as Exhibit 18.1 to the Company's Form</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10-Q</w:t>
            </w:r>
          </w:p>
        </w:tc>
        <w:tc>
          <w:tcPr>
            <w:tcW w:w="520" w:type="dxa"/>
            <w:vAlign w:val="bottom"/>
          </w:tcPr>
          <w:p>
            <w:pPr>
              <w:spacing w:after="0"/>
              <w:rPr>
                <w:sz w:val="14"/>
                <w:szCs w:val="14"/>
                <w:color w:val="auto"/>
              </w:rPr>
            </w:pPr>
          </w:p>
        </w:tc>
      </w:tr>
      <w:tr>
        <w:trPr>
          <w:trHeight w:val="166"/>
        </w:trPr>
        <w:tc>
          <w:tcPr>
            <w:tcW w:w="660" w:type="dxa"/>
            <w:vAlign w:val="bottom"/>
          </w:tcPr>
          <w:p>
            <w:pPr>
              <w:spacing w:after="0"/>
              <w:rPr>
                <w:sz w:val="14"/>
                <w:szCs w:val="14"/>
                <w:color w:val="auto"/>
              </w:rPr>
            </w:pPr>
          </w:p>
        </w:tc>
        <w:tc>
          <w:tcPr>
            <w:tcW w:w="5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dated June 19, 2001, and incorporated herein by reference).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23.1Consent of Ernst &amp; Young LLP.</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23.2Consent of Deloitte &amp; Touche LLP.</w:t>
      </w:r>
    </w:p>
    <w:p>
      <w:pPr>
        <w:spacing w:after="0" w:line="173" w:lineRule="exact"/>
        <w:rPr>
          <w:sz w:val="20"/>
          <w:szCs w:val="20"/>
          <w:color w:val="auto"/>
        </w:rPr>
      </w:pPr>
    </w:p>
    <w:p>
      <w:pPr>
        <w:ind w:left="860" w:right="3419" w:hanging="852"/>
        <w:spacing w:after="0" w:line="251" w:lineRule="auto"/>
        <w:tabs>
          <w:tab w:leader="none" w:pos="8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 of the Company on Form 8-K, dated April 28, 2000 concerning certain cautionary statements of the Company to be taken into account in conjunction with consideration and review of the Company's publicly-disseminated documents (including oral statements made by others on behalf of the Company) that include forward looking information. *</w:t>
      </w:r>
    </w:p>
    <w:p>
      <w:pPr>
        <w:spacing w:after="0" w:line="164" w:lineRule="exact"/>
        <w:rPr>
          <w:sz w:val="20"/>
          <w:szCs w:val="20"/>
          <w:color w:val="auto"/>
        </w:rPr>
      </w:pPr>
    </w:p>
    <w:p>
      <w:pPr>
        <w:ind w:left="520" w:hanging="512"/>
        <w:spacing w:after="0"/>
        <w:tabs>
          <w:tab w:leader="none" w:pos="5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Securities and Exchange Commission.</w:t>
      </w:r>
    </w:p>
    <w:p>
      <w:pPr>
        <w:spacing w:after="0" w:line="173" w:lineRule="exact"/>
        <w:rPr>
          <w:sz w:val="20"/>
          <w:szCs w:val="20"/>
          <w:color w:val="auto"/>
        </w:rPr>
      </w:pPr>
    </w:p>
    <w:p>
      <w:pPr>
        <w:ind w:left="520" w:right="3679" w:hanging="512"/>
        <w:spacing w:after="0" w:line="252" w:lineRule="auto"/>
        <w:tabs>
          <w:tab w:leader="none" w:pos="5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has been omitted from this exhibit pursuant to a request for confidential treatment. The omitted material has been filed separately with the Securities and Exchange Commission.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16" w:right="1440" w:bottom="1440" w:gutter="0" w:footer="0" w:header="0"/>
        </w:sectPr>
      </w:pPr>
    </w:p>
    <w:bookmarkStart w:id="69" w:name="page70"/>
    <w:bookmarkEnd w:id="69"/>
    <w:p>
      <w:pPr>
        <w:jc w:val="center"/>
        <w:ind w:right="333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Company has duly caused this report to be signed on its behalf by the undersigned, thereunto duly authorized.</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 2002</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By: /s/ David A. Levin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David A. Levin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Pursuant to the requirements of the Securities and Exchange Act of 1934, this report has been signed below by the following persons on behalf of the Company in the capacities indicated, on May 1, 2002.</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David A. Levin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A. Levin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Executive Officer)</w:t>
      </w:r>
    </w:p>
    <w:p>
      <w:pPr>
        <w:spacing w:after="0" w:line="338" w:lineRule="exact"/>
        <w:rPr>
          <w:sz w:val="20"/>
          <w:szCs w:val="20"/>
          <w:color w:val="auto"/>
        </w:rPr>
      </w:pPr>
    </w:p>
    <w:p>
      <w:pPr>
        <w:sectPr>
          <w:pgSz w:w="11900" w:h="16838" w:orient="portrait"/>
          <w:cols w:equalWidth="0" w:num="2">
            <w:col w:w="4020" w:space="720"/>
            <w:col w:w="54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Dennis R. Hernreich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Dennis R. Hernreich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 Chief Financial Officer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and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Officer)</w:t>
      </w:r>
    </w:p>
    <w:p>
      <w:pPr>
        <w:spacing w:after="0" w:line="200" w:lineRule="exact"/>
        <w:rPr>
          <w:sz w:val="20"/>
          <w:szCs w:val="20"/>
          <w:color w:val="auto"/>
        </w:rPr>
      </w:pPr>
    </w:p>
    <w:p>
      <w:pPr>
        <w:sectPr>
          <w:pgSz w:w="11900" w:h="16838" w:orient="portrait"/>
          <w:cols w:equalWidth="0" w:num="2">
            <w:col w:w="4020" w:space="720"/>
            <w:col w:w="549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Seymour Holtzman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of Directors</w:t>
      </w:r>
    </w:p>
    <w:p>
      <w:pPr>
        <w:spacing w:after="0" w:line="7" w:lineRule="exact"/>
        <w:rPr>
          <w:sz w:val="20"/>
          <w:szCs w:val="20"/>
          <w:color w:val="auto"/>
        </w:rPr>
      </w:pPr>
    </w:p>
    <w:p>
      <w:pPr>
        <w:sectPr>
          <w:pgSz w:w="11900" w:h="16838" w:orient="portrait"/>
          <w:cols w:equalWidth="0" w:num="2">
            <w:col w:w="4020" w:space="720"/>
            <w:col w:w="5499"/>
          </w:cols>
          <w:pgMar w:left="220" w:top="616" w:right="1440" w:bottom="1440" w:gutter="0" w:footer="0" w:header="0"/>
          <w:type w:val="continuous"/>
        </w:sect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Seymour Holtzman</w:t>
      </w:r>
    </w:p>
    <w:p>
      <w:pPr>
        <w:spacing w:after="0" w:line="173"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/s/ George T. Porter, Jr.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George T. Porter, Jr.</w:t>
      </w:r>
    </w:p>
    <w:p>
      <w:pPr>
        <w:spacing w:after="0" w:line="173" w:lineRule="exact"/>
        <w:rPr>
          <w:sz w:val="20"/>
          <w:szCs w:val="20"/>
          <w:color w:val="auto"/>
        </w:rPr>
      </w:pPr>
    </w:p>
    <w:p>
      <w:pPr>
        <w:spacing w:after="0"/>
        <w:tabs>
          <w:tab w:leader="none" w:pos="420" w:val="left"/>
          <w:tab w:leader="none" w:pos="4720" w:val="left"/>
        </w:tabs>
        <w:rPr>
          <w:sz w:val="20"/>
          <w:szCs w:val="20"/>
          <w:color w:val="auto"/>
        </w:rPr>
      </w:pPr>
      <w:r>
        <w:rPr>
          <w:rFonts w:ascii="Courier New" w:cs="Courier New" w:eastAsia="Courier New" w:hAnsi="Courier New"/>
          <w:sz w:val="14"/>
          <w:szCs w:val="14"/>
          <w:color w:val="auto"/>
        </w:rPr>
        <w:t>/s/</w:t>
        <w:tab/>
        <w:t>Joseph Pennacchio</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Joseph Pennacchio</w:t>
      </w:r>
    </w:p>
    <w:p>
      <w:pPr>
        <w:spacing w:after="0" w:line="173"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/s/ Jeremiah P. Murphy, Jr.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Jeremiah P. Murphy, Jr.</w:t>
      </w:r>
    </w:p>
    <w:p>
      <w:pPr>
        <w:spacing w:after="0" w:line="173"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/s/ Stanley L. Berger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Stanley L. Berger</w:t>
      </w:r>
    </w:p>
    <w:p>
      <w:pPr>
        <w:spacing w:after="0" w:line="173"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/s/ Jesse H. Choper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Jesse H. Choper</w:t>
      </w:r>
    </w:p>
    <w:p>
      <w:pPr>
        <w:spacing w:after="0" w:line="173"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Alan Cohen</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616" w:right="1440" w:bottom="1440" w:gutter="0" w:footer="0" w:header="0"/>
          <w:type w:val="continuous"/>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OTHER SHAREHOLDER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Seymour Holtzman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Jewelcor Management,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Stanley L. Berger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Jesse Choper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 Professor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University of California Law School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A. Levin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Jeremiah P. Murphy,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of Harvard Coop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Pennacchio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of Aurafin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T. Porter, Jr.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Alan Cohen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A. Levin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Dennis R. Hernreich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Treasurer and Secretary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Ronald N. Batts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Officers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Martin Goldstein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and Construction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Susan J. Murray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Human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Wilbur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Information Officer</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616"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4"/>
          <w:szCs w:val="14"/>
          <w:color w:val="auto"/>
        </w:rPr>
        <w:t>Corporate Offices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 B Street</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Needham, MA</w:t>
        <w:tab/>
        <w:t>02494</w:t>
      </w:r>
    </w:p>
    <w:p>
      <w:pPr>
        <w:spacing w:after="0" w:line="7" w:lineRule="exact"/>
        <w:rPr>
          <w:sz w:val="20"/>
          <w:szCs w:val="20"/>
          <w:color w:val="auto"/>
        </w:rPr>
      </w:pPr>
    </w:p>
    <w:p>
      <w:pPr>
        <w:ind w:right="8419" w:firstLine="8"/>
        <w:spacing w:after="0" w:line="501" w:lineRule="auto"/>
        <w:tabs>
          <w:tab w:leader="none" w:pos="517"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444-7222 Financial Information</w:t>
      </w:r>
    </w:p>
    <w:p>
      <w:pPr>
        <w:ind w:right="3339"/>
        <w:spacing w:after="0" w:line="251" w:lineRule="auto"/>
        <w:rPr>
          <w:sz w:val="20"/>
          <w:szCs w:val="20"/>
          <w:color w:val="auto"/>
        </w:rPr>
      </w:pPr>
      <w:r>
        <w:rPr>
          <w:rFonts w:ascii="Courier New" w:cs="Courier New" w:eastAsia="Courier New" w:hAnsi="Courier New"/>
          <w:sz w:val="14"/>
          <w:szCs w:val="14"/>
          <w:color w:val="auto"/>
        </w:rPr>
        <w:t>Requests for financial information should be directed to the Investor Relations Department at the Company's headquarters: Designs, Inc., 66 B Street, Needham, MA 02494, (781) 444-7222. A copy of the Company's Annual Report on Form 10-K for the fiscal year ended February 2, 2002, filed with the Securities and Exchange Commission, may be obtained without charge upon request to the Investor Relations Department.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2002 Annual Meeting of Stockholders of Designs, Inc. is expected to be held on or about August 8, 2002.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 reporting dates for fiscal year 2003 quarterly earnings are: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Quarter 1:</w:t>
            </w:r>
          </w:p>
        </w:tc>
        <w:tc>
          <w:tcPr>
            <w:tcW w:w="1720" w:type="dxa"/>
            <w:vAlign w:val="bottom"/>
          </w:tcPr>
          <w:p>
            <w:pPr>
              <w:ind w:left="240"/>
              <w:spacing w:after="0"/>
              <w:rPr>
                <w:sz w:val="20"/>
                <w:szCs w:val="20"/>
                <w:color w:val="auto"/>
              </w:rPr>
            </w:pPr>
            <w:r>
              <w:rPr>
                <w:rFonts w:ascii="Courier New" w:cs="Courier New" w:eastAsia="Courier New" w:hAnsi="Courier New"/>
                <w:sz w:val="14"/>
                <w:szCs w:val="14"/>
                <w:color w:val="auto"/>
              </w:rPr>
              <w:t>May 20, 2002</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Quarter 2:</w:t>
            </w:r>
          </w:p>
        </w:tc>
        <w:tc>
          <w:tcPr>
            <w:tcW w:w="1720" w:type="dxa"/>
            <w:vAlign w:val="bottom"/>
          </w:tcPr>
          <w:p>
            <w:pPr>
              <w:ind w:left="240"/>
              <w:spacing w:after="0"/>
              <w:rPr>
                <w:sz w:val="20"/>
                <w:szCs w:val="20"/>
                <w:color w:val="auto"/>
              </w:rPr>
            </w:pPr>
            <w:r>
              <w:rPr>
                <w:rFonts w:ascii="Courier New" w:cs="Courier New" w:eastAsia="Courier New" w:hAnsi="Courier New"/>
                <w:sz w:val="14"/>
                <w:szCs w:val="14"/>
                <w:color w:val="auto"/>
              </w:rPr>
              <w:t>August 19, 2002</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1720" w:type="dxa"/>
            <w:vAlign w:val="bottom"/>
          </w:tcPr>
          <w:p>
            <w:pPr>
              <w:ind w:left="240"/>
              <w:spacing w:after="0"/>
              <w:rPr>
                <w:sz w:val="20"/>
                <w:szCs w:val="20"/>
                <w:color w:val="auto"/>
              </w:rPr>
            </w:pPr>
            <w:r>
              <w:rPr>
                <w:rFonts w:ascii="Courier New" w:cs="Courier New" w:eastAsia="Courier New" w:hAnsi="Courier New"/>
                <w:sz w:val="14"/>
                <w:szCs w:val="14"/>
                <w:color w:val="auto"/>
              </w:rPr>
              <w:t>November 18, 2002</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4 and fiscal year end:</w:t>
            </w:r>
          </w:p>
        </w:tc>
        <w:tc>
          <w:tcPr>
            <w:tcW w:w="1720" w:type="dxa"/>
            <w:vAlign w:val="bottom"/>
          </w:tcPr>
          <w:p>
            <w:pPr>
              <w:ind w:left="240"/>
              <w:spacing w:after="0"/>
              <w:rPr>
                <w:sz w:val="20"/>
                <w:szCs w:val="20"/>
                <w:color w:val="auto"/>
              </w:rPr>
            </w:pPr>
            <w:r>
              <w:rPr>
                <w:rFonts w:ascii="Courier New" w:cs="Courier New" w:eastAsia="Courier New" w:hAnsi="Courier New"/>
                <w:sz w:val="14"/>
                <w:szCs w:val="14"/>
                <w:color w:val="auto"/>
              </w:rPr>
              <w:t>March 17, 2003</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Agent and Registrar</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Inquiries regarding stock transfer requirements, address changes and lost stock certificates should be directed to: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Fleet National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EquiServe, 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43010</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Providence, RI</w:t>
        <w:tab/>
        <w:t>02940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services: 781-575-3400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www.equiserve.com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Ernst &amp; Young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 Clarendon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 02116-5072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"Dockers(R)," "Levi's(R)" and "Slates(R)" are registered trademarks of Levi Strauss &amp; Co. "Candie's(R)" is a registered trademark of Candie's, Inc. "EcKo(R)" is a registered trademark of EcKo Complex, LLC.</w:t>
      </w:r>
    </w:p>
    <w:p>
      <w:pPr>
        <w:sectPr>
          <w:pgSz w:w="11900" w:h="16838" w:orient="portrait"/>
          <w:cols w:equalWidth="0" w:num="1">
            <w:col w:w="10239"/>
          </w:cols>
          <w:pgMar w:left="220" w:top="616" w:right="1440" w:bottom="1440" w:gutter="0" w:footer="0" w:header="0"/>
        </w:sectPr>
      </w:pPr>
    </w:p>
    <w:bookmarkStart w:id="72" w:name="page73"/>
    <w:bookmarkEnd w:id="72"/>
    <w:p>
      <w:pPr>
        <w:jc w:val="right"/>
        <w:ind w:right="3339"/>
        <w:spacing w:after="0"/>
        <w:rPr>
          <w:sz w:val="20"/>
          <w:szCs w:val="20"/>
          <w:color w:val="auto"/>
        </w:rPr>
      </w:pPr>
      <w:r>
        <w:rPr>
          <w:rFonts w:ascii="Courier New" w:cs="Courier New" w:eastAsia="Courier New" w:hAnsi="Courier New"/>
          <w:sz w:val="14"/>
          <w:szCs w:val="14"/>
          <w:color w:val="auto"/>
        </w:rPr>
        <w:t>Exhibit 10.23</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Confidential Treatment Requested</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RETAIL STORE LICENSE AGREEMENT</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This retail store license agreement (this "Agreement") is dated January 9, 2002, and is between CANDIE'S, INC., a Delaware corporation ("Candies"), and DESIGNS, INC., a Delaware corporation ("Designs").</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Within the U.S., Candies is engaged primarily in the design, marketing, and distribution of footwear to department, specialty, chain, and company-owned stores. Designs is a retailer selling Levi Strauss &amp; Co. branded apparel and accessories.</w:t>
      </w:r>
    </w:p>
    <w:p>
      <w:pPr>
        <w:spacing w:after="0" w:line="162"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Designs wishes to open and operate in the Territory stores that sell Products and are identified by display of one or more of the Marks.</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parties therefor agree as follows: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When used in this Agreement, the following terms have the following meanings:</w:t>
      </w:r>
    </w:p>
    <w:p>
      <w:pPr>
        <w:spacing w:after="0" w:line="160"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"Affiliate" means, with respect to any given Person, any other Person at the time directly or indirectly controlling, controlled by or under common control with that Person, or (2) any director, officer or employee of that Person. For purposes of this definition, "control" means the possession, directly or indirectly, of the power to direct or cause the direction of the management and policies of a Person through ownership of voting securities.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"Average Retail Net Sales Volume" means, with respect to any given Stores for any given period of time, the aggregate Retail Net Sales Volumes for all those Stores during that period of time, divided by the number of those Stores, the parties acknowledging that if the Average Retail Net Sales Volume for any given Stores for any given period of time is a given dollar amount, it is probable that the Retail Net Sales Volume of some or all of those Stores for that period of time will be either less than or in excess of that dollar amount.</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"Bankruptcy Event" means with respect to any Person any of the following:</w:t>
      </w:r>
    </w:p>
    <w:p>
      <w:pPr>
        <w:spacing w:after="0" w:line="173" w:lineRule="exact"/>
        <w:rPr>
          <w:sz w:val="20"/>
          <w:szCs w:val="20"/>
          <w:color w:val="auto"/>
        </w:rPr>
      </w:pPr>
    </w:p>
    <w:p>
      <w:pPr>
        <w:ind w:left="520" w:hanging="512"/>
        <w:spacing w:after="0"/>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institution by that Person of bankruptcy or insolvency proceedings;</w:t>
      </w:r>
    </w:p>
    <w:p>
      <w:pPr>
        <w:spacing w:after="0" w:line="172" w:lineRule="exact"/>
        <w:rPr>
          <w:rFonts w:ascii="Courier New" w:cs="Courier New" w:eastAsia="Courier New" w:hAnsi="Courier New"/>
          <w:sz w:val="14"/>
          <w:szCs w:val="14"/>
          <w:color w:val="auto"/>
        </w:rPr>
      </w:pPr>
    </w:p>
    <w:p>
      <w:pPr>
        <w:ind w:left="520" w:right="3419" w:hanging="512"/>
        <w:spacing w:after="0" w:line="255" w:lineRule="auto"/>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consent of that Person to the institution of bankruptcy or insolvency proceedings against that Person;</w:t>
      </w:r>
    </w:p>
    <w:p>
      <w:pPr>
        <w:spacing w:after="0" w:line="159" w:lineRule="exact"/>
        <w:rPr>
          <w:rFonts w:ascii="Courier New" w:cs="Courier New" w:eastAsia="Courier New" w:hAnsi="Courier New"/>
          <w:sz w:val="14"/>
          <w:szCs w:val="14"/>
          <w:color w:val="auto"/>
        </w:rPr>
      </w:pPr>
    </w:p>
    <w:p>
      <w:pPr>
        <w:ind w:left="520" w:right="3339" w:hanging="512"/>
        <w:spacing w:after="0" w:line="251" w:lineRule="auto"/>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by that Person of a petition seeking reorganization or release under applicable law, or the consent by that Person to the filing of any such petition or to the appointment of a receiver, liquidator, assignee, trustee, sequestrator (or other similar official) of that Person or of any substantial part of the property of that Person;</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9" w:lineRule="exact"/>
        <w:rPr>
          <w:rFonts w:ascii="Courier New" w:cs="Courier New" w:eastAsia="Courier New" w:hAnsi="Courier New"/>
          <w:sz w:val="14"/>
          <w:szCs w:val="14"/>
          <w:color w:val="auto"/>
        </w:rPr>
      </w:pPr>
    </w:p>
    <w:p>
      <w:pPr>
        <w:ind w:left="520" w:right="3519" w:hanging="512"/>
        <w:spacing w:after="0" w:line="255" w:lineRule="auto"/>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making by that Person of an assignment for the benefit of creditors; and</w:t>
      </w:r>
    </w:p>
    <w:p>
      <w:pPr>
        <w:spacing w:after="0" w:line="159" w:lineRule="exact"/>
        <w:rPr>
          <w:rFonts w:ascii="Courier New" w:cs="Courier New" w:eastAsia="Courier New" w:hAnsi="Courier New"/>
          <w:sz w:val="14"/>
          <w:szCs w:val="14"/>
          <w:color w:val="auto"/>
        </w:rPr>
      </w:pPr>
    </w:p>
    <w:p>
      <w:pPr>
        <w:ind w:left="520" w:right="3339" w:hanging="512"/>
        <w:spacing w:after="0" w:line="250" w:lineRule="auto"/>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entry of an Order by a court having jurisdiction adjudging that Person bankrupt or insolvent, or approving as properly filed a petition seeking reorganization, arrangement, adjustment, or composition of or in respect of that Person under applicable law, or appointing a receiver, liquidator, assignee, trustee, sequestrator (or other similar official) of that Person, or of any substantial part of the property of that Person, or ordering the winding up or liquidation of the affairs of that Person, and</w:t>
      </w:r>
    </w:p>
    <w:p>
      <w:pPr>
        <w:spacing w:after="0" w:line="3" w:lineRule="exact"/>
        <w:rPr>
          <w:rFonts w:ascii="Courier New" w:cs="Courier New" w:eastAsia="Courier New" w:hAnsi="Courier New"/>
          <w:sz w:val="14"/>
          <w:szCs w:val="14"/>
          <w:color w:val="auto"/>
        </w:rPr>
      </w:pPr>
    </w:p>
    <w:p>
      <w:pPr>
        <w:ind w:left="520" w:right="3599" w:firstLine="5"/>
        <w:spacing w:after="0" w:line="255" w:lineRule="auto"/>
        <w:tabs>
          <w:tab w:leader="none" w:pos="864"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Person consents to that decree or order or (B) that decree or order remains unstayed and in effect for more than 60 consecutive days.</w:t>
      </w:r>
    </w:p>
    <w:p>
      <w:pPr>
        <w:spacing w:after="0" w:line="160"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"Business Day" means any Monday, Tuesday, Wednesday, Thursday, or Friday that is not a day on which banking institutions in the State of New York are authorized by law, regulation or executive order to close.</w:t>
      </w:r>
    </w:p>
    <w:p>
      <w:pPr>
        <w:spacing w:after="0" w:line="16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"Confidential Information" of either party means any confidential or proprietary information of that party, and includes but is not limited to information relating to the Products, the Marks, current or anticipated products, processes, know-how, customers, sales, business affairs, contractual arrangements, the identity of Representatives, but does not include the following:</w:t>
      </w:r>
    </w:p>
    <w:p>
      <w:pPr>
        <w:spacing w:after="0" w:line="164" w:lineRule="exact"/>
        <w:rPr>
          <w:sz w:val="20"/>
          <w:szCs w:val="20"/>
          <w:color w:val="auto"/>
        </w:rPr>
      </w:pPr>
    </w:p>
    <w:p>
      <w:pPr>
        <w:ind w:left="520" w:right="3519" w:hanging="512"/>
        <w:spacing w:after="0" w:line="252" w:lineRule="auto"/>
        <w:tabs>
          <w:tab w:leader="none" w:pos="5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that is or becomes generally available to the public other than as a result of a breach of this Agreement by the receiving party or its Representatives;</w:t>
      </w:r>
    </w:p>
    <w:p>
      <w:pPr>
        <w:spacing w:after="0" w:line="162" w:lineRule="exact"/>
        <w:rPr>
          <w:rFonts w:ascii="Courier New" w:cs="Courier New" w:eastAsia="Courier New" w:hAnsi="Courier New"/>
          <w:sz w:val="14"/>
          <w:szCs w:val="14"/>
          <w:color w:val="auto"/>
        </w:rPr>
      </w:pPr>
    </w:p>
    <w:p>
      <w:pPr>
        <w:ind w:left="520" w:right="3339" w:hanging="512"/>
        <w:spacing w:after="0" w:line="251" w:lineRule="auto"/>
        <w:tabs>
          <w:tab w:leader="none" w:pos="5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that was within the receiving party's possession or knowledge prior to its being furnished to the receiving party by or on behalf of the disclosing party, on condition that the source of that information was not known by the receiving party to be bound by a confidentiality agreement with or other contractual, legal or fiduciary obligation of confidentiality to the disclosing party;</w:t>
      </w:r>
    </w:p>
    <w:p>
      <w:pPr>
        <w:spacing w:after="0" w:line="164" w:lineRule="exact"/>
        <w:rPr>
          <w:rFonts w:ascii="Courier New" w:cs="Courier New" w:eastAsia="Courier New" w:hAnsi="Courier New"/>
          <w:sz w:val="14"/>
          <w:szCs w:val="14"/>
          <w:color w:val="auto"/>
        </w:rPr>
      </w:pPr>
    </w:p>
    <w:p>
      <w:pPr>
        <w:ind w:left="520" w:right="3519" w:hanging="512"/>
        <w:spacing w:after="0" w:line="251" w:lineRule="auto"/>
        <w:tabs>
          <w:tab w:leader="none" w:pos="5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that is or becomes available to the receiving party on a non-confidential basis from a source other than the disclosing party or any of its Representatives, on condition that that source was not known after reasonable inquiry by the receiving party to be bound by a confidentiality agreement with or other contractual, legal or fiduciary obligation of confidentiality to the disclosing party or any other party with respect to that information; or</w:t>
      </w:r>
    </w:p>
    <w:p>
      <w:pPr>
        <w:sectPr>
          <w:pgSz w:w="11900" w:h="16838" w:orient="portrait"/>
          <w:cols w:equalWidth="0" w:num="1">
            <w:col w:w="10239"/>
          </w:cols>
          <w:pgMar w:left="220" w:top="141" w:right="1440" w:bottom="0" w:gutter="0" w:footer="0" w:header="0"/>
        </w:sectPr>
      </w:pPr>
    </w:p>
    <w:bookmarkStart w:id="73" w:name="page74"/>
    <w:bookmarkEnd w:id="73"/>
    <w:p>
      <w:pPr>
        <w:ind w:left="520" w:right="3339" w:hanging="512"/>
        <w:spacing w:after="0" w:line="252" w:lineRule="auto"/>
        <w:tabs>
          <w:tab w:leader="none" w:pos="5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that is independently developed by the receiving party without use of Evaluation Material and otherwise in a manner not consistent with this Agreement.</w:t>
      </w:r>
    </w:p>
    <w:p>
      <w:pPr>
        <w:spacing w:after="0" w:line="16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Without limiting the generality of the foregoing, information is considered Confidential Information if the delivering party so informs the receiving party or if the receiving party knew or reasonably should have known that the information was confidential or proprietary.</w:t>
      </w:r>
    </w:p>
    <w:p>
      <w:pPr>
        <w:spacing w:after="0" w:line="162"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"Consent" means any approval, consent, ratification, filing, declaration, registration, waiver, or other authorization (including any Permit).</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141" w:right="1440" w:bottom="1440" w:gutter="0" w:footer="0" w:header="0"/>
        </w:sectPr>
      </w:pPr>
    </w:p>
    <w:bookmarkStart w:id="74" w:name="page75"/>
    <w:bookmarkEnd w:id="74"/>
    <w:p>
      <w:pPr>
        <w:ind w:right="3339" w:firstLine="517"/>
        <w:spacing w:after="0" w:line="252" w:lineRule="auto"/>
        <w:rPr>
          <w:sz w:val="20"/>
          <w:szCs w:val="20"/>
          <w:color w:val="auto"/>
        </w:rPr>
      </w:pPr>
      <w:r>
        <w:rPr>
          <w:rFonts w:ascii="Courier New" w:cs="Courier New" w:eastAsia="Courier New" w:hAnsi="Courier New"/>
          <w:sz w:val="14"/>
          <w:szCs w:val="14"/>
          <w:color w:val="auto"/>
        </w:rPr>
        <w:t>"Contract" means any written or unwritten agreement, contract, obligation, promise, arrangement, or undertaking that is legally binding, including any amendment or supplement thereto.</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"Contract Year" means twelve-month period during the term of this Agreement commencing at midnight at the beginning of February 1 and ending at midnight at the end of the following January 31, except that Contract Year 1 begins on the date of this Agreement and ends on January 31, 2003, and the last Contract Year ends on the date this Agreement terminates.</w:t>
      </w:r>
    </w:p>
    <w:p>
      <w:pPr>
        <w:spacing w:after="0" w:line="16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"First Cost" refers to any Product purchased by Designs outside the Territory and means the price paid to the manufacturer for that Product and does not include any other costs, including without limitation shipping, handling, or insurance costs or any taxes, duties, or customs charges.</w:t>
      </w:r>
    </w:p>
    <w:p>
      <w:pPr>
        <w:spacing w:after="0" w:line="162"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"GAAP" means generally accepted United States accounting principles, consistently applied.</w:t>
      </w:r>
    </w:p>
    <w:p>
      <w:pPr>
        <w:spacing w:after="0" w:line="160"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"Governmental Authority" means any (1) nation, state, county, city, town, village, district, or other jurisdiction of any nature, (2) federal, state, local, municipal, foreign, or other government, (3) governmental or quasi-governmental authority of any nature (including any governmental agency, branch, department, official, or entity and any court or other tribunal, including an arbitral tribunal), (4) multi-national organization or body, and</w:t>
      </w:r>
    </w:p>
    <w:p>
      <w:pPr>
        <w:spacing w:after="0" w:line="3" w:lineRule="exact"/>
        <w:rPr>
          <w:sz w:val="20"/>
          <w:szCs w:val="20"/>
          <w:color w:val="auto"/>
        </w:rPr>
      </w:pPr>
    </w:p>
    <w:p>
      <w:pPr>
        <w:ind w:right="3519" w:firstLine="8"/>
        <w:spacing w:after="0" w:line="252" w:lineRule="auto"/>
        <w:tabs>
          <w:tab w:leader="none" w:pos="344"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body exercising, or entitled to exercise, any administrative, executive, judicial, legislative, police, regulatory, or taxing authority or power of any nature.</w:t>
      </w:r>
    </w:p>
    <w:p>
      <w:pPr>
        <w:spacing w:after="0" w:line="16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"Hash Lot" means any lot of Products consisting of cases of footwear of mixed styles, colors, or sizes from Candies' warehouse and/or returns from Candies' concept stores.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"Indemnifiable Losses" means all losses, liabilities, damages, deficiencies, obligations, fines, expenses, claims, demands, actions, suits, proceedings, judgments or settlements, whether or not resulting from Third-Party Claims, incurred or suffered by an Indemnified Party, including interest and penalties with respect thereto and out-of-pocket expenses and reasonable attorneys' and accountants' fees and expenses incurred in the investigation or defense of any of the same or in asserting, preserving or enforcing any of the Indemnity's rights hereunder, net of any amounts recovered or recoverable under any insurance policy.</w:t>
      </w:r>
    </w:p>
    <w:p>
      <w:pPr>
        <w:spacing w:after="0" w:line="164"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"In-line Product" means any item in the entire line of in-season footwear Products that Candies offers to full-price retailers for resale.</w:t>
      </w:r>
    </w:p>
    <w:p>
      <w:pPr>
        <w:spacing w:after="0" w:line="160"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"In-stock Product" means any In-line Product that Candies warehouses at its facilities for purposes of customer replenishment.</w:t>
      </w:r>
    </w:p>
    <w:p>
      <w:pPr>
        <w:spacing w:after="0" w:line="16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"Landed Cost" refers to any Product purchased by Designs within the Territory and means the price paid to any seller (other than Candies) for that Product and does not include any shipping, handling, or insurance costs incurred in shipping that Product to Designs from that seller.</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75" w:name="page76"/>
    <w:bookmarkEnd w:id="75"/>
    <w:p>
      <w:pPr>
        <w:ind w:right="3419" w:firstLine="517"/>
        <w:spacing w:after="0" w:line="252" w:lineRule="auto"/>
        <w:rPr>
          <w:sz w:val="20"/>
          <w:szCs w:val="20"/>
          <w:color w:val="auto"/>
        </w:rPr>
      </w:pPr>
      <w:r>
        <w:rPr>
          <w:rFonts w:ascii="Courier New" w:cs="Courier New" w:eastAsia="Courier New" w:hAnsi="Courier New"/>
          <w:sz w:val="14"/>
          <w:szCs w:val="14"/>
          <w:color w:val="auto"/>
        </w:rPr>
        <w:t>"Law" means any federal, state, local, municipal, foreign, international, multinational, or other administrative order, constitution, law, ordinance, principle of common law, regulation, statute, or treaty.</w:t>
      </w:r>
    </w:p>
    <w:p>
      <w:pPr>
        <w:spacing w:after="0" w:line="163"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"Licensed Product" means any Product manufactured or supplied by any Person under license from Candies.</w:t>
      </w:r>
    </w:p>
    <w:p>
      <w:pPr>
        <w:spacing w:after="0" w:line="160"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"Lien" means any charge, claim, community property interest, condition, equitable interest, lien, option, pledge, security interest, right of first refusal, or restriction of any kind, including any restriction on use, voting, transfer, receipt of income, or exercise of any other attribute of ownership.</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"Marks" means those trademarks and service marks listed on Schedule C.</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"Order" means any award, decision, injunction, judgment, order, ruling, consent decree, subpoena, or verdict entered, issued, made, or rendered by any court, arbitral tribunal, administrative agency, or other Governmental Body.</w:t>
      </w:r>
    </w:p>
    <w:p>
      <w:pPr>
        <w:spacing w:after="0" w:line="163"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"Outlet Center" means a mall or shopping center composed primarily of outlet stores.</w:t>
      </w:r>
    </w:p>
    <w:p>
      <w:pPr>
        <w:spacing w:after="0" w:line="160"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"Outlet Store" means any outlet store for Retail Sale of Products that is operated by Designs or any Affiliate and is located in an Outlet Center.</w:t>
      </w:r>
    </w:p>
    <w:p>
      <w:pPr>
        <w:spacing w:after="0" w:line="160" w:lineRule="exact"/>
        <w:rPr>
          <w:sz w:val="20"/>
          <w:szCs w:val="20"/>
          <w:color w:val="auto"/>
        </w:rPr>
      </w:pPr>
    </w:p>
    <w:p>
      <w:pPr>
        <w:jc w:val="both"/>
        <w:ind w:right="3599" w:firstLine="517"/>
        <w:spacing w:after="0" w:line="252" w:lineRule="auto"/>
        <w:rPr>
          <w:sz w:val="20"/>
          <w:szCs w:val="20"/>
          <w:color w:val="auto"/>
        </w:rPr>
      </w:pPr>
      <w:r>
        <w:rPr>
          <w:rFonts w:ascii="Courier New" w:cs="Courier New" w:eastAsia="Courier New" w:hAnsi="Courier New"/>
          <w:sz w:val="14"/>
          <w:szCs w:val="14"/>
          <w:color w:val="auto"/>
        </w:rPr>
        <w:t>"Permit" means any approval, consent, license, permit, waiver, or other authorization issued, granted, given, or otherwise made available by or under the authority of any Governmental Authority or pursuant to any Law.</w:t>
      </w:r>
    </w:p>
    <w:p>
      <w:pPr>
        <w:spacing w:after="0" w:line="16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"Person" means any individual, corporation (including any non-profit corporation), general or limited partnership, limited liability company, joint venture, estate, trust, association, organization, labor union, Governmental Authority or other entity.</w:t>
      </w:r>
    </w:p>
    <w:p>
      <w:pPr>
        <w:spacing w:after="0" w:line="162"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"Proceeding" means any action, arbitration, audit, hearing, investigation, litigation, or suit (whether civil, criminal, administrative, investigative, or informal) commenced, brought, conducted, or heard by or before, or otherwise involving, any Governmental Authority.</w:t>
      </w:r>
    </w:p>
    <w:p>
      <w:pPr>
        <w:spacing w:after="0" w:line="162"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"Product" means any item of merchandise bearing one or more of the Marks or any of the trademarks or service marks listed on Schedule D.</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"Quarter" means any of (1) the period commencing the date of this Agreement and ending on January 31, 2002, (2) any subsequent 3-month period commencing February 1, May 1, August 1, or November 1, and (3) the period (A) beginning the day after the 3-month period commencing February 1, May 1, August 1, or November 1, as applicable, immediately preceding the date this Agreement terminates and (B) ending on the date this Agreement terminates.</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"Representative" means, with respect to any Person, any director, officer, employee, agent, consultant, advisor, or other representative of that Person, including legal counsel, accountants, and financial advisors.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76" w:name="page77"/>
    <w:bookmarkEnd w:id="76"/>
    <w:p>
      <w:pPr>
        <w:ind w:right="3419" w:firstLine="517"/>
        <w:spacing w:after="0" w:line="255" w:lineRule="auto"/>
        <w:rPr>
          <w:sz w:val="20"/>
          <w:szCs w:val="20"/>
          <w:color w:val="auto"/>
        </w:rPr>
      </w:pPr>
      <w:r>
        <w:rPr>
          <w:rFonts w:ascii="Courier New" w:cs="Courier New" w:eastAsia="Courier New" w:hAnsi="Courier New"/>
          <w:sz w:val="14"/>
          <w:szCs w:val="14"/>
          <w:color w:val="auto"/>
        </w:rPr>
        <w:t>"Retail Net Sales Volume" means for any period the aggregate price to the consumer of all Products sold in a Retail Sale during that period.</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"Retail Sale" means a sale made at retail price to a consumer.</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"Store" means any Outlet Store, Value Power Store, or Warehouse Store.</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"Territory" means the continental United States, Hawaii, and Puerto Rico.</w:t>
      </w:r>
    </w:p>
    <w:p>
      <w:pPr>
        <w:spacing w:after="0" w:line="173"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"Value Power Center" means any non-enclosed shopping center the tenants of which include two or more specialty apparel or footwear stores such as Old Navy, Marshall's, T.J. Maxx, Ross, Famous Footwear, or Designer Shoe Warehouse stores.</w:t>
      </w:r>
    </w:p>
    <w:p>
      <w:pPr>
        <w:spacing w:after="0" w:line="163" w:lineRule="exact"/>
        <w:rPr>
          <w:sz w:val="20"/>
          <w:szCs w:val="20"/>
          <w:color w:val="auto"/>
        </w:rPr>
      </w:pPr>
    </w:p>
    <w:p>
      <w:pPr>
        <w:jc w:val="both"/>
        <w:ind w:right="3679" w:firstLine="517"/>
        <w:spacing w:after="0" w:line="252" w:lineRule="auto"/>
        <w:rPr>
          <w:sz w:val="20"/>
          <w:szCs w:val="20"/>
          <w:color w:val="auto"/>
        </w:rPr>
      </w:pPr>
      <w:r>
        <w:rPr>
          <w:rFonts w:ascii="Courier New" w:cs="Courier New" w:eastAsia="Courier New" w:hAnsi="Courier New"/>
          <w:sz w:val="14"/>
          <w:szCs w:val="14"/>
          <w:color w:val="auto"/>
        </w:rPr>
        <w:t>"Value Power Store" means any outlet store for Retail Sale of Products that is operated by Designs or any Affiliate and is located in a Value Power Center.</w:t>
      </w:r>
    </w:p>
    <w:p>
      <w:pPr>
        <w:spacing w:after="0" w:line="16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"Warehouse Store" means any temporary warehouse or clearance store being used by Designs or any Affiliate to sell Hash Lots or to liquidate Products.</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2</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GRANT OF LICENSE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2.1 Grant and Territory. Subject to the other terms of this Agreement, Candies hereby grants to Designs an exclusive license to use the Marks in the Territory in connection with the operation of Stores and Retail Sale of Products in Stores (that license, the "License"), and during the term of this Agreement Candies may not operate or grant to any of its Affiliates or any other Person the right to operate any store, or a department in any store, selling Products if that store is located in an Outlet Center or Value Power Center, except that Candies or any of its Affiliates may continue to operate those stores selling Products that it currently operates that are located in Outlet Centers or Value Power Centers.</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2.2 Relationship of Parties. 1. The relationship between Candies and Designs is that of licensor and licensee of intellectual property rights and supplier and retailer of merchandise. In its capacity as licensee and retailer, Designs will be acting only as independent contractor and not as partner, co-venturer, or Representative of Candies. Neither party has any authority, either express or implied, to make any commitment or representation on behalf of the other party or incur any debt or obligation on behalf of the other party.</w:t>
      </w:r>
    </w:p>
    <w:p>
      <w:pPr>
        <w:spacing w:after="0" w:line="164" w:lineRule="exact"/>
        <w:rPr>
          <w:sz w:val="20"/>
          <w:szCs w:val="20"/>
          <w:color w:val="auto"/>
        </w:rPr>
      </w:pPr>
    </w:p>
    <w:p>
      <w:pPr>
        <w:ind w:right="3339" w:firstLine="1042"/>
        <w:spacing w:after="0" w:line="251" w:lineRule="auto"/>
        <w:tabs>
          <w:tab w:leader="none" w:pos="1378"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will be purchasing Products from Candies for its own account and for resale in the Territory, and not under consignment or representation. Designs is not a commercial agent of Candies, and this Agreement does not constitute a franchise and does not create a fiduciary relationship between the parties.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77" w:name="page78"/>
    <w:bookmarkEnd w:id="77"/>
    <w:p>
      <w:pPr>
        <w:jc w:val="center"/>
        <w:ind w:right="3259"/>
        <w:spacing w:after="0"/>
        <w:rPr>
          <w:sz w:val="20"/>
          <w:szCs w:val="20"/>
          <w:color w:val="auto"/>
        </w:rPr>
      </w:pPr>
      <w:r>
        <w:rPr>
          <w:rFonts w:ascii="Courier New" w:cs="Courier New" w:eastAsia="Courier New" w:hAnsi="Courier New"/>
          <w:sz w:val="14"/>
          <w:szCs w:val="14"/>
          <w:color w:val="auto"/>
        </w:rPr>
        <w:t>Article 3</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OUTLET STORES</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3.1 Exclusivity Through Contract Year 5. (a) With respect to Designs' operation of Outlet Stores and Retail Sale of Products in Outlet Stores, and subject to Sections 3.1(b) through 3.1(e), the License is exclusive through Contract Year 5, on condition that Designs open Outlet Stores (excluding any Outlet Stores that Designs purchases from Candies) according to the following schedule:</w:t>
      </w:r>
    </w:p>
    <w:p>
      <w:pPr>
        <w:spacing w:after="0" w:line="164"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1420" w:type="dxa"/>
            <w:vAlign w:val="bottom"/>
            <w:gridSpan w:val="3"/>
          </w:tcPr>
          <w:p>
            <w:pPr>
              <w:spacing w:after="0"/>
              <w:rPr>
                <w:sz w:val="20"/>
                <w:szCs w:val="20"/>
                <w:color w:val="auto"/>
              </w:rPr>
            </w:pPr>
            <w:r>
              <w:rPr>
                <w:rFonts w:ascii="Courier New" w:cs="Courier New" w:eastAsia="Courier New" w:hAnsi="Courier New"/>
                <w:sz w:val="14"/>
                <w:szCs w:val="14"/>
                <w:color w:val="auto"/>
              </w:rPr>
              <w:t>Contract Year 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stores</w:t>
            </w:r>
          </w:p>
        </w:tc>
      </w:tr>
      <w:tr>
        <w:trPr>
          <w:trHeight w:val="166"/>
        </w:trPr>
        <w:tc>
          <w:tcPr>
            <w:tcW w:w="1420" w:type="dxa"/>
            <w:vAlign w:val="bottom"/>
            <w:gridSpan w:val="3"/>
          </w:tcPr>
          <w:p>
            <w:pPr>
              <w:spacing w:after="0"/>
              <w:rPr>
                <w:sz w:val="20"/>
                <w:szCs w:val="20"/>
                <w:color w:val="auto"/>
              </w:rPr>
            </w:pPr>
            <w:r>
              <w:rPr>
                <w:rFonts w:ascii="Courier New" w:cs="Courier New" w:eastAsia="Courier New" w:hAnsi="Courier New"/>
                <w:sz w:val="14"/>
                <w:szCs w:val="14"/>
                <w:color w:val="auto"/>
              </w:rPr>
              <w:t>Contract Year 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stores</w:t>
            </w:r>
          </w:p>
        </w:tc>
      </w:tr>
      <w:tr>
        <w:trPr>
          <w:trHeight w:val="166"/>
        </w:trPr>
        <w:tc>
          <w:tcPr>
            <w:tcW w:w="1420" w:type="dxa"/>
            <w:vAlign w:val="bottom"/>
            <w:gridSpan w:val="3"/>
          </w:tcPr>
          <w:p>
            <w:pPr>
              <w:spacing w:after="0"/>
              <w:rPr>
                <w:sz w:val="20"/>
                <w:szCs w:val="20"/>
                <w:color w:val="auto"/>
              </w:rPr>
            </w:pPr>
            <w:r>
              <w:rPr>
                <w:rFonts w:ascii="Courier New" w:cs="Courier New" w:eastAsia="Courier New" w:hAnsi="Courier New"/>
                <w:sz w:val="14"/>
                <w:szCs w:val="14"/>
                <w:color w:val="auto"/>
              </w:rPr>
              <w:t>Contract Year 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stores</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Contract</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stores</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Contract</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stores</w:t>
            </w:r>
          </w:p>
        </w:tc>
      </w:tr>
    </w:tbl>
    <w:p>
      <w:pPr>
        <w:spacing w:after="0" w:line="170" w:lineRule="exact"/>
        <w:rPr>
          <w:sz w:val="20"/>
          <w:szCs w:val="20"/>
          <w:color w:val="auto"/>
        </w:rPr>
      </w:pPr>
    </w:p>
    <w:p>
      <w:pPr>
        <w:ind w:right="3419" w:firstLine="1042"/>
        <w:spacing w:after="0" w:line="251" w:lineRule="auto"/>
        <w:tabs>
          <w:tab w:leader="none" w:pos="1378"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3.1(e), if during any Contract Year of Contract Years 1 through 4 Designs opens a number of Outlet Stores that is less than 75% of the number of Outlet Stores specified for that Contract Year in Section 3.1(a), Designs' exclusivity with respect to Outlet Stores will automatically terminate at the end of that Contract Year.</w:t>
      </w:r>
    </w:p>
    <w:p>
      <w:pPr>
        <w:spacing w:after="0" w:line="164"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any Contract Year of Contract Years 1 through 4 Designs opens a number of Outlet Stores that is less than 100% but is 75% or more of the number of Outlet Stores specified for that Contract Year in Section 3.1(a), Candies' grant of exclusivity with respect to Outlet Stores will not end at the end of that Contract Year, and Designs will be deemed to have satisfied the requirements of Section 3.1(a) if by the end of the following Contract Year Designs has opened a sufficient number of Outlet Stores such that the aggregate number of Outlet Stores opened during that following Contract Year and the preceding Contract Year equals the aggregate of the number of Outlet Store specified in Section 3.1(a) for those Contract Years. Subject to Section 3.1(e), if Designs fails to do so, Designs' exclusivity with respect to Outlet Stores will automatically terminate at the end of that following Contract Year.</w:t>
      </w:r>
    </w:p>
    <w:p>
      <w:pPr>
        <w:spacing w:after="0" w:line="162" w:lineRule="exact"/>
        <w:rPr>
          <w:rFonts w:ascii="Courier New" w:cs="Courier New" w:eastAsia="Courier New" w:hAnsi="Courier New"/>
          <w:sz w:val="14"/>
          <w:szCs w:val="14"/>
          <w:color w:val="auto"/>
        </w:rPr>
      </w:pPr>
    </w:p>
    <w:p>
      <w:pPr>
        <w:ind w:right="3599" w:firstLine="1042"/>
        <w:spacing w:after="0" w:line="251" w:lineRule="auto"/>
        <w:tabs>
          <w:tab w:leader="none" w:pos="1378"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3.1(e), if during Contract Year 5 Designs opens a number of Outlet Stores that is less than the number of Outlet Stores specified for that Contract Year in Section 3.1(a), Designs' exclusivity with respect to Outlet Stores will automatically terminate at the end of that Contract Year.</w:t>
      </w:r>
    </w:p>
    <w:p>
      <w:pPr>
        <w:spacing w:after="0" w:line="164" w:lineRule="exact"/>
        <w:rPr>
          <w:rFonts w:ascii="Courier New" w:cs="Courier New" w:eastAsia="Courier New" w:hAnsi="Courier New"/>
          <w:sz w:val="14"/>
          <w:szCs w:val="14"/>
          <w:color w:val="auto"/>
        </w:rPr>
      </w:pPr>
    </w:p>
    <w:p>
      <w:pPr>
        <w:ind w:right="3419" w:firstLine="1042"/>
        <w:spacing w:after="0" w:line="251" w:lineRule="auto"/>
        <w:tabs>
          <w:tab w:leader="none" w:pos="1378"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exclusivity with respect to Outlet Stores will not automatically terminate as provided in Section 3.1(b), 3.1(c), or 3.1(d) if at the end of the Contract Year in question Designs has opened a number of Outlet Stores equal to or greater than the aggregate number of Outlet Stores specified in Section 3.1(a) for that Contract Year and each preceding Contract Year. The parties acknowledge that the effect of this Section 3.1(e) is that if Designs opens 75 or more Outlet Stores any time prior to the end of Contract Year 5, Designs will retain through the end of Contract Year 5 its exclusivity with respect to Outlet Stores.</w:t>
      </w:r>
    </w:p>
    <w:p>
      <w:pPr>
        <w:spacing w:after="0" w:line="164" w:lineRule="exact"/>
        <w:rPr>
          <w:sz w:val="20"/>
          <w:szCs w:val="20"/>
          <w:color w:val="auto"/>
        </w:rPr>
      </w:pPr>
    </w:p>
    <w:p>
      <w:pPr>
        <w:jc w:val="both"/>
        <w:ind w:right="3939" w:firstLine="517"/>
        <w:spacing w:after="0" w:line="252" w:lineRule="auto"/>
        <w:rPr>
          <w:sz w:val="20"/>
          <w:szCs w:val="20"/>
          <w:color w:val="auto"/>
        </w:rPr>
      </w:pPr>
      <w:r>
        <w:rPr>
          <w:rFonts w:ascii="Courier New" w:cs="Courier New" w:eastAsia="Courier New" w:hAnsi="Courier New"/>
          <w:sz w:val="14"/>
          <w:szCs w:val="14"/>
          <w:color w:val="auto"/>
        </w:rPr>
        <w:t>3.2 Exclusivity After Contract Year 5. (a) With respect to Designs' operation of Outlet Stores and Retail Sale of Products in Outlet Stores, Candies' grant of the License will</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left="180" w:hanging="172"/>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78" w:name="page79"/>
    <w:bookmarkEnd w:id="78"/>
    <w:p>
      <w:pPr>
        <w:ind w:right="3519"/>
        <w:spacing w:after="0" w:line="255" w:lineRule="auto"/>
        <w:rPr>
          <w:sz w:val="20"/>
          <w:szCs w:val="20"/>
          <w:color w:val="auto"/>
        </w:rPr>
      </w:pPr>
      <w:r>
        <w:rPr>
          <w:rFonts w:ascii="Courier New" w:cs="Courier New" w:eastAsia="Courier New" w:hAnsi="Courier New"/>
          <w:sz w:val="14"/>
          <w:szCs w:val="14"/>
          <w:color w:val="auto"/>
        </w:rPr>
        <w:t>remain exclusive after Contract Year 5 on condition that for any Contract Year after Contract Year 5, both of the following apply:</w:t>
      </w:r>
    </w:p>
    <w:p>
      <w:pPr>
        <w:spacing w:after="0" w:line="160" w:lineRule="exact"/>
        <w:rPr>
          <w:sz w:val="20"/>
          <w:szCs w:val="20"/>
          <w:color w:val="auto"/>
        </w:rPr>
      </w:pPr>
    </w:p>
    <w:p>
      <w:pPr>
        <w:ind w:left="520" w:right="3339" w:hanging="512"/>
        <w:spacing w:after="0" w:line="255" w:lineRule="auto"/>
        <w:tabs>
          <w:tab w:leader="none" w:pos="5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Retail Net Sales Volume of the Outlet Stores for that Contract Year on an annualized basis is at least $500,000; and</w:t>
      </w:r>
    </w:p>
    <w:p>
      <w:pPr>
        <w:spacing w:after="0" w:line="159" w:lineRule="exact"/>
        <w:rPr>
          <w:rFonts w:ascii="Courier New" w:cs="Courier New" w:eastAsia="Courier New" w:hAnsi="Courier New"/>
          <w:sz w:val="14"/>
          <w:szCs w:val="14"/>
          <w:color w:val="auto"/>
        </w:rPr>
      </w:pPr>
    </w:p>
    <w:p>
      <w:pPr>
        <w:ind w:left="520" w:right="3339" w:hanging="512"/>
        <w:spacing w:after="0" w:line="252" w:lineRule="auto"/>
        <w:tabs>
          <w:tab w:leader="none" w:pos="5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has by the end of that Contract Year opened a sufficient number of Outlet Stores such that the following calculation yields a result that is equal to or greater than five:</w:t>
      </w:r>
    </w:p>
    <w:p>
      <w:pPr>
        <w:spacing w:after="0" w:line="162"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of (i) the number of Outlet Stores operating in that Contract Year plus (ii) the number of Outlet Stores operating in each preceding Contract Year that is subsequent to Contract Year 5 plus (iii) the number of Outlet Stores, if any, in excess of 75 that were operating by the end of Contract Year 5 divided by</w:t>
      </w:r>
    </w:p>
    <w:p>
      <w:pPr>
        <w:spacing w:after="0" w:line="164"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Contract Years subsequent to Contract Year 5, up to and including that Contract Year.</w:t>
      </w:r>
    </w:p>
    <w:p>
      <w:pPr>
        <w:spacing w:after="0" w:line="159" w:lineRule="exact"/>
        <w:rPr>
          <w:rFonts w:ascii="Courier New" w:cs="Courier New" w:eastAsia="Courier New" w:hAnsi="Courier New"/>
          <w:sz w:val="14"/>
          <w:szCs w:val="14"/>
          <w:color w:val="auto"/>
        </w:rPr>
      </w:pPr>
    </w:p>
    <w:p>
      <w:pPr>
        <w:ind w:right="3419" w:firstLine="1042"/>
        <w:spacing w:after="0" w:line="252" w:lineRule="auto"/>
        <w:tabs>
          <w:tab w:leader="none" w:pos="1378" w:val="left"/>
        </w:tabs>
        <w:numPr>
          <w:ilvl w:val="2"/>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Designs fails to satisfy one or other of the conditions specified in Section 3.2(a), Designs' exclusivity with respect to Outlet Stores will automatically terminate at the end of the applicable Contract Year.</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3.3 Consequences of Ending of Exclusivity. (a) Upon termination of Designs' exclusivity with respect to Outlet Stores, Designs will be entitled to open and operate Outlet Stores on a nonexclusive basis, and the only other Persons entitled to open and operate stores, or departments in stores, in Outlet Centers selling Products will be Candies and its Affiliates, on the basis specified in this Section 3.3.</w:t>
      </w:r>
    </w:p>
    <w:p>
      <w:pPr>
        <w:spacing w:after="0" w:line="164" w:lineRule="exact"/>
        <w:rPr>
          <w:sz w:val="20"/>
          <w:szCs w:val="20"/>
          <w:color w:val="auto"/>
        </w:rPr>
      </w:pPr>
    </w:p>
    <w:p>
      <w:pPr>
        <w:ind w:right="3339" w:firstLine="1042"/>
        <w:spacing w:after="0" w:line="251" w:lineRule="auto"/>
        <w:tabs>
          <w:tab w:leader="none" w:pos="1378"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Designs' exclusivity with respect to Outlet Stores ends at the end of Contract Year 5 or anytime sooner, Candies will thereafter be entitled to open anywhere within the Territory stores, or departments in stores, in Outlet Centers selling Products, on condition (1) that none of those stores is within a 60-mile radius of any Outlet Store then operated by Designs and (2) that whenever Candies wishes to open a store, or a department in any store, selling Products at any location listed on Schedule A, it shall, by sending Designs an Outlet Store Option Notice in the form attached as Exhibit A, notify Designs and give Designs the option to open an Outlet Store at that location.</w:t>
      </w:r>
    </w:p>
    <w:p>
      <w:pPr>
        <w:spacing w:after="0" w:line="163"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Designs' exclusivity with respect to Outlet Stores ends anytime after the end of Contract Year 5, Candies will thereafter be entitled to open anywhere within the Territory stores in Outlet Centers selling Products, on condition (1) that none of those stores is within a 60-mile radius of any Outlet Store then operated by Designs and (2) that whenever Candies wishes to open a store at any location it shall, by sending Designs an Outlet Store Option Notice in the form attached as Exhibit A, notify Designs and give Designs the option to open an Outlet Store at that location.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79" w:name="page80"/>
    <w:bookmarkEnd w:id="79"/>
    <w:p>
      <w:pPr>
        <w:ind w:right="3419" w:firstLine="1042"/>
        <w:spacing w:after="0" w:line="250" w:lineRule="auto"/>
        <w:tabs>
          <w:tab w:leader="none" w:pos="1378"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(1) Designs fails to notify Candies within 30 days after its receipt of an Outlet Store Option Notice whether or not it wishes to open an Outlet Store at the location specified in that Outlet Store Option Notice, or</w:t>
      </w:r>
    </w:p>
    <w:p>
      <w:pPr>
        <w:spacing w:after="0" w:line="1"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notifies Candies that it elects to open an Outlet Store at that</w:t>
      </w:r>
    </w:p>
    <w:p>
      <w:pPr>
        <w:spacing w:after="0" w:line="7" w:lineRule="exact"/>
        <w:rPr>
          <w:rFonts w:ascii="Courier New" w:cs="Courier New" w:eastAsia="Courier New" w:hAnsi="Courier New"/>
          <w:sz w:val="14"/>
          <w:szCs w:val="14"/>
          <w:color w:val="auto"/>
        </w:rPr>
      </w:pPr>
    </w:p>
    <w:p>
      <w:pPr>
        <w:ind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location but fails to make commercially reasonable efforts to negotiate a lease for an Outlet Store at that location within four months of its receipt of the Outlet Store Option Notice, Designs will be deemed to have not exercised its option to open an Outlet Store at that location.</w:t>
      </w:r>
    </w:p>
    <w:p>
      <w:pPr>
        <w:spacing w:after="0" w:line="162" w:lineRule="exact"/>
        <w:rPr>
          <w:rFonts w:ascii="Courier New" w:cs="Courier New" w:eastAsia="Courier New" w:hAnsi="Courier New"/>
          <w:sz w:val="14"/>
          <w:szCs w:val="14"/>
          <w:color w:val="auto"/>
        </w:rPr>
      </w:pPr>
    </w:p>
    <w:p>
      <w:pPr>
        <w:ind w:right="3599" w:firstLine="1042"/>
        <w:spacing w:after="0" w:line="250" w:lineRule="auto"/>
        <w:tabs>
          <w:tab w:leader="none" w:pos="1378"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Designs does not exercise, or is deemed to have not exercised, its option to open an Outlet Store at a location specified in an Outlet Store Option Notice and (1) within nine months of Designs' receipt of that Outlet Store Option Notice Candies is not making commercially reasonable efforts to negotiate a lease for a store selling Products at that location or</w:t>
      </w:r>
    </w:p>
    <w:p>
      <w:pPr>
        <w:spacing w:after="0" w:line="2" w:lineRule="exact"/>
        <w:rPr>
          <w:rFonts w:ascii="Courier New" w:cs="Courier New" w:eastAsia="Courier New" w:hAnsi="Courier New"/>
          <w:sz w:val="14"/>
          <w:szCs w:val="14"/>
          <w:color w:val="auto"/>
        </w:rPr>
      </w:pPr>
    </w:p>
    <w:p>
      <w:pPr>
        <w:ind w:right="3339" w:firstLine="8"/>
        <w:spacing w:after="0" w:line="252" w:lineRule="auto"/>
        <w:tabs>
          <w:tab w:leader="none" w:pos="34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one year thereof Candies has not executed such a lease, Candies may not thereafter open a store selling Products at that location without delivering to Designs another Outlet Store Option Notice pursuant to Section 3.3(b) or 3.3(c), as applicable.</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4</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VALUE POWER STORES</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4.1 Test Stores. Designs may open two test Value Power Stores. If the Average Retail Net Sales Volume of these Value Power Stores on an annualized basis for the 90-day period after each of these Value Power Stores opens is at least $650,000, Designs may open additional Value Power Stores in accordance with this Agreement.</w:t>
      </w:r>
    </w:p>
    <w:p>
      <w:pPr>
        <w:spacing w:after="0" w:line="165"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4.2 Tradename. At its option, Candies may require that Designs use the tradename "Candie's Factory Store" for any one or more Value Power Stores, on condition that the landlord of any given Value Power Store permits Designs to use that tradename for that Value Power Store. If Candies elects to require Designs to use the tradename "Candie's Factory Store" for a given Value Power Store but the landlord does not permit Designs to use that tradename, Designs shall use the name that Candies, Designs, and the landlord agree upon.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4.3 Exclusivity. (a) With respect to Designs' operation of Value Power Stores and Retail Sale of Products in Value Power Stores, Candies' grant of the License is exclusive on condition that (1) by the end of Contract Year 2 Designs has opened at least ten Value Power Stores and (2) for any Contract Year after Contract Year 2, Designs has by the end of that Contract Year opened a sufficient number of Value Power Stores such that the total number of Value Power Stores opened by the end of that Contract Year divided by the total number of Contract Years up to and including that Contact Year is equal to or greater than five.</w:t>
      </w:r>
    </w:p>
    <w:p>
      <w:pPr>
        <w:spacing w:after="0" w:line="329" w:lineRule="exact"/>
        <w:rPr>
          <w:sz w:val="20"/>
          <w:szCs w:val="20"/>
          <w:color w:val="auto"/>
        </w:rPr>
      </w:pPr>
    </w:p>
    <w:p>
      <w:pPr>
        <w:ind w:right="3419" w:firstLine="1042"/>
        <w:spacing w:after="0" w:line="252" w:lineRule="auto"/>
        <w:tabs>
          <w:tab w:leader="none" w:pos="1378"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Designs fails to satisfy one or other of the conditions specified in Section 4.3(a), Designs' exclusivity with respect to Value Power Stores will automatically terminate at the end of the applicable Contract Year.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80" w:name="page81"/>
    <w:bookmarkEnd w:id="80"/>
    <w:p>
      <w:pPr>
        <w:ind w:right="3339" w:firstLine="1042"/>
        <w:spacing w:after="0" w:line="252" w:lineRule="auto"/>
        <w:tabs>
          <w:tab w:leader="none" w:pos="1378"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acknowledge that the effect of Section 4.3(a) is that if Designs opens 25 or more Value Power Stores any time prior to the end of Contract Year 5, Designs will retain through the end of Contract Year 5 its exclusivity with respect to Value Power Stores.</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4.4 Consequences of Ending of Exclusivity. (a) Upon termination of Designs' exclusivity with respect to Value Power Stores, Designs will be entitled to open and operate Value Power Stores on a nonexclusive basis, and the only other Person entitled to open and operate stores, or departments in stores, in Value Power Centers selling Products will be Candies and its Affiliates, on the basis specified in this Section 4.4.</w:t>
      </w:r>
    </w:p>
    <w:p>
      <w:pPr>
        <w:spacing w:after="0" w:line="164" w:lineRule="exact"/>
        <w:rPr>
          <w:sz w:val="20"/>
          <w:szCs w:val="20"/>
          <w:color w:val="auto"/>
        </w:rPr>
      </w:pPr>
    </w:p>
    <w:p>
      <w:pPr>
        <w:ind w:right="3339" w:firstLine="1042"/>
        <w:spacing w:after="0" w:line="251" w:lineRule="auto"/>
        <w:tabs>
          <w:tab w:leader="none" w:pos="1378"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Designs' exclusivity with respect to Value Power Stores ends at the end of Contract Year 5 or anytime sooner, Candies will thereafter be entitled to open anywhere within the Territory stores, or departments in stores, in Value Power Centers selling Products, on condition that none of those stores is within a 5-mile radius of any Value Power Store then operated by Designs.</w:t>
      </w:r>
    </w:p>
    <w:p>
      <w:pPr>
        <w:spacing w:after="0" w:line="164"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Designs' exclusivity with respect to Value Power Stores ends anytime after the end of Contract Year 5, Candies will thereafter be entitled to open anywhere within the Territory stores, or departments in stores, in Value Power Centers selling Products, on condition (1) that none of those stores is within a 5-mile radius of any Value Power Store then operated by Designs and (2) that whenever Candies wishes to open a store, or a department in any store, selling Products at any location listed on Schedule B, it shall, by sending Designs a Value Power Store Option Notice in the form attached as Exhibit B, notify Designs and give Designs the option to open a Value Power Store at that location.</w:t>
      </w:r>
    </w:p>
    <w:p>
      <w:pPr>
        <w:spacing w:after="0" w:line="163"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(1) Designs fails to notify Candies within 30 days after its receipt of a Value Power Store Option Notice whether or not it wishes to open a Value Power Store at the location specified in that Value Power Store Option Notice, or (2) Designs notifies Candies that it elects to open a Value Power Store at that location but fails to make commercially reasonable efforts to negotiate a lease for a Value Power Store at that location within four months of its receipt of the Value Power Store Option Notice, Designs will be deemed to have not exercised its option to open a Value Power Store at that location.</w:t>
      </w:r>
    </w:p>
    <w:p>
      <w:pPr>
        <w:spacing w:after="0" w:line="163" w:lineRule="exact"/>
        <w:rPr>
          <w:rFonts w:ascii="Courier New" w:cs="Courier New" w:eastAsia="Courier New" w:hAnsi="Courier New"/>
          <w:sz w:val="14"/>
          <w:szCs w:val="14"/>
          <w:color w:val="auto"/>
        </w:rPr>
      </w:pPr>
    </w:p>
    <w:p>
      <w:pPr>
        <w:ind w:right="3519" w:firstLine="1042"/>
        <w:spacing w:after="0" w:line="251" w:lineRule="auto"/>
        <w:tabs>
          <w:tab w:leader="none" w:pos="1378"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Designs does not exercise, or is deemed to have not exercised, its option to open a Value Power Store at a location specified in a Value Power Store Option Notice and (1) within nine months of Designs' receipt of that Value Power Store Option Notice Candies is not making commercially reasonable efforts to negotiate a lease for a store selling Products at that location or (2) within one year thereof has not executed such a lease, Candies may not thereafter open a store selling Products at that location without delivering to Designs another Value Power Store Option Notice pursuant to Section 4.4(b) or 4.3(c), as applicable.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81" w:name="page82"/>
    <w:bookmarkEnd w:id="81"/>
    <w:p>
      <w:pPr>
        <w:ind w:left="3020"/>
        <w:spacing w:after="0"/>
        <w:rPr>
          <w:sz w:val="20"/>
          <w:szCs w:val="20"/>
          <w:color w:val="auto"/>
        </w:rPr>
      </w:pPr>
      <w:r>
        <w:rPr>
          <w:rFonts w:ascii="Courier New" w:cs="Courier New" w:eastAsia="Courier New" w:hAnsi="Courier New"/>
          <w:sz w:val="14"/>
          <w:szCs w:val="14"/>
          <w:color w:val="auto"/>
        </w:rPr>
        <w:t>Article 5</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APPROVAL OF STORES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5.1 Store Location. Before establishing any Store, Designs shall submit to Candies a Store Location Approval Form in the form attached as Exhibit C. Candies has final approval of the mall or shopping center where any Store is located, other than any Outlet Store that Designs opens at a location listed on Schedule A, any Value Power Store that Designs opens at a location listed on Schedule B, or any Warehouse Store that is located in an Outlet Center where an Outlet Store is already operating or in a Value Power Center where a Value Power Store is already operating. Candies may not unreasonably withhold, condition, or delay its approval, and Candies will be deemed to have approved a location if it does not notify Designs of its disapproval within 30 days of Candies receipt of a Store Location Approval Form with respect to that location.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5.2 Prototypes. As soon as reasonably practicable, Designs shall submit to Candies for its approval plans for a prototype Outlet Store design and a prototype Value Power Store design. Personnel of Candies and Designs shall confer regarding the prototype design plans. Designs may not open either any Outlet Store or any Value Power Store until Candies has approved the applicable prototype design, and Candies may not unreasonably withhold, condition, or delay its approval (a prototype design so approved, a "Prototype"). Designs and Candies shall endeavor to have each Prototype be based on a build-out cost of not more than $50.00 per square foot. Designs is not required to submit to Candies plans for Warehouse Stores. Designs may work with its own vendors to design, fixture and build all Stores, on condition that all such work is consistent with a Prototype.</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5.3 Store Leases. Designs may either lease or own the premises of any Store. Designs is responsible for negotiating the terms of any lease for Store premises, and shall use commercially reasonable efforts to cause any landlord to include in each such lease a provision permitting Designs to assign the lease to Candies without a penalty of any kind, including without limitation an increase in rent. Designs shall promptly notify Candies any time it signs a lease for any Store that does not include such a provision. Designs may elect to enter into any lease for any Store through an Affiliate. Execution by Designs or an Affiliate of Designs of a lease for any Store will not, for purposes of this Agreement, constitute the opening of that Store.</w:t>
      </w:r>
    </w:p>
    <w:p>
      <w:pPr>
        <w:spacing w:after="0" w:line="163" w:lineRule="exact"/>
        <w:rPr>
          <w:sz w:val="20"/>
          <w:szCs w:val="20"/>
          <w:color w:val="auto"/>
        </w:rPr>
      </w:pPr>
    </w:p>
    <w:p>
      <w:pPr>
        <w:ind w:right="3939" w:firstLine="517"/>
        <w:spacing w:after="0" w:line="252" w:lineRule="auto"/>
        <w:rPr>
          <w:sz w:val="20"/>
          <w:szCs w:val="20"/>
          <w:color w:val="auto"/>
        </w:rPr>
      </w:pPr>
      <w:r>
        <w:rPr>
          <w:rFonts w:ascii="Courier New" w:cs="Courier New" w:eastAsia="Courier New" w:hAnsi="Courier New"/>
          <w:sz w:val="14"/>
          <w:szCs w:val="14"/>
          <w:color w:val="auto"/>
        </w:rPr>
        <w:t>5.4 Display of Products. The visual presentation of Products on the selling floor of the Stores must comply with reasonable guidelines and directions, if any, provided to Designs by Candies.</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6</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SUPPLY OF PRODUCTS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6.1 Offer of In-line Products. Candies shall offer each In-line Product for sale to Designs at the same time as Candies offers that In-line Product for sale to full-price retailers for resale.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82" w:name="page83"/>
    <w:bookmarkEnd w:id="82"/>
    <w:p>
      <w:pPr>
        <w:ind w:right="3339" w:firstLine="517"/>
        <w:spacing w:after="0" w:line="251" w:lineRule="auto"/>
        <w:rPr>
          <w:sz w:val="20"/>
          <w:szCs w:val="20"/>
          <w:color w:val="auto"/>
        </w:rPr>
      </w:pPr>
      <w:r>
        <w:rPr>
          <w:rFonts w:ascii="Courier New" w:cs="Courier New" w:eastAsia="Courier New" w:hAnsi="Courier New"/>
          <w:sz w:val="14"/>
          <w:szCs w:val="14"/>
          <w:color w:val="auto"/>
        </w:rPr>
        <w:t>6.2 Information Regarding Other Products. Candies shall as soon as available provide Designs with up-to-date descriptions of all In-line Products (including the identity of the manufacturers of all In-line Products that are not In-stock Products), all Products that are manufactured or supplied by Candies licensees (including information regarding the licensees), and all other merchandise being offered for sale in stores operated by Candies.</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6.3 Purchase of In-Stock Products, Close-Out Products, and Hash Lots. (a) Designs may purchase from Candies any In-stock Products (in accordance with this Section 6.3), close-out Products (in accordance with Section 6.4), and Hash Lots (in accordance with Section 6.5).</w:t>
      </w:r>
    </w:p>
    <w:p>
      <w:pPr>
        <w:spacing w:after="0" w:line="162" w:lineRule="exact"/>
        <w:rPr>
          <w:sz w:val="20"/>
          <w:szCs w:val="20"/>
          <w:color w:val="auto"/>
        </w:rPr>
      </w:pPr>
    </w:p>
    <w:p>
      <w:pPr>
        <w:ind w:right="3419" w:firstLine="1042"/>
        <w:spacing w:after="0" w:line="252" w:lineRule="auto"/>
        <w:tabs>
          <w:tab w:leader="none" w:pos="137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 to Designs of In-stock Products supplied to Designs by Candies is the published wholesale price that Candies offers to full-price retailers less *%.</w:t>
      </w:r>
    </w:p>
    <w:p>
      <w:pPr>
        <w:spacing w:after="0" w:line="162" w:lineRule="exact"/>
        <w:rPr>
          <w:rFonts w:ascii="Courier New" w:cs="Courier New" w:eastAsia="Courier New" w:hAnsi="Courier New"/>
          <w:sz w:val="14"/>
          <w:szCs w:val="14"/>
          <w:color w:val="auto"/>
        </w:rPr>
      </w:pPr>
    </w:p>
    <w:p>
      <w:pPr>
        <w:ind w:right="3419" w:firstLine="1042"/>
        <w:spacing w:after="0" w:line="251" w:lineRule="auto"/>
        <w:tabs>
          <w:tab w:leader="none" w:pos="137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Candies shall ship to any destination in the Territory that Designs specifies any Products that Candies sells to Designs under this Section 6.3, and Designs shall pay all shipping, handling, and insurance costs that are attributable to shipment of those Products from any Candies warehouse in the Territory to the destination specified by Designs. Shipment will be FOB the Candies warehouse from which Products are shipped.</w:t>
      </w:r>
    </w:p>
    <w:p>
      <w:pPr>
        <w:spacing w:after="0" w:line="164"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12 months following the date of this Agreement or any shorter period that Designs elects at its sole discretion, Candies shall cause to be manufactured and shall sell to Designs as if they were In-stock Products all Products (other than close-out Products or Hash Lots) ordered by Designs through Candies under this Article 6, except that the cost for all such Products will be the Landed Cost plus a royalty equal to that specified in Section 6.6(d).</w:t>
      </w:r>
    </w:p>
    <w:p>
      <w:pPr>
        <w:spacing w:after="0" w:line="330"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6.4 Purchase of Close-Out Products. (a) If Candies wishes to sell, other than in any store that Candies operates, any close-out Products at a price greater than 70% of the published wholesale price that Candies offers to full-price retailers for those Products, Candies shall also offer those close-out Products to Designs at that price on or about the same time.</w:t>
      </w:r>
    </w:p>
    <w:p>
      <w:pPr>
        <w:spacing w:after="0" w:line="165" w:lineRule="exact"/>
        <w:rPr>
          <w:sz w:val="20"/>
          <w:szCs w:val="20"/>
          <w:color w:val="auto"/>
        </w:rPr>
      </w:pPr>
    </w:p>
    <w:p>
      <w:pPr>
        <w:ind w:right="3419" w:firstLine="1042"/>
        <w:spacing w:after="0" w:line="250" w:lineRule="auto"/>
        <w:tabs>
          <w:tab w:leader="none" w:pos="1378"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Candies wishes to sell any close-out Products at a price equal to or less than 70% of the published wholesale price that Candies offers to full-price retailers for those Products, Candies shall first offer those close-out Products to Designs at that price. Designs will have three Business Days to accept or decline that offer; Designs will be deemed to have declined the offer if it fails to timely respond. If Designs declines the offer, it may at the same time make a counteroffer to Candies, for all or part of those close-out Products, at a lower price (that price, the "Designs Lower Close-out Price") and Candies will be entitled to offer those close-out Products to any other Person, on condition that any such offer to any other Person is, with respect to any close-out Products for which Designs has made a counteroffer specifying a Designs Lower Close-out Price, (1) at a price that exceeds any Designs Lower Close-out Price and (2) on terms (other than price) that are identical to, or more favorable to Candies than, the initial offer to Designs. Each counteroffer that Designs makes specifying a Designs Lower Close-out Price will remain open until the earlier of (A) any expiration date stated on the counteroffer and (B) the date Designs withdraws the counteroffer by notice to Candies.</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83" w:name="page84"/>
    <w:bookmarkEnd w:id="83"/>
    <w:p>
      <w:pPr>
        <w:ind w:right="3339" w:firstLine="1042"/>
        <w:spacing w:after="0" w:line="252" w:lineRule="auto"/>
        <w:tabs>
          <w:tab w:leader="none" w:pos="1378"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shall purchase a reasonable quantity of close-out Products offered by Candies, except that Designs is not required to purchase any given lot of close-out Products once six months has elapsed since Candies offered those Products to retailers at the published wholesale price.</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6.5 Purchase of Hash Lots. The price of Hash Lots will be negotiated by Candies and Designs on a case-by-case basis. Candies shall first offer each Hash Lot to Designs. If within three Business Days of Designs' receipt of that offer Candies and Designs are unable to agree on the price of that Hash Lot, Candies will be entitled to sell that Hash Lot to any other Person, on condition that any such offer to any other Person is on terms that are as or more favorable to Candies than Candies' original offer to Designs. Designs shall within a reasonable time purchase a reasonable quantity of Hash Lots offered by Candies consistent with the number of Stores that Designs is able to operate for sale of Hash Lots, except that Designs is not required to purchase any given Hash Lot once the salability of the Products in that Hash Lot has been materially adversely affected by the time that has elapsed since Candies offered those Products to retailers at the published wholesale price.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6.6 Purchase of Other Products from Candies. (a) Subject to Section 6.3(d) and Section 6.6(b), in order to purchase any Products other than In-stock Products, close-out Products, Hash Lots, or Licensed Products, Designs shall submit to Candies or an Affiliate of Candies (as directed by Candies) purchase orders for those Products. Candies shall promptly submit or cause its Affiliate to submit (as applicable) any such purchase order to the one or more manufacturers that Candies selects to manufacture the Products referenced in that purchase order, except that whenever commercially feasible, Candies shall select to manufacture any such Product a manufacturer that has manufactured that Product for full-price retailers.</w:t>
      </w:r>
    </w:p>
    <w:p>
      <w:pPr>
        <w:spacing w:after="0" w:line="163" w:lineRule="exact"/>
        <w:rPr>
          <w:sz w:val="20"/>
          <w:szCs w:val="20"/>
          <w:color w:val="auto"/>
        </w:rPr>
      </w:pPr>
    </w:p>
    <w:p>
      <w:pPr>
        <w:ind w:right="3339" w:firstLine="1042"/>
        <w:spacing w:after="0" w:line="251" w:lineRule="auto"/>
        <w:tabs>
          <w:tab w:leader="none" w:pos="1378"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Purchases under Section 6.6(a) must take into account Designs' reasonable planning and buying and the purchasing of a reasonable amount of close-out Products and Hash Lots. With respect to any given Contract Year, Designs may not purchase additional In-line Products under Section 6.6(a) once the invoiced amount of all In-line Products that Designs purchases under Section 6.6(a) in that Contract Year exceeds 50% of the invoiced amount of all footwear Products purchased by Designs in that Contact Year.</w:t>
      </w:r>
    </w:p>
    <w:p>
      <w:pPr>
        <w:spacing w:after="0" w:line="164" w:lineRule="exact"/>
        <w:rPr>
          <w:rFonts w:ascii="Courier New" w:cs="Courier New" w:eastAsia="Courier New" w:hAnsi="Courier New"/>
          <w:sz w:val="14"/>
          <w:szCs w:val="14"/>
          <w:color w:val="auto"/>
        </w:rPr>
      </w:pPr>
    </w:p>
    <w:p>
      <w:pPr>
        <w:ind w:right="3339" w:firstLine="1042"/>
        <w:spacing w:after="0" w:line="252" w:lineRule="auto"/>
        <w:tabs>
          <w:tab w:leader="none" w:pos="1378"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charged to Designs for Products that Designs purchases under Section 6.6(a) (excluding any royalty payable under Section 6.6(d)) may not exceed the price that Candies pays its Affiliate or the manufacturer, as applicable, for those Products.</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purchase of In-line Products in accordance with this Section 6.6, Designs shall pay Candies a royalty equal to *% of First Cost (for orders placed during Contract Years 1 and 2) and *% of First Cost (for orders placed after Contract Year 2). Upon purchase in accordance with this Section 6.6 of Products other than In-line Products, Designs shall pay Candies a royalty equal to *% of First Cost or *% of Landed Cost, as applicable (in the case of apparel), or *% of First Cost or *% of Landed Cost, as applicable (in the case of all other merchandise).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84" w:name="page85"/>
    <w:bookmarkEnd w:id="84"/>
    <w:p>
      <w:pPr>
        <w:ind w:right="3339" w:firstLine="517"/>
        <w:spacing w:after="0" w:line="251" w:lineRule="auto"/>
        <w:rPr>
          <w:sz w:val="20"/>
          <w:szCs w:val="20"/>
          <w:color w:val="auto"/>
        </w:rPr>
      </w:pPr>
      <w:r>
        <w:rPr>
          <w:rFonts w:ascii="Courier New" w:cs="Courier New" w:eastAsia="Courier New" w:hAnsi="Courier New"/>
          <w:sz w:val="14"/>
          <w:szCs w:val="14"/>
          <w:color w:val="auto"/>
        </w:rPr>
        <w:t>6.7 Purchases from Licensees. If Designs wishes to purchase a Product that falls within the scope of a license that Candies has granted to any Person giving that Person the right to manufacture or sell Products of that type, Designs shall purchase that Product from that Candies licensee. Notwithstanding anything herein to the contrary, Designs is not required to pay Candies any royalties on purchases of any Product directly from any Candies licensee that manufactures or supplies that Product (other than Gadzooks). Designs is not required to pay Candies any royalties with respect to merchandise that Designs purchases from Gadzooks if Gadzooks is required to pay Candies royalties with respect thereto.</w:t>
      </w:r>
    </w:p>
    <w:p>
      <w:pPr>
        <w:spacing w:after="0" w:line="329"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6.8 Candies' Efforts Regarding Suppliers. Candies shall use commercially reasonable efforts to (1) cause any supplier or manufacturer of Products (whether or not a Candies licensee) to sell Products to Designs at the best possible prices for those Products and fill in a timely manner any orders for Products placed by Designs with that supplier or manufacturer, and (2) allow Designs to take advantage of Candies' discounts from suppliers or manufacturers of Products (whether or not Candies licensees).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6.9 Other Orders. (a) If Designs wishes to sell in Stores as a Product any item that was not previously a Product (including any item that is substantially similar to any Product except that Designs seeks to modify one or more characteristics of that Product), Designs shall, prior to purchasing that item, notify Candies of the item, the quantity that Designs seeks to purchase, and the delivery date, and shall provide Candies with either a sample of that item or a reasonably complete description of that item.</w:t>
      </w:r>
    </w:p>
    <w:p>
      <w:pPr>
        <w:spacing w:after="0" w:line="164" w:lineRule="exact"/>
        <w:rPr>
          <w:sz w:val="20"/>
          <w:szCs w:val="20"/>
          <w:color w:val="auto"/>
        </w:rPr>
      </w:pPr>
    </w:p>
    <w:p>
      <w:pPr>
        <w:ind w:right="3339" w:firstLine="1042"/>
        <w:spacing w:after="0" w:line="253" w:lineRule="auto"/>
        <w:tabs>
          <w:tab w:leader="none" w:pos="137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may not sell any such item in Stores as a Product without Candies' prior written consent, unless it is an item that Candies has at any time during the previous 12 months sold at any of the stores that Candies operates.</w:t>
      </w:r>
    </w:p>
    <w:p>
      <w:pPr>
        <w:spacing w:after="0" w:line="326"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upon receipt from Designs of a notice of the sort specified in Section 6.9(a), Candies determines that it wishes to sell to Designs the specified quantity of the specified item for delivery by the specified delivery date, Candies must notify Designs no later than 10 days after receipt by Candies of that notice, and that sale must be in accordance with Section 6.6.</w:t>
      </w:r>
    </w:p>
    <w:p>
      <w:pPr>
        <w:spacing w:after="0" w:line="164" w:lineRule="exact"/>
        <w:rPr>
          <w:rFonts w:ascii="Courier New" w:cs="Courier New" w:eastAsia="Courier New" w:hAnsi="Courier New"/>
          <w:sz w:val="14"/>
          <w:szCs w:val="14"/>
          <w:color w:val="auto"/>
        </w:rPr>
      </w:pPr>
    </w:p>
    <w:p>
      <w:pPr>
        <w:ind w:right="3419" w:firstLine="1042"/>
        <w:spacing w:after="0" w:line="251" w:lineRule="auto"/>
        <w:tabs>
          <w:tab w:leader="none" w:pos="137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Candies does not wish to sell to Designs the specified quantity of the specified item in accordance with Section 6.9(c), Designs may seek an alternative manufacturer, except that if that item falls within the scope of any license granted by Candies to any Person to manufacture, sell, or distribute Products, Designs may only have that item manufactured by or through that Person. If the manufacturer is other than a Candies licensee, Designs must notify Candies of the identity of the manufacturer and must obtain Candies' prior written consent to its selection of manufacturer, which Candies may not unreasonably withhold, condition, or delay.</w:t>
      </w:r>
    </w:p>
    <w:p>
      <w:pPr>
        <w:spacing w:after="0" w:line="163" w:lineRule="exact"/>
        <w:rPr>
          <w:rFonts w:ascii="Courier New" w:cs="Courier New" w:eastAsia="Courier New" w:hAnsi="Courier New"/>
          <w:sz w:val="14"/>
          <w:szCs w:val="14"/>
          <w:color w:val="auto"/>
        </w:rPr>
      </w:pPr>
    </w:p>
    <w:p>
      <w:pPr>
        <w:ind w:right="3419" w:firstLine="1042"/>
        <w:spacing w:after="0" w:line="251" w:lineRule="auto"/>
        <w:tabs>
          <w:tab w:leader="none" w:pos="137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purchase by Designs of any items under Section 6.9(d), Designs shall pay Candies a royalty equal to *% of First Cost or *% of Landed Cost, as applicable (in the case of apparel), or *% of First Cost or *% of Landed Cost, as applicable (in the case of all other merchandise), unless those items were purchased from any Person (other than Gadzooks) to which Candies has granted a license to manufacture, sell, or distribute a category of Products that</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85" w:name="page86"/>
    <w:bookmarkEnd w:id="85"/>
    <w:p>
      <w:pPr>
        <w:ind w:right="3519"/>
        <w:spacing w:after="0" w:line="252" w:lineRule="auto"/>
        <w:rPr>
          <w:sz w:val="20"/>
          <w:szCs w:val="20"/>
          <w:color w:val="auto"/>
        </w:rPr>
      </w:pPr>
      <w:r>
        <w:rPr>
          <w:rFonts w:ascii="Courier New" w:cs="Courier New" w:eastAsia="Courier New" w:hAnsi="Courier New"/>
          <w:sz w:val="14"/>
          <w:szCs w:val="14"/>
          <w:color w:val="auto"/>
        </w:rPr>
        <w:t>encompasses those items, in which case Designs will not be required to pay Candies any royalty. Designs is not required to pay Candies any royalties with respect to items that Designs purchases from Gadzooks under Section 6.9(d) if Gadzooks is required to pay Candies royalties with respect thereto.</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6.10 Payment of Royalties. Designs shall pay within 15 days after the end of each Quarter all royalties payable under this Article 6 with respect to orders placed in that Quarter, except in the event of a good-faith dispute.</w:t>
      </w:r>
    </w:p>
    <w:p>
      <w:pPr>
        <w:spacing w:after="0" w:line="163" w:lineRule="exact"/>
        <w:rPr>
          <w:sz w:val="20"/>
          <w:szCs w:val="20"/>
          <w:color w:val="auto"/>
        </w:rPr>
      </w:pPr>
    </w:p>
    <w:p>
      <w:pPr>
        <w:ind w:right="3859" w:firstLine="517"/>
        <w:spacing w:after="0" w:line="252" w:lineRule="auto"/>
        <w:rPr>
          <w:sz w:val="20"/>
          <w:szCs w:val="20"/>
          <w:color w:val="auto"/>
        </w:rPr>
      </w:pPr>
      <w:r>
        <w:rPr>
          <w:rFonts w:ascii="Courier New" w:cs="Courier New" w:eastAsia="Courier New" w:hAnsi="Courier New"/>
          <w:sz w:val="14"/>
          <w:szCs w:val="14"/>
          <w:color w:val="auto"/>
        </w:rPr>
        <w:t>6.11 Key Items. Each season, Candies and Designs shall in good faith address sensitive distribution issues with respect to agreed-upon key new Products for that season.</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6.12 Wholesale. Without Candies' consent, which Candies may not unreasonably withhold, condition, or delay, Designs may not resell any Products at wholesale to any Person for further resale by that Person.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6.13 Sale of Merchandise Other Than Products. If Designs wishes to sell at any Store any item of merchandise that does not constitute a Product, Designs shall, prior to purchasing that item, notify Candies of the item, the quantity that Designs seeks to purchase, and the identity of the manufacturer, and shall provide Candies with either a sample of that item or a reasonably complete description of that item. Designs may not sell any such item in Stores without Candies' prior written consent. Designs must also obtain Candies prior written consent to Designs' choice of manufacturer, which Candies may not unreasonably withhold, condition, or delay.</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6.14 Quality Assurance. (a) If Candies at any time notifies Designs that it is objects to the quality of any Product or other item that Designs has had manufactured under Section 6.9(d) or Section 6.13 and Candies is unsatisfied with any explanations or assurances subsequently offered by Designs or the manufacturer and notifies Designs of its dissatisfaction, Designs shall not place any future orders with that manufacturer for that Product or other item until such time as Candies notifies Designs that it may resume using that manufacturer.</w:t>
      </w:r>
    </w:p>
    <w:p>
      <w:pPr>
        <w:spacing w:after="0" w:line="164" w:lineRule="exact"/>
        <w:rPr>
          <w:sz w:val="20"/>
          <w:szCs w:val="20"/>
          <w:color w:val="auto"/>
        </w:rPr>
      </w:pPr>
    </w:p>
    <w:p>
      <w:pPr>
        <w:ind w:right="3859" w:firstLine="517"/>
        <w:spacing w:after="0" w:line="251" w:lineRule="auto"/>
        <w:rPr>
          <w:sz w:val="20"/>
          <w:szCs w:val="20"/>
          <w:color w:val="auto"/>
        </w:rPr>
      </w:pPr>
      <w:r>
        <w:rPr>
          <w:rFonts w:ascii="Courier New" w:cs="Courier New" w:eastAsia="Courier New" w:hAnsi="Courier New"/>
          <w:sz w:val="14"/>
          <w:szCs w:val="14"/>
          <w:color w:val="auto"/>
        </w:rPr>
        <w:t>6.15 Timely Filling of Orders. Candies shall use its best efforts to timely fill with non-defective and non-irregular Products any orders for Products that Designs places with Candies under this Article 6. Candies' performance of its obligations under this Section 6.15 is essential to successful operation of the Stores.</w:t>
      </w:r>
    </w:p>
    <w:p>
      <w:pPr>
        <w:spacing w:after="0" w:line="16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6.16 Defective or Irregular Products. Designs may, in accordance with Candies' warehouse procedures, return for full credit all defective or irregular Products purchased from Candies under this Article 6.</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6.17 Payment. Except, in each case, in the event of a good-faith dispute, within 90 days of shipment (in the case of any initial shipment to a new Store) or 60 days of shipment (in the case of any other shipment) from any Candies warehouse in the continental U.S., Designs shall pay the invoiced amount of any shipment of Products purchased by Designs from Candies under this Article 6. In addition to any other remedies it has under this Agreement or by Law,</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86" w:name="page87"/>
    <w:bookmarkEnd w:id="86"/>
    <w:p>
      <w:pPr>
        <w:ind w:right="3519"/>
        <w:spacing w:after="0" w:line="252" w:lineRule="auto"/>
        <w:rPr>
          <w:sz w:val="20"/>
          <w:szCs w:val="20"/>
          <w:color w:val="auto"/>
        </w:rPr>
      </w:pPr>
      <w:r>
        <w:rPr>
          <w:rFonts w:ascii="Courier New" w:cs="Courier New" w:eastAsia="Courier New" w:hAnsi="Courier New"/>
          <w:sz w:val="14"/>
          <w:szCs w:val="14"/>
          <w:color w:val="auto"/>
        </w:rPr>
        <w:t>Candies may at any time suspend any shipments of Products purchased by Designs from Candies under this Article 6 if there are then outstanding invoices that Designs has failed to timely pay as provided in this Section 6.17.</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6.18 Interest. Any amount due under this Agreement that is not timely paid and is not the subject of a good-faith dispute will accrue interest from the date when due at an annual rate equal to the prime lending rate of Fleet Bank N.A. as in effect from time to time.</w:t>
      </w:r>
    </w:p>
    <w:p>
      <w:pPr>
        <w:spacing w:after="0" w:line="16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7</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USE OF THE MARKS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7.1 Ownership; Use. (a) Designs acknowledges that nothing contained in this Agreement gives Designs any interest in the Marks other than the License. Designs may only use the Marks as contemplated by this Agreement. Except as permitted by this Agreement, Designs may not use any of the Marks (including any colorable imitations thereof). Any authorized or unauthorized use will inure solely to the benefit of Candies, and authorized or unauthorized use of the Marks by Designs will not confer on Designs any interest in the Marks except as granted in Section 2.1.</w:t>
      </w:r>
    </w:p>
    <w:p>
      <w:pPr>
        <w:spacing w:after="0" w:line="164" w:lineRule="exact"/>
        <w:rPr>
          <w:sz w:val="20"/>
          <w:szCs w:val="20"/>
          <w:color w:val="auto"/>
        </w:rPr>
      </w:pPr>
    </w:p>
    <w:p>
      <w:pPr>
        <w:ind w:right="3339" w:firstLine="1042"/>
        <w:spacing w:after="0" w:line="251" w:lineRule="auto"/>
        <w:tabs>
          <w:tab w:leader="none" w:pos="1378"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shall use and display the Marks only in such form and manner as has been previously approved by Candies. Designs shall cause to appear on all items that Designs uses in connection with Products or any materials in which Products are packaged (including without limitation tags, labels, boxes, and bags) such legends, markings, and notices as are required by law or by any guidelines that Candies supplies to Designs. In determining whether it is complying with any such legal requirements, Designs may rely exclusively on guidelines that Candies supplies to Designs and is not required to make or cause to be made any independent investigation into those legal requirements. Designs shall not sell any Products bearing the Marks in combination with any other trade name or trademark.</w:t>
      </w:r>
    </w:p>
    <w:p>
      <w:pPr>
        <w:spacing w:after="0" w:line="16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7.2 Registration. Without Candies' prior written consent, Designs shall not seek or obtain any registration of the Marks (including any colorable imitations thereof).</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7.3 No Challenge. During the term of this Agreement and after termination of this Agreement, Designs shall not, directly or indirectly, take any action challenging, questioning, or opposing the validity of the Marks.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7.4 Infringement Suits. Candies shall use its best efforts to protect and preserve its rights in the Marks and the right of Designs to use the Marks in accordance with this Agreement, shall be vigilant in detecting any possible infringements, claims, or actions in derogation of any Mark by any Person, and shall promptly inform Designs of any such infringement, claim, or action that could reasonably be expected to have a material adverse effect on Candies or have an adverse effect on Designs' rights under this Agreement. Candies has the sole right to determine whether to take any action on account of any such infringement, claim, or action, and Designs shall not take any action on account of such infringement, claim, or action without the prior written consent of Candies. If Candies initiates any Proceedings on account of any such</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left="180" w:hanging="172"/>
        <w:spacing w:after="0"/>
        <w:tabs>
          <w:tab w:leader="none" w:pos="1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87" w:name="page88"/>
    <w:bookmarkEnd w:id="87"/>
    <w:p>
      <w:pPr>
        <w:ind w:right="3419"/>
        <w:spacing w:after="0" w:line="252" w:lineRule="auto"/>
        <w:rPr>
          <w:sz w:val="20"/>
          <w:szCs w:val="20"/>
          <w:color w:val="auto"/>
        </w:rPr>
      </w:pPr>
      <w:r>
        <w:rPr>
          <w:rFonts w:ascii="Courier New" w:cs="Courier New" w:eastAsia="Courier New" w:hAnsi="Courier New"/>
          <w:sz w:val="14"/>
          <w:szCs w:val="14"/>
          <w:color w:val="auto"/>
        </w:rPr>
        <w:t>infringement, claim, or action, it shall do so at its sole expense, and Designs shall, at Candies' expense, cooperate with and assist Candies to the extent reasonably necessary to protect the Marks, including without limitation by providing witnesses and sworn affidavits.</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7.5 Disclaimer and Waiver of Rights. Other than those rights it has under this Agreement, Designs hereby waives any right it has or may acquire with respect to the Marks, including without limitation any interest Designs acquire through unauthorized use of the Marks.</w:t>
      </w:r>
    </w:p>
    <w:p>
      <w:pPr>
        <w:spacing w:after="0" w:line="16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Article 8</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OTHER OBLIGATIONS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8.1 Competing Stores. Designs shall obtain Candies' written consent prior to operating, or agreeing to operate, at any location in the Territory any single-brand footwear store that competes materially with footwear Products, except that nothing in this Section 8.1 in any way restricts Designs from selling products bearing any brand owned or used by Levi Strauss &amp; Co. or any of its Affiliates.</w:t>
      </w:r>
    </w:p>
    <w:p>
      <w:pPr>
        <w:spacing w:after="0" w:line="327"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8.2 Mass Merchandising Stores. Candies shall not sell any In-line Products through mass merchandising stores, including without limitation Wal-Mart, K-Mart, and Target stores.</w:t>
      </w:r>
    </w:p>
    <w:p>
      <w:pPr>
        <w:spacing w:after="0" w:line="163" w:lineRule="exact"/>
        <w:rPr>
          <w:sz w:val="20"/>
          <w:szCs w:val="20"/>
          <w:color w:val="auto"/>
        </w:rPr>
      </w:pPr>
    </w:p>
    <w:p>
      <w:pPr>
        <w:jc w:val="both"/>
        <w:ind w:right="3779" w:firstLine="517"/>
        <w:spacing w:after="0" w:line="252" w:lineRule="auto"/>
        <w:rPr>
          <w:sz w:val="20"/>
          <w:szCs w:val="20"/>
          <w:color w:val="auto"/>
        </w:rPr>
      </w:pPr>
      <w:r>
        <w:rPr>
          <w:rFonts w:ascii="Courier New" w:cs="Courier New" w:eastAsia="Courier New" w:hAnsi="Courier New"/>
          <w:sz w:val="14"/>
          <w:szCs w:val="14"/>
          <w:color w:val="auto"/>
        </w:rPr>
        <w:t>8.3 Stock of Products. Throughout the term of this Agreement, Designs shall use commercially reasonable efforts to offer at each of the Stores an assortment of Product categories reasonably comparable to the assortment of Product categories then offered by Candies in its concept stores.</w:t>
      </w:r>
    </w:p>
    <w:p>
      <w:pPr>
        <w:spacing w:after="0" w:line="162"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8.4 Lease Restrictions. (a) Without Designs' consent, Candies shall not, and shall cause its Affiliates to not, enter into any lease for a store selling Products, or enter into an amendment to any currently existing or future such lease, that contains a provision that has an adverse effect (by means of financial penalties or otherwise) on Designs' right to establish and operate any Store.</w:t>
      </w:r>
    </w:p>
    <w:p>
      <w:pPr>
        <w:spacing w:after="0" w:line="327" w:lineRule="exact"/>
        <w:rPr>
          <w:sz w:val="20"/>
          <w:szCs w:val="20"/>
          <w:color w:val="auto"/>
        </w:rPr>
      </w:pPr>
    </w:p>
    <w:p>
      <w:pPr>
        <w:ind w:right="3339" w:firstLine="1042"/>
        <w:spacing w:after="0" w:line="251" w:lineRule="auto"/>
        <w:tabs>
          <w:tab w:leader="none" w:pos="1378"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Candies' consent, Designs shall not, and shall cause its Affiliates to not, enter into any lease for an Outlet Store or Value Power Store, or enter into an amendment to any such lease, that contains a provision that has an adverse effect (by means of financial penalties or otherwise) on Candies' right to establish and operate any store.</w:t>
      </w:r>
    </w:p>
    <w:p>
      <w:pPr>
        <w:spacing w:after="0" w:line="16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Article 9</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REPRESENTATIONS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9.1 Representations of Designs. Designs represents to Candies as follows:</w:t>
      </w:r>
    </w:p>
    <w:p>
      <w:pPr>
        <w:spacing w:after="0" w:line="173" w:lineRule="exact"/>
        <w:rPr>
          <w:sz w:val="20"/>
          <w:szCs w:val="20"/>
          <w:color w:val="auto"/>
        </w:rPr>
      </w:pPr>
    </w:p>
    <w:p>
      <w:pPr>
        <w:ind w:right="3519" w:firstLine="1042"/>
        <w:spacing w:after="0" w:line="255" w:lineRule="auto"/>
        <w:tabs>
          <w:tab w:leader="none" w:pos="1378"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is a corporation validly existing and in good standing under the law of the State of Delaware.</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88" w:name="page89"/>
    <w:bookmarkEnd w:id="88"/>
    <w:p>
      <w:pPr>
        <w:ind w:right="3779" w:firstLine="1042"/>
        <w:spacing w:after="0" w:line="252" w:lineRule="auto"/>
        <w:tabs>
          <w:tab w:leader="none" w:pos="137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board of directors has duly authorized Designs to execute and deliver this Agreement and perform its obligations under this Agreement, and no other corporate proceedings of Designs are necessary with respect thereto.</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the valid and binding obligation of Designs, enforceable in accordance with its terms, except as enforceability is limited by (A) any applicable bankruptcy, insolvency, reorganization, moratorium or similar law affecting creditors' rights generally, or (B) general principles of equity, whether considered in a proceeding in equity or at law.</w:t>
      </w:r>
    </w:p>
    <w:p>
      <w:pPr>
        <w:spacing w:after="0" w:line="164" w:lineRule="exact"/>
        <w:rPr>
          <w:rFonts w:ascii="Courier New" w:cs="Courier New" w:eastAsia="Courier New" w:hAnsi="Courier New"/>
          <w:sz w:val="14"/>
          <w:szCs w:val="14"/>
          <w:color w:val="auto"/>
        </w:rPr>
      </w:pPr>
    </w:p>
    <w:p>
      <w:pPr>
        <w:ind w:right="3339" w:firstLine="1042"/>
        <w:spacing w:after="0" w:line="252" w:lineRule="auto"/>
        <w:tabs>
          <w:tab w:leader="none" w:pos="137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 and delivery of this Agreement by Designs and performance by Designs of its obligations under this Agreement do not violate any provision of its articles of incorporation or bylaws as currently in effect.</w:t>
      </w:r>
    </w:p>
    <w:p>
      <w:pPr>
        <w:spacing w:after="0" w:line="162" w:lineRule="exact"/>
        <w:rPr>
          <w:rFonts w:ascii="Courier New" w:cs="Courier New" w:eastAsia="Courier New" w:hAnsi="Courier New"/>
          <w:sz w:val="14"/>
          <w:szCs w:val="14"/>
          <w:color w:val="auto"/>
        </w:rPr>
      </w:pPr>
    </w:p>
    <w:p>
      <w:pPr>
        <w:ind w:right="3419" w:firstLine="1042"/>
        <w:spacing w:after="0" w:line="252" w:lineRule="auto"/>
        <w:tabs>
          <w:tab w:leader="none" w:pos="1378"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is not required to obtain the Consent of any Person, including the Consent of any party to any Contract to which Designs is a party, in connection with execution and delivery of this Agreement and performance of its obligations hereunder</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9.2 Representations of Candies. Candies represents to Designs as follows:</w:t>
      </w:r>
    </w:p>
    <w:p>
      <w:pPr>
        <w:spacing w:after="0" w:line="173" w:lineRule="exact"/>
        <w:rPr>
          <w:sz w:val="20"/>
          <w:szCs w:val="20"/>
          <w:color w:val="auto"/>
        </w:rPr>
      </w:pPr>
    </w:p>
    <w:p>
      <w:pPr>
        <w:ind w:right="3519" w:firstLine="1042"/>
        <w:spacing w:after="0" w:line="255" w:lineRule="auto"/>
        <w:tabs>
          <w:tab w:leader="none" w:pos="137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Candies is a corporation validly existing and in good standing under the law of the State of Delaware.</w:t>
      </w:r>
    </w:p>
    <w:p>
      <w:pPr>
        <w:spacing w:after="0" w:line="159" w:lineRule="exact"/>
        <w:rPr>
          <w:rFonts w:ascii="Courier New" w:cs="Courier New" w:eastAsia="Courier New" w:hAnsi="Courier New"/>
          <w:sz w:val="14"/>
          <w:szCs w:val="14"/>
          <w:color w:val="auto"/>
        </w:rPr>
      </w:pPr>
    </w:p>
    <w:p>
      <w:pPr>
        <w:ind w:right="3779" w:firstLine="1042"/>
        <w:spacing w:after="0" w:line="252" w:lineRule="auto"/>
        <w:tabs>
          <w:tab w:leader="none" w:pos="137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Candies' board of directors has duly authorized Candies to execute and deliver this Agreement and perform its obligations under this Agreement, and no other corporate proceedings of Candies are necessary with respect thereto.</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constitutes the valid and binding obligation of Candies, enforceable in accordance with its terms, except as enforceability is limited by (A) any applicable bankruptcy, insolvency, reorganization, moratorium or similar law affecting creditors' rights generally, or (B) general principles of equity, whether considered in a proceeding in equity or at law.</w:t>
      </w:r>
    </w:p>
    <w:p>
      <w:pPr>
        <w:spacing w:after="0" w:line="164" w:lineRule="exact"/>
        <w:rPr>
          <w:rFonts w:ascii="Courier New" w:cs="Courier New" w:eastAsia="Courier New" w:hAnsi="Courier New"/>
          <w:sz w:val="14"/>
          <w:szCs w:val="14"/>
          <w:color w:val="auto"/>
        </w:rPr>
      </w:pPr>
    </w:p>
    <w:p>
      <w:pPr>
        <w:ind w:right="3339" w:firstLine="1042"/>
        <w:spacing w:after="0" w:line="252" w:lineRule="auto"/>
        <w:tabs>
          <w:tab w:leader="none" w:pos="137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Execution and delivery of this Agreement by Candies and performance by Candies of its obligations under this Agreement do not (A) violate any provision of its articles of incorporation or bylaws as currently in effect, or (B) result in the creation of any Lien upon any of the Marks.</w:t>
      </w:r>
    </w:p>
    <w:p>
      <w:pPr>
        <w:spacing w:after="0" w:line="162" w:lineRule="exact"/>
        <w:rPr>
          <w:rFonts w:ascii="Courier New" w:cs="Courier New" w:eastAsia="Courier New" w:hAnsi="Courier New"/>
          <w:sz w:val="14"/>
          <w:szCs w:val="14"/>
          <w:color w:val="auto"/>
        </w:rPr>
      </w:pPr>
    </w:p>
    <w:p>
      <w:pPr>
        <w:ind w:right="3419" w:firstLine="1042"/>
        <w:spacing w:after="0" w:line="252" w:lineRule="auto"/>
        <w:tabs>
          <w:tab w:leader="none" w:pos="137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Candies is not required to obtain the Consent of any Person, including the Consent of any party to any Contract to which Candies is a party, in connection with execution and delivery of this Agreement and performance of its obligations hereunder.</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Candies is the sole owner of the Marks, has good and marketable title to each of the Marks, free and clear of any Liens, and is authorized to use the Marks in connection with operation of the Stores and Retail Sale of Products in the Territory and to license the Marks to Designs for that use; no other Person has the right to use the Marks in the Territory in connection with the operation of stores, or departments in stores, or Retail Sale of Products in</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pacing w:after="0" w:line="173" w:lineRule="exact"/>
        <w:rPr>
          <w:sz w:val="20"/>
          <w:szCs w:val="20"/>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89" w:name="page90"/>
    <w:bookmarkEnd w:id="89"/>
    <w:p>
      <w:pPr>
        <w:ind w:right="3859"/>
        <w:spacing w:after="0" w:line="251" w:lineRule="auto"/>
        <w:rPr>
          <w:sz w:val="20"/>
          <w:szCs w:val="20"/>
          <w:color w:val="auto"/>
        </w:rPr>
      </w:pPr>
      <w:r>
        <w:rPr>
          <w:rFonts w:ascii="Courier New" w:cs="Courier New" w:eastAsia="Courier New" w:hAnsi="Courier New"/>
          <w:sz w:val="14"/>
          <w:szCs w:val="14"/>
          <w:color w:val="auto"/>
        </w:rPr>
        <w:t>stores, or departments in stores; use of the Marks as contemplated in this Agreement will not infringe on any rights of any Person; and there are no pending or, to Candies' knowledge, threatened Proceedings in the Territory challenging the validity, effectiveness, or ownership of the Marks or any outstanding Order relating to any of the Marks.</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10</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10.1 Indemnification. (a) Designs hereby indemnifies Candies, each Affiliate of Candies, each Representative of Candies, and the heirs, executors, successors, and assigns of any of the foregoing, against the following Indemnifiable Losses:</w:t>
      </w:r>
    </w:p>
    <w:p>
      <w:pPr>
        <w:spacing w:after="0" w:line="162" w:lineRule="exact"/>
        <w:rPr>
          <w:sz w:val="20"/>
          <w:szCs w:val="20"/>
          <w:color w:val="auto"/>
        </w:rPr>
      </w:pPr>
    </w:p>
    <w:p>
      <w:pPr>
        <w:ind w:left="520" w:right="3939" w:hanging="512"/>
        <w:spacing w:after="0" w:line="255" w:lineRule="auto"/>
        <w:tabs>
          <w:tab w:leader="none" w:pos="52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Indemnifiable Losses arising out of breach by Designs of any of its obligations under this Agreement;</w:t>
      </w:r>
    </w:p>
    <w:p>
      <w:pPr>
        <w:spacing w:after="0" w:line="159" w:lineRule="exact"/>
        <w:rPr>
          <w:rFonts w:ascii="Courier New" w:cs="Courier New" w:eastAsia="Courier New" w:hAnsi="Courier New"/>
          <w:sz w:val="14"/>
          <w:szCs w:val="14"/>
          <w:color w:val="auto"/>
        </w:rPr>
      </w:pPr>
    </w:p>
    <w:p>
      <w:pPr>
        <w:ind w:left="520" w:right="3419" w:hanging="512"/>
        <w:spacing w:after="0" w:line="255" w:lineRule="auto"/>
        <w:tabs>
          <w:tab w:leader="none" w:pos="52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Indemnifiable Losses arising out of any inaccuracy in any representations of Designs contained in this Agreement;</w:t>
      </w:r>
    </w:p>
    <w:p>
      <w:pPr>
        <w:spacing w:after="0" w:line="159" w:lineRule="exact"/>
        <w:rPr>
          <w:rFonts w:ascii="Courier New" w:cs="Courier New" w:eastAsia="Courier New" w:hAnsi="Courier New"/>
          <w:sz w:val="14"/>
          <w:szCs w:val="14"/>
          <w:color w:val="auto"/>
        </w:rPr>
      </w:pPr>
    </w:p>
    <w:p>
      <w:pPr>
        <w:ind w:right="3339" w:firstLine="1042"/>
        <w:spacing w:after="0" w:line="252" w:lineRule="auto"/>
        <w:tabs>
          <w:tab w:leader="none" w:pos="1378"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Candies shall indemnify Designs, each Affiliate of Designs, each Representative of Designs, and the heirs, executors, successors, and assigns of any of the foregoing, against the following Indemnifiable Losses:</w:t>
      </w:r>
    </w:p>
    <w:p>
      <w:pPr>
        <w:spacing w:after="0" w:line="163" w:lineRule="exact"/>
        <w:rPr>
          <w:sz w:val="20"/>
          <w:szCs w:val="20"/>
          <w:color w:val="auto"/>
        </w:rPr>
      </w:pPr>
    </w:p>
    <w:p>
      <w:pPr>
        <w:ind w:left="520" w:right="3939" w:hanging="512"/>
        <w:spacing w:after="0" w:line="255" w:lineRule="auto"/>
        <w:tabs>
          <w:tab w:leader="none" w:pos="52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Indemnifiable Losses arising out of breach by Candies of any of its obligations under this Agreement;</w:t>
      </w:r>
    </w:p>
    <w:p>
      <w:pPr>
        <w:spacing w:after="0" w:line="159" w:lineRule="exact"/>
        <w:rPr>
          <w:rFonts w:ascii="Courier New" w:cs="Courier New" w:eastAsia="Courier New" w:hAnsi="Courier New"/>
          <w:sz w:val="14"/>
          <w:szCs w:val="14"/>
          <w:color w:val="auto"/>
        </w:rPr>
      </w:pPr>
    </w:p>
    <w:p>
      <w:pPr>
        <w:ind w:left="520" w:right="3419" w:hanging="512"/>
        <w:spacing w:after="0" w:line="255" w:lineRule="auto"/>
        <w:tabs>
          <w:tab w:leader="none" w:pos="52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Indemnifiable Losses arising out of any inaccuracy in any representations of Candies contained in this Agreement;</w:t>
      </w:r>
    </w:p>
    <w:p>
      <w:pPr>
        <w:spacing w:after="0" w:line="159" w:lineRule="exact"/>
        <w:rPr>
          <w:rFonts w:ascii="Courier New" w:cs="Courier New" w:eastAsia="Courier New" w:hAnsi="Courier New"/>
          <w:sz w:val="14"/>
          <w:szCs w:val="14"/>
          <w:color w:val="auto"/>
        </w:rPr>
      </w:pPr>
    </w:p>
    <w:p>
      <w:pPr>
        <w:jc w:val="both"/>
        <w:ind w:left="520" w:right="3599" w:hanging="512"/>
        <w:spacing w:after="0" w:line="252" w:lineRule="auto"/>
        <w:tabs>
          <w:tab w:leader="none" w:pos="52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Indemnifiable Losses arising out of (A) any Proceedings challenging the validity, effectiveness, or ownership of the Marks or claiming that the Marks infringe on any rights of any Person or (B) any Order relating to any of the Marks; and</w:t>
      </w:r>
    </w:p>
    <w:p>
      <w:pPr>
        <w:spacing w:after="0" w:line="162" w:lineRule="exact"/>
        <w:rPr>
          <w:rFonts w:ascii="Courier New" w:cs="Courier New" w:eastAsia="Courier New" w:hAnsi="Courier New"/>
          <w:sz w:val="14"/>
          <w:szCs w:val="14"/>
          <w:color w:val="auto"/>
        </w:rPr>
      </w:pPr>
    </w:p>
    <w:p>
      <w:pPr>
        <w:ind w:left="520" w:right="3519" w:hanging="512"/>
        <w:spacing w:after="0" w:line="251" w:lineRule="auto"/>
        <w:tabs>
          <w:tab w:leader="none" w:pos="52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Indemnifiable Losses arising out of any defect in any Products sold to Designs by Candies or any of its licensees, unless those Indemnifiable Losses are due to breach by Designs of any of its obligations under this Agreement or the negligence or willful misconduct of Designs or its Representatives.</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10.2 Procedures Relating to Third-Party Claims. (a) In order to be entitled to indemnification under this Article 10 in connection with a claim made by any Person against any other Person with respect to which that other Person (an "Indemnified Party") is entitled to indemnification pursuant to this Article 10 (any such claim, a "Third-Party Claim"), that Indemnified Party must do the following:</w:t>
      </w:r>
    </w:p>
    <w:p>
      <w:pPr>
        <w:spacing w:after="0" w:line="164" w:lineRule="exact"/>
        <w:rPr>
          <w:sz w:val="20"/>
          <w:szCs w:val="20"/>
          <w:color w:val="auto"/>
        </w:rPr>
      </w:pPr>
    </w:p>
    <w:p>
      <w:pPr>
        <w:ind w:left="520" w:right="3339" w:hanging="512"/>
        <w:spacing w:after="0" w:line="252" w:lineRule="auto"/>
        <w:tabs>
          <w:tab w:leader="none" w:pos="5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 the Person or Persons obligated to indemnify it (the "Indemnifying Party") in writing, and in reasonable detail, of that Third-Party Claim as soon as possible but in any event within 20 Business Days after receipt of notice of that Third-Party Claim, except</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left="180" w:hanging="172"/>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90" w:name="page91"/>
    <w:bookmarkEnd w:id="90"/>
    <w:p>
      <w:pPr>
        <w:ind w:left="520" w:right="3419"/>
        <w:spacing w:after="0" w:line="252" w:lineRule="auto"/>
        <w:rPr>
          <w:sz w:val="20"/>
          <w:szCs w:val="20"/>
          <w:color w:val="auto"/>
        </w:rPr>
      </w:pPr>
      <w:r>
        <w:rPr>
          <w:rFonts w:ascii="Courier New" w:cs="Courier New" w:eastAsia="Courier New" w:hAnsi="Courier New"/>
          <w:sz w:val="14"/>
          <w:szCs w:val="14"/>
          <w:color w:val="auto"/>
        </w:rPr>
        <w:t>that any failure to give any such notification will only affect the Indemnifying Party's obligation to indemnify the Indemnified Party if the Indemnifying Party has been prejudiced as a result of that failure; and</w:t>
      </w:r>
    </w:p>
    <w:p>
      <w:pPr>
        <w:spacing w:after="0" w:line="163" w:lineRule="exact"/>
        <w:rPr>
          <w:sz w:val="20"/>
          <w:szCs w:val="20"/>
          <w:color w:val="auto"/>
        </w:rPr>
      </w:pPr>
    </w:p>
    <w:p>
      <w:pPr>
        <w:ind w:left="520" w:right="3519" w:hanging="512"/>
        <w:spacing w:after="0" w:line="252" w:lineRule="auto"/>
        <w:tabs>
          <w:tab w:leader="none" w:pos="52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to the Indemnifying Party as soon as possible but in any event within 20 Business Days after the Indemnified Party receives them a copy of all notices and documents (including court papers) delivered to that Indemnified Party relating to that Third-Party Claim.</w:t>
      </w:r>
    </w:p>
    <w:p>
      <w:pPr>
        <w:spacing w:after="0" w:line="162" w:lineRule="exact"/>
        <w:rPr>
          <w:rFonts w:ascii="Courier New" w:cs="Courier New" w:eastAsia="Courier New" w:hAnsi="Courier New"/>
          <w:sz w:val="14"/>
          <w:szCs w:val="14"/>
          <w:color w:val="auto"/>
        </w:rPr>
      </w:pPr>
    </w:p>
    <w:p>
      <w:pPr>
        <w:ind w:right="3339" w:firstLine="1042"/>
        <w:spacing w:after="0" w:line="251" w:lineRule="auto"/>
        <w:tabs>
          <w:tab w:leader="none" w:pos="1378"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Third-Party Claim against one or more Indemnified Parties, the Indemnifying Party may participate in the defense of that Third-Party Claim and, if it so chooses, assume at its expense the defense of that Third-Party Claim with counsel selected by the Indemnifying Party and reasonably satisfactory to the Indemnified Party. If the Indemnifying Party so elects to assume the defense of a Third-Party Claim, the Indemnifying Party will not be liable to the Indemnified Party for any legal expenses subsequently incurred by the Indemnified Party in connection with the defense of that Third-Party Claim, except that if, under applicable standards of professional conduct, there exists a conflict on any significant issue between the Indemnified Party and the Indemnifying Party in connection with that Third-Party Claim, the Indemnifying Party shall pay the reasonable fees and expenses of one additional counsel to act with respect to that issue to the extent necessary to resolve that conflict.</w:t>
      </w:r>
    </w:p>
    <w:p>
      <w:pPr>
        <w:spacing w:after="0" w:line="328" w:lineRule="exact"/>
        <w:rPr>
          <w:rFonts w:ascii="Courier New" w:cs="Courier New" w:eastAsia="Courier New" w:hAnsi="Courier New"/>
          <w:sz w:val="14"/>
          <w:szCs w:val="14"/>
          <w:color w:val="auto"/>
        </w:rPr>
      </w:pPr>
    </w:p>
    <w:p>
      <w:pPr>
        <w:ind w:right="3419" w:firstLine="1042"/>
        <w:spacing w:after="0" w:line="251" w:lineRule="auto"/>
        <w:tabs>
          <w:tab w:leader="none" w:pos="1378"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Indemnifying Party assumes defense of any Third-Party Claim, the Indemnified Party will be entitled to participate in the defense of that Third-Party Claim and to employ counsel, at its own expense, separate from counsel employed by the Indemnifying Party, it being understood that the Indemnifying Party will be entitled to control that defense. The Indemnifying Party will be liable for the fees and expenses of counsel employed by the Indemnified Party for any period during which the Indemnifying Party did not assume the defense of any Third-Party Claim (other than during any period in which the Indemnified Party failed to give notice of the Third-Party Claim as provided above and a reasonable period after such notice).</w:t>
      </w:r>
    </w:p>
    <w:p>
      <w:pPr>
        <w:spacing w:after="0" w:line="163" w:lineRule="exact"/>
        <w:rPr>
          <w:rFonts w:ascii="Courier New" w:cs="Courier New" w:eastAsia="Courier New" w:hAnsi="Courier New"/>
          <w:sz w:val="14"/>
          <w:szCs w:val="14"/>
          <w:color w:val="auto"/>
        </w:rPr>
      </w:pPr>
    </w:p>
    <w:p>
      <w:pPr>
        <w:ind w:left="1380" w:hanging="338"/>
        <w:spacing w:after="0"/>
        <w:tabs>
          <w:tab w:leader="none" w:pos="138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Indemnifying Party chooses to defend or prosecute a</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Third-Party Claim, all the parties shall cooperate in the defense or prosecution of that Third-Party Claim, including by retaining and providing to the Indemnifying Party records and information reasonably relevant to that Third-Party Claim, and making employees available on a reasonably convenient basis.</w:t>
      </w:r>
    </w:p>
    <w:p>
      <w:pPr>
        <w:spacing w:after="0" w:line="328" w:lineRule="exact"/>
        <w:rPr>
          <w:sz w:val="20"/>
          <w:szCs w:val="20"/>
          <w:color w:val="auto"/>
        </w:rPr>
      </w:pPr>
    </w:p>
    <w:p>
      <w:pPr>
        <w:ind w:right="3519" w:firstLine="1042"/>
        <w:spacing w:after="0" w:line="251" w:lineRule="auto"/>
        <w:tabs>
          <w:tab w:leader="none" w:pos="1378"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Indemnifying Party chooses to defend or prosecute any Third-Party Claim, the Indemnified Party will agree to any settlement, compromise or discharge of that Third-Party Claim that the Indemnifying Party recommends, except that the Indemnifying Party may not without the Indemnified Party's prior written consent agree to entry of any judgment or enter into any settlement that provides for injunctive or other nonmonetary relief affecting the Indemnified Party or that does not include as an unconditional term that each claimant or plaintiff give to the Indemnified Party a release from all liability with respect to that Third-Party Claim. Whether or not the Indemnifying Party has assumed the defense of a Third-Party Claim,</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left="180" w:hanging="172"/>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91" w:name="page92"/>
    <w:bookmarkEnd w:id="91"/>
    <w:p>
      <w:pPr>
        <w:ind w:right="3339"/>
        <w:spacing w:after="0" w:line="252" w:lineRule="auto"/>
        <w:rPr>
          <w:sz w:val="20"/>
          <w:szCs w:val="20"/>
          <w:color w:val="auto"/>
        </w:rPr>
      </w:pPr>
      <w:r>
        <w:rPr>
          <w:rFonts w:ascii="Courier New" w:cs="Courier New" w:eastAsia="Courier New" w:hAnsi="Courier New"/>
          <w:sz w:val="14"/>
          <w:szCs w:val="14"/>
          <w:color w:val="auto"/>
        </w:rPr>
        <w:t>the Indemnified Party shall not admit any liability with respect to, or settle, compromise or discharge, that Third-Party Claim without the Indemnifying Party's prior written consent.</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10.3 Procedures Relating to Other Claims. In order for any Indemnified Party to be entitled to any indemnification under this Agreement in respect of a claim that does not involve a Third-Party Claim (a "Claim"), the Indemnified Party must reasonably promptly notify the Indemnifying Party of that Claim, and describe in reasonable detail the basis for that Claim, except that any failure to give any such notification will only affect the Indemnifying Party's obligation to indemnify the Indemnified Party if the Indemnifying Party has been prejudiced as a result of that failure. If the Indemnifying Party does not dispute that the Indemnified Party is entitled to indemnification with respect to that Claim by notice to the Indemnified Party prior to the expiration of a</w:t>
      </w:r>
    </w:p>
    <w:p>
      <w:pPr>
        <w:spacing w:after="0" w:line="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30-Business-Day period following receipt by the Indemnifying Party of notice of that Claim from the Indemnified Party, that Claim will be conclusively deemed a liability of the Indemnifying Party and the Indemnifying Party shall pay the amount of that liability to the Indemnified Party on demand or, in the case of any notice in which the amount of the Claim (or any portion thereof) is estimated, on such later date as the amount of the Claim (or any portion thereof) becomes finally determined. If the Indemnifying Party has timely disputed its liability with respect to the Claim, the Indemnifying Party and the Indemnified Party shall proceed in good faith to negotiate a resolution of the Claim and, if the Claim is not resolved through negotiations within 60 Business Days following receipt by the Indemnifying Party of notice of that Claim from the Indemnified Party, the Indemnified Party may seek legal remedies by bringing a Proceeding as provided in Section 13.6.</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11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OPTION TO PURCHASE</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11.1 Outlet Store Option Trigger. (a) Upon occurrence of an Outlet Store Option Trigger, Candies will be entitled to purchase all, and not less than all, the assets of any one or more Outlet Stores, including but not limited to the furniture, fixtures, equipment, inventory, and contract rights (including but not limited to rights under any real property lease), on condition that Candies also assumes the obligations (including but not limited to obligations under any real property lease) of Designs relating to any Outlet Stores, the assets of which Candies purchases under this Section 11.1(a). The purchase price for any Outlet Store will be its book value, determined according to GAAP. If the landlord's consent is necessary in order for Candies to be able to assume the rights and obligations under the lease to any given Outlet Store, Designs shall use commercially reasonable efforts to assist Candies in obtaining that consent. Candies may not without Designs' prior written consent assume the lease to any given Outlet Store unless the landlord releases Designs from all liability with respect thereto.</w:t>
      </w:r>
    </w:p>
    <w:p>
      <w:pPr>
        <w:spacing w:after="0" w:line="172" w:lineRule="exact"/>
        <w:rPr>
          <w:sz w:val="20"/>
          <w:szCs w:val="20"/>
          <w:color w:val="auto"/>
        </w:rPr>
      </w:pPr>
    </w:p>
    <w:p>
      <w:pPr>
        <w:ind w:right="3419" w:firstLine="1042"/>
        <w:spacing w:after="0" w:line="251" w:lineRule="auto"/>
        <w:tabs>
          <w:tab w:leader="none" w:pos="1378"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either (A) Candies elects not to exercise the right provided for in Section 11.1(a) with respect to any given Outlet Store or (B) the landlord's consent is necessary in order for Candies to be able to assume Designs' rights and obligations under the lease to that Outlet Store and the landlord does not give its consent, Designs shall, with respect to that Outlet Store, at Designs' discretion either (1) cease operating that Outlet Store and liquidate any of that Outlet Store's inventory within six months after Candies' exercise of the right provided for in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92" w:name="page93"/>
    <w:bookmarkEnd w:id="92"/>
    <w:p>
      <w:pPr>
        <w:ind w:right="3339"/>
        <w:spacing w:after="0" w:line="251" w:lineRule="auto"/>
        <w:rPr>
          <w:sz w:val="20"/>
          <w:szCs w:val="20"/>
          <w:color w:val="auto"/>
        </w:rPr>
      </w:pPr>
      <w:r>
        <w:rPr>
          <w:rFonts w:ascii="Courier New" w:cs="Courier New" w:eastAsia="Courier New" w:hAnsi="Courier New"/>
          <w:sz w:val="14"/>
          <w:szCs w:val="14"/>
          <w:color w:val="auto"/>
        </w:rPr>
        <w:t>Section 11.1(a) or transfer any of that Outlet Store's inventory to another Store, in which event Designs may thereafter operate or use the premises of that Outlet Store for any other purpose, or (2) continue to operate that Outlet Store for Retail Sale of the Products in accordance with the terms of this Agreement for the remainder of the then-current term of the lease.</w:t>
      </w:r>
    </w:p>
    <w:p>
      <w:pPr>
        <w:spacing w:after="0" w:line="165" w:lineRule="exact"/>
        <w:rPr>
          <w:sz w:val="20"/>
          <w:szCs w:val="20"/>
          <w:color w:val="auto"/>
        </w:rPr>
      </w:pPr>
    </w:p>
    <w:p>
      <w:pPr>
        <w:ind w:right="3339" w:firstLine="1042"/>
        <w:spacing w:after="0" w:line="255" w:lineRule="auto"/>
        <w:tabs>
          <w:tab w:leader="none" w:pos="1378" w:val="left"/>
        </w:tabs>
        <w:numPr>
          <w:ilvl w:val="2"/>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"Outlet Store Option Trigger" will be deemed to have occurred if the following happens:</w:t>
      </w:r>
    </w:p>
    <w:p>
      <w:pPr>
        <w:spacing w:after="0" w:line="159" w:lineRule="exact"/>
        <w:rPr>
          <w:rFonts w:ascii="Courier New" w:cs="Courier New" w:eastAsia="Courier New" w:hAnsi="Courier New"/>
          <w:sz w:val="14"/>
          <w:szCs w:val="14"/>
          <w:color w:val="auto"/>
        </w:rPr>
      </w:pPr>
    </w:p>
    <w:p>
      <w:pPr>
        <w:ind w:left="520" w:right="3519" w:hanging="512"/>
        <w:spacing w:after="0" w:line="252" w:lineRule="auto"/>
        <w:tabs>
          <w:tab w:leader="none" w:pos="52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Contract Year, the Average Retail Net Sales Volume of the Outlet Stores for that Contract Year on an annualized basis is less than $500,000;</w:t>
      </w:r>
    </w:p>
    <w:p>
      <w:pPr>
        <w:spacing w:after="0" w:line="162" w:lineRule="exact"/>
        <w:rPr>
          <w:rFonts w:ascii="Courier New" w:cs="Courier New" w:eastAsia="Courier New" w:hAnsi="Courier New"/>
          <w:sz w:val="14"/>
          <w:szCs w:val="14"/>
          <w:color w:val="auto"/>
        </w:rPr>
      </w:pPr>
    </w:p>
    <w:p>
      <w:pPr>
        <w:ind w:left="520" w:right="3339" w:hanging="512"/>
        <w:spacing w:after="0" w:line="255" w:lineRule="auto"/>
        <w:tabs>
          <w:tab w:leader="none" w:pos="52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has failed to open 15 Outlet Stores by the end of Contract Year 2; or</w:t>
      </w:r>
    </w:p>
    <w:p>
      <w:pPr>
        <w:spacing w:after="0" w:line="159" w:lineRule="exact"/>
        <w:rPr>
          <w:rFonts w:ascii="Courier New" w:cs="Courier New" w:eastAsia="Courier New" w:hAnsi="Courier New"/>
          <w:sz w:val="14"/>
          <w:szCs w:val="14"/>
          <w:color w:val="auto"/>
        </w:rPr>
      </w:pPr>
    </w:p>
    <w:p>
      <w:pPr>
        <w:ind w:left="520" w:right="3339" w:hanging="512"/>
        <w:spacing w:after="0" w:line="250" w:lineRule="auto"/>
        <w:tabs>
          <w:tab w:leader="none" w:pos="52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has failed to open at least 20 Outlet Stores during either of the two-year periods consisting of (A) Contract Year 3 and Contract Year 4 and</w:t>
      </w:r>
    </w:p>
    <w:p>
      <w:pPr>
        <w:ind w:left="860" w:hanging="335"/>
        <w:spacing w:after="0"/>
        <w:tabs>
          <w:tab w:leader="none" w:pos="860"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Year 4 and Contract Year 5.</w:t>
      </w:r>
    </w:p>
    <w:p>
      <w:pPr>
        <w:spacing w:after="0" w:line="172" w:lineRule="exact"/>
        <w:rPr>
          <w:rFonts w:ascii="Courier New" w:cs="Courier New" w:eastAsia="Courier New" w:hAnsi="Courier New"/>
          <w:sz w:val="14"/>
          <w:szCs w:val="14"/>
          <w:color w:val="auto"/>
        </w:rPr>
      </w:pPr>
    </w:p>
    <w:p>
      <w:pPr>
        <w:ind w:right="3599" w:firstLine="1042"/>
        <w:spacing w:after="0" w:line="250" w:lineRule="auto"/>
        <w:tabs>
          <w:tab w:leader="none" w:pos="1378" w:val="left"/>
        </w:tabs>
        <w:numPr>
          <w:ilvl w:val="2"/>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Designs opens a number of Outlet Stores sufficient to more than satisfy the requirements of Section 11.1(c)(2) or clause (A) of Section</w:t>
      </w:r>
    </w:p>
    <w:p>
      <w:pPr>
        <w:ind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11.1(c)(3), Designs may carry forward the excess in any manner that best serves to satisfy the requirements of Section 11.1(c).</w:t>
      </w:r>
    </w:p>
    <w:p>
      <w:pPr>
        <w:spacing w:after="0" w:line="159" w:lineRule="exact"/>
        <w:rPr>
          <w:rFonts w:ascii="Courier New" w:cs="Courier New" w:eastAsia="Courier New" w:hAnsi="Courier New"/>
          <w:sz w:val="14"/>
          <w:szCs w:val="14"/>
          <w:color w:val="auto"/>
        </w:rPr>
      </w:pPr>
    </w:p>
    <w:p>
      <w:pPr>
        <w:ind w:right="3519" w:firstLine="1042"/>
        <w:spacing w:after="0" w:line="252" w:lineRule="auto"/>
        <w:tabs>
          <w:tab w:leader="none" w:pos="1378" w:val="left"/>
        </w:tabs>
        <w:numPr>
          <w:ilvl w:val="2"/>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Once Designs has opened 75 Outlet Stores, occurrence of any of the events specified in Section 11.1(c)(2) and 11.1(c)(3) will no longer constitute an Outlet Store Option Trigger.</w:t>
      </w:r>
    </w:p>
    <w:p>
      <w:pPr>
        <w:spacing w:after="0" w:line="16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11.2 Value Power Store Option Trigger. (a) Upon occurrence of a Value Power Store Option Trigger, Candies will be entitled to purchase all, and not less than all, the assets of any one or more Value Power Stores, including but not limited to the furniture, fixtures, equipment, inventory, and contract rights (including but not limited to rights under any real property lease), on condition that Candies also assumes the obligations (including but not limited to obligations under any real property lease) of Designs relating to any Value Power Stores, the assets of which Candies purchases under this Section 11.2(a). The purchase price for any Value Power Store will be its book value, determined according to GAAP. If the landlord's consent is necessary in order for Candies to be able to assume the rights and obligations under the lease to any given Value Power Store, Designs shall use commercially reasonable efforts to assist Candies in obtaining that consent. Candies may not without Designs' prior written consent assume the lease to any given Value Power Store unless the landlord releases Designs from all liability with respect thereto.</w:t>
      </w:r>
    </w:p>
    <w:p>
      <w:pPr>
        <w:spacing w:after="0" w:line="172" w:lineRule="exact"/>
        <w:rPr>
          <w:sz w:val="20"/>
          <w:szCs w:val="20"/>
          <w:color w:val="auto"/>
        </w:rPr>
      </w:pPr>
    </w:p>
    <w:p>
      <w:pPr>
        <w:ind w:right="3419" w:firstLine="1042"/>
        <w:spacing w:after="0" w:line="251" w:lineRule="auto"/>
        <w:tabs>
          <w:tab w:leader="none" w:pos="1378"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either (A) Candies elects not to exercise the right provided for in Section 11.2(a) with respect to any given Value Power Store or (B) the landlord's consent is necessary in order for Candies to be able to assume Designs' rights and obligations under the lease to that Value Power Store and the landlord does not give its consent, Designs shall, with respect to that Value Power Store, at Designs' discretion either (1) cease operating that Value Power Store and liquidate any of that Value Power Store's inventory within six months after Candies' exercise of the right provided for in Section 11.2(a) or transfer any of that Value Power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pacing w:after="0" w:line="173" w:lineRule="exact"/>
        <w:rPr>
          <w:sz w:val="20"/>
          <w:szCs w:val="20"/>
          <w:color w:val="auto"/>
        </w:rPr>
      </w:pPr>
    </w:p>
    <w:p>
      <w:pPr>
        <w:ind w:left="180" w:hanging="172"/>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93" w:name="page94"/>
    <w:bookmarkEnd w:id="93"/>
    <w:p>
      <w:pPr>
        <w:ind w:right="3419"/>
        <w:spacing w:after="0" w:line="250" w:lineRule="auto"/>
        <w:rPr>
          <w:sz w:val="20"/>
          <w:szCs w:val="20"/>
          <w:color w:val="auto"/>
        </w:rPr>
      </w:pPr>
      <w:r>
        <w:rPr>
          <w:rFonts w:ascii="Courier New" w:cs="Courier New" w:eastAsia="Courier New" w:hAnsi="Courier New"/>
          <w:sz w:val="14"/>
          <w:szCs w:val="14"/>
          <w:color w:val="auto"/>
        </w:rPr>
        <w:t>Store's inventory to another Store, in which event Designs may thereafter operate or use the premises of that Value Power Store for any other purpose, or</w:t>
      </w:r>
    </w:p>
    <w:p>
      <w:pPr>
        <w:spacing w:after="0" w:line="1" w:lineRule="exact"/>
        <w:rPr>
          <w:sz w:val="20"/>
          <w:szCs w:val="20"/>
          <w:color w:val="auto"/>
        </w:rPr>
      </w:pPr>
    </w:p>
    <w:p>
      <w:pPr>
        <w:ind w:right="3519" w:firstLine="8"/>
        <w:spacing w:after="0" w:line="252" w:lineRule="auto"/>
        <w:tabs>
          <w:tab w:leader="none" w:pos="344"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 to operate that Value Power Store for Retail Sale of the Products in accordance with the terms of this Agreement for the remainder of the then-current term of the lease.</w:t>
      </w:r>
    </w:p>
    <w:p>
      <w:pPr>
        <w:spacing w:after="0" w:line="162" w:lineRule="exact"/>
        <w:rPr>
          <w:rFonts w:ascii="Courier New" w:cs="Courier New" w:eastAsia="Courier New" w:hAnsi="Courier New"/>
          <w:sz w:val="14"/>
          <w:szCs w:val="14"/>
          <w:color w:val="auto"/>
        </w:rPr>
      </w:pPr>
    </w:p>
    <w:p>
      <w:pPr>
        <w:ind w:right="3779" w:firstLine="1042"/>
        <w:spacing w:after="0" w:line="255" w:lineRule="auto"/>
        <w:tabs>
          <w:tab w:leader="none" w:pos="1378"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"Value Power Store Option Trigger" will be deemed to have occurred if the following happens:</w:t>
      </w:r>
    </w:p>
    <w:p>
      <w:pPr>
        <w:spacing w:after="0" w:line="160" w:lineRule="exact"/>
        <w:rPr>
          <w:sz w:val="20"/>
          <w:szCs w:val="20"/>
          <w:color w:val="auto"/>
        </w:rPr>
      </w:pPr>
    </w:p>
    <w:p>
      <w:pPr>
        <w:jc w:val="both"/>
        <w:ind w:left="520" w:right="3599" w:hanging="512"/>
        <w:spacing w:after="0" w:line="252" w:lineRule="auto"/>
        <w:tabs>
          <w:tab w:leader="none" w:pos="5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Contract Year, the Average Retail Net Sales Volume of the Value Power Stores for that Contract Year on an annualized basis is less than $600,000;</w:t>
      </w:r>
    </w:p>
    <w:p>
      <w:pPr>
        <w:spacing w:after="0" w:line="162" w:lineRule="exact"/>
        <w:rPr>
          <w:rFonts w:ascii="Courier New" w:cs="Courier New" w:eastAsia="Courier New" w:hAnsi="Courier New"/>
          <w:sz w:val="14"/>
          <w:szCs w:val="14"/>
          <w:color w:val="auto"/>
        </w:rPr>
      </w:pPr>
    </w:p>
    <w:p>
      <w:pPr>
        <w:ind w:left="520" w:right="3419" w:hanging="512"/>
        <w:spacing w:after="0" w:line="255" w:lineRule="auto"/>
        <w:tabs>
          <w:tab w:leader="none" w:pos="5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has failed to open five Value Power Stores by the end of Contract Year 2; or</w:t>
      </w:r>
    </w:p>
    <w:p>
      <w:pPr>
        <w:spacing w:after="0" w:line="159" w:lineRule="exact"/>
        <w:rPr>
          <w:rFonts w:ascii="Courier New" w:cs="Courier New" w:eastAsia="Courier New" w:hAnsi="Courier New"/>
          <w:sz w:val="14"/>
          <w:szCs w:val="14"/>
          <w:color w:val="auto"/>
        </w:rPr>
      </w:pPr>
    </w:p>
    <w:p>
      <w:pPr>
        <w:ind w:left="520" w:right="3419" w:hanging="512"/>
        <w:spacing w:after="0" w:line="252" w:lineRule="auto"/>
        <w:tabs>
          <w:tab w:leader="none" w:pos="5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has failed to open at least five Value Power Stores during either of the two-year periods consisting of (A) Contract Year 3 and Contract Year 4 and (B) Contract Year 4 and Contract Year 5.</w:t>
      </w:r>
    </w:p>
    <w:p>
      <w:pPr>
        <w:spacing w:after="0" w:line="162" w:lineRule="exact"/>
        <w:rPr>
          <w:rFonts w:ascii="Courier New" w:cs="Courier New" w:eastAsia="Courier New" w:hAnsi="Courier New"/>
          <w:sz w:val="14"/>
          <w:szCs w:val="14"/>
          <w:color w:val="auto"/>
        </w:rPr>
      </w:pPr>
    </w:p>
    <w:p>
      <w:pPr>
        <w:ind w:right="3339" w:firstLine="1042"/>
        <w:spacing w:after="0" w:line="252" w:lineRule="auto"/>
        <w:tabs>
          <w:tab w:leader="none" w:pos="1378"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Designs opens a number of Value Power Stores sufficient to more than satisfy the requirements of Section 11.2(c)(2) or clause (A) of Section 11.2(c)(3), Designs may carry forward the excess in any manner that best serves to satisfy the requirements of Section 11.1(c).</w:t>
      </w:r>
    </w:p>
    <w:p>
      <w:pPr>
        <w:spacing w:after="0" w:line="162" w:lineRule="exact"/>
        <w:rPr>
          <w:rFonts w:ascii="Courier New" w:cs="Courier New" w:eastAsia="Courier New" w:hAnsi="Courier New"/>
          <w:sz w:val="14"/>
          <w:szCs w:val="14"/>
          <w:color w:val="auto"/>
        </w:rPr>
      </w:pPr>
    </w:p>
    <w:p>
      <w:pPr>
        <w:ind w:right="3339" w:firstLine="1042"/>
        <w:spacing w:after="0" w:line="252" w:lineRule="auto"/>
        <w:tabs>
          <w:tab w:leader="none" w:pos="1378"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Once Designs has opened 25 Value Power Stores, occurrence of any of the events specified in Section 11.2(c)(2) and 11.2(c)(3) will no longer constitute a Value Power Store Option Trigger.</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12</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12.1 Termination. (a) This Agreement may be terminated as follows:</w:t>
      </w:r>
    </w:p>
    <w:p>
      <w:pPr>
        <w:spacing w:after="0" w:line="173" w:lineRule="exact"/>
        <w:rPr>
          <w:sz w:val="20"/>
          <w:szCs w:val="20"/>
          <w:color w:val="auto"/>
        </w:rPr>
      </w:pPr>
    </w:p>
    <w:p>
      <w:pPr>
        <w:ind w:left="520" w:right="3419" w:hanging="512"/>
        <w:spacing w:after="0" w:line="252" w:lineRule="auto"/>
        <w:tabs>
          <w:tab w:leader="none" w:pos="5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Candies upon 15 days' written notice to Designs if any representation made in this Agreement by Designs was materially inaccurate when made and that inaccuracy has contributed to Candies' incurring Indemnifiable Losses;</w:t>
      </w:r>
    </w:p>
    <w:p>
      <w:pPr>
        <w:spacing w:after="0" w:line="162" w:lineRule="exact"/>
        <w:rPr>
          <w:rFonts w:ascii="Courier New" w:cs="Courier New" w:eastAsia="Courier New" w:hAnsi="Courier New"/>
          <w:sz w:val="14"/>
          <w:szCs w:val="14"/>
          <w:color w:val="auto"/>
        </w:rPr>
      </w:pPr>
    </w:p>
    <w:p>
      <w:pPr>
        <w:ind w:left="520" w:right="3419" w:hanging="512"/>
        <w:spacing w:after="0" w:line="252" w:lineRule="auto"/>
        <w:tabs>
          <w:tab w:leader="none" w:pos="5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Designs upon 15 days' written notice to Candies if any representation made in this Agreement by Candies was materially inaccurate when made and that inaccuracy has contributed to Designs' incurring Indemnifiable Losses;</w:t>
      </w:r>
    </w:p>
    <w:p>
      <w:pPr>
        <w:spacing w:after="0" w:line="162" w:lineRule="exact"/>
        <w:rPr>
          <w:rFonts w:ascii="Courier New" w:cs="Courier New" w:eastAsia="Courier New" w:hAnsi="Courier New"/>
          <w:sz w:val="14"/>
          <w:szCs w:val="14"/>
          <w:color w:val="auto"/>
        </w:rPr>
      </w:pPr>
    </w:p>
    <w:p>
      <w:pPr>
        <w:ind w:left="520" w:right="3779" w:hanging="512"/>
        <w:spacing w:after="0" w:line="255" w:lineRule="auto"/>
        <w:tabs>
          <w:tab w:leader="none" w:pos="5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Candies immediately if Designs has materially breached any of its obligations under this Agreement and either of the following applies:</w:t>
      </w:r>
    </w:p>
    <w:p>
      <w:pPr>
        <w:spacing w:after="0" w:line="159" w:lineRule="exact"/>
        <w:rPr>
          <w:rFonts w:ascii="Courier New" w:cs="Courier New" w:eastAsia="Courier New" w:hAnsi="Courier New"/>
          <w:sz w:val="14"/>
          <w:szCs w:val="14"/>
          <w:color w:val="auto"/>
        </w:rPr>
      </w:pPr>
    </w:p>
    <w:p>
      <w:pPr>
        <w:ind w:left="1040" w:right="3419" w:hanging="515"/>
        <w:spacing w:after="0" w:line="252" w:lineRule="auto"/>
        <w:tabs>
          <w:tab w:leader="none" w:pos="1040"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breach can reasonably be cured within a 30-day period from the date Candies notifies Designs of that breach and Designs has not cured that breach prior to expiration of that 30-day period; or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left="180" w:hanging="172"/>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94" w:name="page95"/>
    <w:bookmarkEnd w:id="94"/>
    <w:p>
      <w:pPr>
        <w:ind w:left="1040" w:right="3339" w:hanging="515"/>
        <w:spacing w:after="0" w:line="251" w:lineRule="auto"/>
        <w:tabs>
          <w:tab w:leader="none" w:pos="1040"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breach cannot reasonably be cured within that 30-day period and Designs does not commence curing that breach within that 30-day period and proceed diligently toward completing that cure, which cure must in any event be completed prior to expiration of a 90-day period from the date Candies notifies Designs of that breach;</w:t>
      </w:r>
    </w:p>
    <w:p>
      <w:pPr>
        <w:spacing w:after="0" w:line="164" w:lineRule="exact"/>
        <w:rPr>
          <w:rFonts w:ascii="Courier New" w:cs="Courier New" w:eastAsia="Courier New" w:hAnsi="Courier New"/>
          <w:sz w:val="14"/>
          <w:szCs w:val="14"/>
          <w:color w:val="auto"/>
        </w:rPr>
      </w:pPr>
    </w:p>
    <w:p>
      <w:pPr>
        <w:ind w:left="520" w:right="3779" w:hanging="512"/>
        <w:spacing w:after="0" w:line="255" w:lineRule="auto"/>
        <w:tabs>
          <w:tab w:leader="none" w:pos="5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Designs immediately if Candies has materially breached any of its obligations under this Agreement and either of the following applies:</w:t>
      </w:r>
    </w:p>
    <w:p>
      <w:pPr>
        <w:spacing w:after="0" w:line="159" w:lineRule="exact"/>
        <w:rPr>
          <w:rFonts w:ascii="Courier New" w:cs="Courier New" w:eastAsia="Courier New" w:hAnsi="Courier New"/>
          <w:sz w:val="14"/>
          <w:szCs w:val="14"/>
          <w:color w:val="auto"/>
        </w:rPr>
      </w:pPr>
    </w:p>
    <w:p>
      <w:pPr>
        <w:ind w:left="1040" w:right="3419" w:hanging="515"/>
        <w:spacing w:after="0" w:line="252" w:lineRule="auto"/>
        <w:tabs>
          <w:tab w:leader="none" w:pos="104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breach can reasonably be cured within a 30-day period from the date Designs notifies Candies of that breach and Candies has not cured that breach prior to expiration of that 30-day period; or</w:t>
      </w:r>
    </w:p>
    <w:p>
      <w:pPr>
        <w:spacing w:after="0" w:line="162"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breach cannot reasonably be cured within that 30-day period and Candies does not commence curing that breach within that 30-day period and proceed diligently toward completing that cure, which cure must in any event be completed prior to expiration of a 90-day period from the date Designs notifies Candies of that breach;</w:t>
      </w:r>
    </w:p>
    <w:p>
      <w:pPr>
        <w:spacing w:after="0" w:line="164" w:lineRule="exact"/>
        <w:rPr>
          <w:rFonts w:ascii="Courier New" w:cs="Courier New" w:eastAsia="Courier New" w:hAnsi="Courier New"/>
          <w:sz w:val="14"/>
          <w:szCs w:val="14"/>
          <w:color w:val="auto"/>
        </w:rPr>
      </w:pPr>
    </w:p>
    <w:p>
      <w:pPr>
        <w:ind w:left="520" w:right="3419" w:hanging="512"/>
        <w:spacing w:after="0" w:line="255" w:lineRule="auto"/>
        <w:tabs>
          <w:tab w:leader="none" w:pos="5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Candies immediately if there occurs a Bankruptcy Event with respect to Designs;</w:t>
      </w:r>
    </w:p>
    <w:p>
      <w:pPr>
        <w:spacing w:after="0" w:line="159" w:lineRule="exact"/>
        <w:rPr>
          <w:rFonts w:ascii="Courier New" w:cs="Courier New" w:eastAsia="Courier New" w:hAnsi="Courier New"/>
          <w:sz w:val="14"/>
          <w:szCs w:val="14"/>
          <w:color w:val="auto"/>
        </w:rPr>
      </w:pPr>
    </w:p>
    <w:p>
      <w:pPr>
        <w:ind w:left="520" w:right="3419" w:hanging="512"/>
        <w:spacing w:after="0" w:line="255" w:lineRule="auto"/>
        <w:tabs>
          <w:tab w:leader="none" w:pos="5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Designs immediately if there occurs a Bankruptcy Event with respect to Candies; and</w:t>
      </w:r>
    </w:p>
    <w:p>
      <w:pPr>
        <w:spacing w:after="0" w:line="159" w:lineRule="exact"/>
        <w:rPr>
          <w:rFonts w:ascii="Courier New" w:cs="Courier New" w:eastAsia="Courier New" w:hAnsi="Courier New"/>
          <w:sz w:val="14"/>
          <w:szCs w:val="14"/>
          <w:color w:val="auto"/>
        </w:rPr>
      </w:pPr>
    </w:p>
    <w:p>
      <w:pPr>
        <w:ind w:left="520" w:right="3339" w:hanging="512"/>
        <w:spacing w:after="0" w:line="250" w:lineRule="auto"/>
        <w:tabs>
          <w:tab w:leader="none" w:pos="5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Designs immediately if any Person other than Designs or, pursuant to Section 3.3(a) or 4.4(a), Candies uses the Marks in the Territory in connection with the operation of, or Retail Sale of Products in, stores, or departments in stores, in any Outlet Centers or Value Power Centers and</w:t>
      </w:r>
    </w:p>
    <w:p>
      <w:pPr>
        <w:spacing w:after="0" w:line="1" w:lineRule="exact"/>
        <w:rPr>
          <w:rFonts w:ascii="Courier New" w:cs="Courier New" w:eastAsia="Courier New" w:hAnsi="Courier New"/>
          <w:sz w:val="14"/>
          <w:szCs w:val="14"/>
          <w:color w:val="auto"/>
        </w:rPr>
      </w:pPr>
    </w:p>
    <w:p>
      <w:pPr>
        <w:ind w:left="52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Candies consents to that use, (2) Candies fails to use best efforts to cause, by means of Proceedings against that Person or otherwise, that Person to terminate that use, or (3) that use continues for six months or more after Candies became aware of that use.</w:t>
      </w:r>
    </w:p>
    <w:p>
      <w:pPr>
        <w:spacing w:after="0" w:line="162" w:lineRule="exact"/>
        <w:rPr>
          <w:rFonts w:ascii="Courier New" w:cs="Courier New" w:eastAsia="Courier New" w:hAnsi="Courier New"/>
          <w:sz w:val="14"/>
          <w:szCs w:val="14"/>
          <w:color w:val="auto"/>
        </w:rPr>
      </w:pPr>
    </w:p>
    <w:p>
      <w:pPr>
        <w:ind w:right="3419" w:firstLine="1042"/>
        <w:spacing w:after="0" w:line="252" w:lineRule="auto"/>
        <w:tabs>
          <w:tab w:leader="none" w:pos="1378" w:val="left"/>
        </w:tabs>
        <w:numPr>
          <w:ilvl w:val="2"/>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may for any reason other than one of those specified in Section 12.1(a) unilaterally terminate this Agreement at any time upon three months' notice to Candies, and the parties may terminate this Agreement at any time by written agreement.</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12.2 Liability After Termination. Termination of this Agreement for any reason will not, unless otherwise expressly provided in this Agreement, affect either party's obligations accrued prior to the effective date of termination or any obligations that, either expressly or from the context of this Agreement are intended to survive termination of this Agreement, including without limitation those contained in Article 10.</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12.3 Effects of Termination. (a) Upon any termination of this Agreement pursuant to Section 12.1(a)(1), 12.1(a)(3), 12.1(a)(5), or 12.1(b), Candies will be entitled to purchase all, and not less than all, the assets of any one or more Stores, including but not limited to the furniture, fixtures, equipment, inventory, and contract rights (including but not limited to rights under any real property lease). The purchase price for any Store will be its book value, determined</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pacing w:after="0" w:line="173" w:lineRule="exact"/>
        <w:rPr>
          <w:sz w:val="20"/>
          <w:szCs w:val="20"/>
          <w:color w:val="auto"/>
        </w:rPr>
      </w:pPr>
    </w:p>
    <w:p>
      <w:pPr>
        <w:ind w:left="180" w:hanging="172"/>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95" w:name="page96"/>
    <w:bookmarkEnd w:id="95"/>
    <w:p>
      <w:pPr>
        <w:ind w:right="3519"/>
        <w:spacing w:after="0" w:line="252" w:lineRule="auto"/>
        <w:rPr>
          <w:sz w:val="20"/>
          <w:szCs w:val="20"/>
          <w:color w:val="auto"/>
        </w:rPr>
      </w:pPr>
      <w:r>
        <w:rPr>
          <w:rFonts w:ascii="Courier New" w:cs="Courier New" w:eastAsia="Courier New" w:hAnsi="Courier New"/>
          <w:sz w:val="14"/>
          <w:szCs w:val="14"/>
          <w:color w:val="auto"/>
        </w:rPr>
        <w:t>according to GAAP. If the landlord's consent is necessary in order for Candies to be able to assume the lease to any given Store, Designs shall use commercially reasonable efforts to assist Candies in obtaining that consent.</w:t>
      </w:r>
    </w:p>
    <w:p>
      <w:pPr>
        <w:spacing w:after="0" w:line="163" w:lineRule="exact"/>
        <w:rPr>
          <w:sz w:val="20"/>
          <w:szCs w:val="20"/>
          <w:color w:val="auto"/>
        </w:rPr>
      </w:pPr>
    </w:p>
    <w:p>
      <w:pPr>
        <w:ind w:right="3339" w:firstLine="1042"/>
        <w:spacing w:after="0" w:line="251" w:lineRule="auto"/>
        <w:tabs>
          <w:tab w:leader="none" w:pos="1378"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Candies elects not to exercise the right provided for in Section 12.3(a) with respect to any given Store, Designs shall, with respect to that Store, cease operating that Store and liquidate that Store's inventory within six months after the date of termination, and Designs may thereafter operate or use the premises of that Store for any other purpose. During any such liquidation, the License will continue in effect and Designs will continue to be bound by the terms of Article 7.</w:t>
      </w:r>
    </w:p>
    <w:p>
      <w:pPr>
        <w:spacing w:after="0" w:line="164" w:lineRule="exact"/>
        <w:rPr>
          <w:rFonts w:ascii="Courier New" w:cs="Courier New" w:eastAsia="Courier New" w:hAnsi="Courier New"/>
          <w:sz w:val="14"/>
          <w:szCs w:val="14"/>
          <w:color w:val="auto"/>
        </w:rPr>
      </w:pPr>
    </w:p>
    <w:p>
      <w:pPr>
        <w:ind w:left="1380" w:hanging="338"/>
        <w:spacing w:after="0"/>
        <w:tabs>
          <w:tab w:leader="none" w:pos="13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termination of this Agreement pursuant to Section</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12.1(a)(2), 12.1(a)(4), 12.1(a)(6), or 12.1(a)(7) (excluding clause (3) thereof), Candies shall purchase the assets of all Stores, including but not limited to the furniture, fixtures, equipment, inventory, and contract rights (including but not limited to rights under any real property lease) and shall assume the obligations of all Stores (including but not limited to obligations under any real property lease). The purchase price for the assets of each Store will be eight times the aggregate cashflows from that Store; for purposes of this Section 12.3(c), a Store's cashflow means its gross margin generated from retail sales (after considering among other things, markdowns and inventory shrinkage), less Store expenses, including occupancy expenses, payroll costs and other direct operating expenses of the store. If the landlord's consent is necessary in order for Candies to be able to assume Designs' rights and obligations under the lease to any given Store, Designs shall use commercially reasonable efforts to assist Candies in obtaining that consent. If the landlord does not permit Candies to assume Designs' rights and obligations under the lease to any given Store, Candies shall sublease the Store premises from Designs and shall indemnify Designs from any liabilities (including liabilities under the lease) arising from breach by Candies of the terms of the sublease. If the landlord does not permit Candies to either assume Designs rights and obligations under the lease to any given Store or sublease the Store premises from Designs, Candies shall reimburse Designs, on a monthly basis, for all rental payments and any other costs whatsoever that Designs incurs under the lease for that Store (excluding any costs arising from damages to the Store premises caused by willful misconduct of Designs), less any revenues that Designs derives from subleasing those Store premises. Candies may not without Designs' prior written consent assume the lease to any given Store under this Section 12.3(c) unless the landlord releases Designs from all liability with respect thereto.</w:t>
      </w:r>
    </w:p>
    <w:p>
      <w:pPr>
        <w:spacing w:after="0" w:line="177" w:lineRule="exact"/>
        <w:rPr>
          <w:sz w:val="20"/>
          <w:szCs w:val="20"/>
          <w:color w:val="auto"/>
        </w:rPr>
      </w:pPr>
    </w:p>
    <w:p>
      <w:pPr>
        <w:ind w:left="1380" w:hanging="338"/>
        <w:spacing w:after="0"/>
        <w:tabs>
          <w:tab w:leader="none" w:pos="1380"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will also apply upon termination:</w:t>
      </w:r>
    </w:p>
    <w:p>
      <w:pPr>
        <w:spacing w:after="0" w:line="172" w:lineRule="exact"/>
        <w:rPr>
          <w:rFonts w:ascii="Courier New" w:cs="Courier New" w:eastAsia="Courier New" w:hAnsi="Courier New"/>
          <w:sz w:val="14"/>
          <w:szCs w:val="14"/>
          <w:color w:val="auto"/>
        </w:rPr>
      </w:pPr>
    </w:p>
    <w:p>
      <w:pPr>
        <w:ind w:left="520" w:right="3339" w:hanging="512"/>
        <w:spacing w:after="0" w:line="252" w:lineRule="auto"/>
        <w:tabs>
          <w:tab w:leader="none" w:pos="5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party will be liable to the other for either compensation or damages of any kind on account of consequential damages, including without limitation loss by the other party of present or prospective profits on present or prospective sales, investments, or goodwill;</w:t>
      </w:r>
    </w:p>
    <w:p>
      <w:pPr>
        <w:spacing w:after="0" w:line="162" w:lineRule="exact"/>
        <w:rPr>
          <w:rFonts w:ascii="Courier New" w:cs="Courier New" w:eastAsia="Courier New" w:hAnsi="Courier New"/>
          <w:sz w:val="14"/>
          <w:szCs w:val="14"/>
          <w:color w:val="auto"/>
        </w:rPr>
      </w:pPr>
    </w:p>
    <w:p>
      <w:pPr>
        <w:ind w:left="520" w:right="3339" w:hanging="512"/>
        <w:spacing w:after="0" w:line="251" w:lineRule="auto"/>
        <w:tabs>
          <w:tab w:leader="none" w:pos="5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20 days after termination each party shall either return to the other party or destroy or otherwise dispose of, as other party elects, any materials containing Confidential Information of the other party that are in that party's possession, except that Designs may retain during any liquidation provided for in Section 12.3(b) any Confidential Information of Candies that Designs reasonably needs during that liquidation; and</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pacing w:after="0" w:line="173" w:lineRule="exact"/>
        <w:rPr>
          <w:sz w:val="20"/>
          <w:szCs w:val="20"/>
          <w:color w:val="auto"/>
        </w:rPr>
      </w:pPr>
    </w:p>
    <w:p>
      <w:pPr>
        <w:ind w:left="180" w:hanging="172"/>
        <w:spacing w:after="0"/>
        <w:tabs>
          <w:tab w:leader="none" w:pos="1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96" w:name="page97"/>
    <w:bookmarkEnd w:id="96"/>
    <w:p>
      <w:pPr>
        <w:ind w:left="520" w:right="4019" w:hanging="512"/>
        <w:spacing w:after="0" w:line="255" w:lineRule="auto"/>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will be entitled to any security deposit reimbursed by the landlord of any leased Store.</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12.4 Exclusive Remedy. Upon termination of this Agreement pursuant to any of clauses (1) through (4) of Section 12.1(a), Sections 12.3(a) and 12.3(c) will provide the exclusive remedy for breach of any obligation under, or inaccuracy of any representation made in, this Agreement and neither party may bring a claim, under Article 10 or otherwise, for damages as a result of any such breach or inaccuracy.</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13</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13.1 Approval of Materials. Designs acknowledges that Candies' policy is to create and maintain a uniform concept and image for Products. Designs shall obtain Candies' written consent, which Candies may not unreasonably withhold, condition, or delay, to any Designs advertising, marketing, signage, and point-of-purchase materials relating to Products before Designs uses those materials.</w:t>
      </w:r>
    </w:p>
    <w:p>
      <w:pPr>
        <w:spacing w:after="0" w:line="327"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13.2 Books and Records; Audits. (a) Designs shall maintain, and shall retain for at least two years following termination of this Agreement or as long as is required by tax Laws, whichever period is shorter (that shorter period, the "Retention Period"), complete and accurate books of account and records relating to its purchase and sale of Products and payment of any royalties thereon. During the Retention Period, Designs shall permit authorized Representatives of Candies to examine or audit those books of account and records, except that any such examination or audit may be conducted no more than once in any year (beginning January 1st) during normal business hours and after at least 20 days' advance notice stating clearly the period of time that is the subject of that examination or audit.</w:t>
      </w:r>
    </w:p>
    <w:p>
      <w:pPr>
        <w:spacing w:after="0" w:line="163" w:lineRule="exact"/>
        <w:rPr>
          <w:sz w:val="20"/>
          <w:szCs w:val="20"/>
          <w:color w:val="auto"/>
        </w:rPr>
      </w:pPr>
    </w:p>
    <w:p>
      <w:pPr>
        <w:ind w:right="3519" w:firstLine="1042"/>
        <w:spacing w:after="0" w:line="251" w:lineRule="auto"/>
        <w:tabs>
          <w:tab w:leader="none" w:pos="1378"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as a result of any examination or audit of Designs' books and records or otherwise it is determined that with respect to any year (beginning January 1st) Designs paid Candies in the aggregate 3% less than the amount it was required to pay Candies under this Agreement during that year, Designs shall no later than 30 days after that determination pay Candies that shortfall and reimburse Candies all reasonable out-of-pocket costs incurred by Candies in connection with any examinations or audits made in connection with that determination.</w:t>
      </w:r>
    </w:p>
    <w:p>
      <w:pPr>
        <w:spacing w:after="0" w:line="164"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13.3 Governing Law. This Agreement is governed by the laws of the State of New York, without giving effect to principles of conflict of laws.</w:t>
      </w:r>
    </w:p>
    <w:p>
      <w:pPr>
        <w:spacing w:after="0" w:line="16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13.4 Consent of Candies. (a) For purposes of this Agreement, any reference to Candies granting consent to Designs refers to the consent of the chief executive officer of Candies.</w:t>
      </w:r>
    </w:p>
    <w:p>
      <w:pPr>
        <w:spacing w:after="0" w:line="163" w:lineRule="exact"/>
        <w:rPr>
          <w:sz w:val="20"/>
          <w:szCs w:val="20"/>
          <w:color w:val="auto"/>
        </w:rPr>
      </w:pPr>
    </w:p>
    <w:p>
      <w:pPr>
        <w:ind w:right="3519" w:firstLine="1042"/>
        <w:spacing w:after="0" w:line="252" w:lineRule="auto"/>
        <w:tabs>
          <w:tab w:leader="none" w:pos="1378"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under this Agreement Designs is required to obtain Candies' prior written consent, Candies will be deemed to have given its consent if in the five Business Days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ind w:left="180" w:hanging="172"/>
        <w:spacing w:after="0"/>
        <w:tabs>
          <w:tab w:leader="none" w:pos="1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97" w:name="page98"/>
    <w:bookmarkEnd w:id="97"/>
    <w:p>
      <w:pPr>
        <w:ind w:right="3599"/>
        <w:spacing w:after="0" w:line="255" w:lineRule="auto"/>
        <w:rPr>
          <w:sz w:val="20"/>
          <w:szCs w:val="20"/>
          <w:color w:val="auto"/>
        </w:rPr>
      </w:pPr>
      <w:r>
        <w:rPr>
          <w:rFonts w:ascii="Courier New" w:cs="Courier New" w:eastAsia="Courier New" w:hAnsi="Courier New"/>
          <w:sz w:val="14"/>
          <w:szCs w:val="14"/>
          <w:color w:val="auto"/>
        </w:rPr>
        <w:t>after Designs seeks its consent Candies fails to notify Designs whether it is granting or withholding its consent.</w:t>
      </w:r>
    </w:p>
    <w:p>
      <w:pPr>
        <w:spacing w:after="0" w:line="160" w:lineRule="exact"/>
        <w:rPr>
          <w:sz w:val="20"/>
          <w:szCs w:val="20"/>
          <w:color w:val="auto"/>
        </w:rPr>
      </w:pPr>
    </w:p>
    <w:p>
      <w:pPr>
        <w:ind w:right="3519" w:firstLine="517"/>
        <w:spacing w:after="0" w:line="250" w:lineRule="auto"/>
        <w:rPr>
          <w:sz w:val="20"/>
          <w:szCs w:val="20"/>
          <w:color w:val="auto"/>
        </w:rPr>
      </w:pPr>
      <w:r>
        <w:rPr>
          <w:rFonts w:ascii="Courier New" w:cs="Courier New" w:eastAsia="Courier New" w:hAnsi="Courier New"/>
          <w:sz w:val="14"/>
          <w:szCs w:val="14"/>
          <w:color w:val="auto"/>
        </w:rPr>
        <w:t>13.5 Confidential Information. During the term of this Agreement, either party may come into possession of Confidential Information of the other party. During the term of this Agreement and for three years afterwards, each party shall maintain in strict confidence and shall not publish, use (except as permitted under this Agreement), or disclose to Person, except to those of its Representatives who must have access to it in order for that party to exercise its rights under this Agreement, or as expressly permitted by any written agreement between Designs and Candies, or as required by Law, any Confidential Information. Designs accepts that during that time Confidential Information of Candies must be kept confidential and separate from any other business Designs owns. Each party shall take every reasonable precaution to protect the confidentiality of the Confidential Information, consistent with the higher of</w:t>
      </w:r>
    </w:p>
    <w:p>
      <w:pPr>
        <w:spacing w:after="0" w:line="5" w:lineRule="exact"/>
        <w:rPr>
          <w:sz w:val="20"/>
          <w:szCs w:val="20"/>
          <w:color w:val="auto"/>
        </w:rPr>
      </w:pPr>
    </w:p>
    <w:p>
      <w:pPr>
        <w:ind w:right="3339" w:firstLine="8"/>
        <w:spacing w:after="0" w:line="252" w:lineRule="auto"/>
        <w:tabs>
          <w:tab w:leader="none" w:pos="344"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standard of care that that party exercises with respect to its own confidential information and (2) the standard of care that an ordinarily prudent business would exercise to protect its own confidential information.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13.6 Jurisdiction; Service of Process. Any Proceeding seeking to enforce any provision of, or based on any right arising out of, this Agreement must be brought against any of the parties in the courts of the State of New York, County of New York, or, if it has or can acquire jurisdiction, in the United States District Court for the Southern District of New York, and each of the parties consents to the jurisdiction of those courts (and of the appropriate appellate courts) in any such Proceeding and waives any objection to venue laid therein. Process in any such Proceeding may be served by sending or delivering a copy of the process to the party to be served at the address and in the manner provided for the giving of notices in Section 13.7. Nothing in this Section 13.6, however, affects the right of any party to serve legal process in any other manner permitted by law.</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13.7 Notices. Every notice or other communication required or contemplated by this Agreement must be in writing and sent by one of the following methods:</w:t>
      </w:r>
    </w:p>
    <w:p>
      <w:pPr>
        <w:spacing w:after="0" w:line="1" w:lineRule="exact"/>
        <w:rPr>
          <w:sz w:val="20"/>
          <w:szCs w:val="20"/>
          <w:color w:val="auto"/>
        </w:rPr>
      </w:pPr>
    </w:p>
    <w:p>
      <w:pPr>
        <w:ind w:right="3339" w:firstLine="8"/>
        <w:spacing w:after="0" w:line="251" w:lineRule="auto"/>
        <w:tabs>
          <w:tab w:leader="none" w:pos="344"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personal delivery, in which case delivery is deemed to occur the day of delivery; (2) certified or registered mail, postage prepaid, return receipt requested, in which case delivery is deemed to occur the day it is officially recorded by the U.S. Postal Service as delivered to the intended recipient; (3) next-day delivery to a U.S. address by recognized overnight delivery service such as Federal Express, in which case delivery is deemed to occur upon receipt; or (4) facsimile transmission, with written confirmation from the recipient of receipt of the transmission, in which case delivery is deemed to occur on the day of transmission (if transmitted by 5:00 p.m. New York time on a Business Day) or the next Business Day (if transmitted any other time). In each case, a notice or other communication sent to a party must be directed to the address for that party set forth below, or to another address designated by that party by written notice:</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left="180" w:hanging="172"/>
        <w:spacing w:after="0"/>
        <w:tabs>
          <w:tab w:leader="none" w:pos="1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98" w:name="page99"/>
    <w:bookmarkEnd w:id="98"/>
    <w:p>
      <w:pPr>
        <w:ind w:left="780"/>
        <w:spacing w:after="0"/>
        <w:rPr>
          <w:sz w:val="20"/>
          <w:szCs w:val="20"/>
          <w:color w:val="auto"/>
        </w:rPr>
      </w:pPr>
      <w:r>
        <w:rPr>
          <w:rFonts w:ascii="Courier New" w:cs="Courier New" w:eastAsia="Courier New" w:hAnsi="Courier New"/>
          <w:sz w:val="14"/>
          <w:szCs w:val="14"/>
          <w:color w:val="auto"/>
        </w:rPr>
        <w:t>If to Candies, to: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Candie's, Inc.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400 Columbus Avenue</w:t>
      </w:r>
    </w:p>
    <w:p>
      <w:pPr>
        <w:spacing w:after="0" w:line="7" w:lineRule="exact"/>
        <w:rPr>
          <w:sz w:val="20"/>
          <w:szCs w:val="20"/>
          <w:color w:val="auto"/>
        </w:rPr>
      </w:pPr>
    </w:p>
    <w:p>
      <w:pPr>
        <w:ind w:left="780"/>
        <w:spacing w:after="0"/>
        <w:tabs>
          <w:tab w:leader="none" w:pos="1960" w:val="left"/>
        </w:tabs>
        <w:rPr>
          <w:sz w:val="20"/>
          <w:szCs w:val="20"/>
          <w:color w:val="auto"/>
        </w:rPr>
      </w:pPr>
      <w:r>
        <w:rPr>
          <w:rFonts w:ascii="Courier New" w:cs="Courier New" w:eastAsia="Courier New" w:hAnsi="Courier New"/>
          <w:sz w:val="14"/>
          <w:szCs w:val="14"/>
          <w:color w:val="auto"/>
        </w:rPr>
        <w:t>Valhalla, NY</w:t>
        <w:tab/>
        <w:t>10595</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Attention: President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Facsimile: (212) 391-0127</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If to Designs, to:</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Designs, Inc.</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66 B Street</w:t>
      </w:r>
    </w:p>
    <w:p>
      <w:pPr>
        <w:spacing w:after="0" w:line="7" w:lineRule="exact"/>
        <w:rPr>
          <w:sz w:val="20"/>
          <w:szCs w:val="20"/>
          <w:color w:val="auto"/>
        </w:rPr>
      </w:pPr>
    </w:p>
    <w:p>
      <w:pPr>
        <w:ind w:left="780"/>
        <w:spacing w:after="0"/>
        <w:tabs>
          <w:tab w:leader="none" w:pos="1880" w:val="left"/>
        </w:tabs>
        <w:rPr>
          <w:sz w:val="20"/>
          <w:szCs w:val="20"/>
          <w:color w:val="auto"/>
        </w:rPr>
      </w:pPr>
      <w:r>
        <w:rPr>
          <w:rFonts w:ascii="Courier New" w:cs="Courier New" w:eastAsia="Courier New" w:hAnsi="Courier New"/>
          <w:sz w:val="14"/>
          <w:szCs w:val="14"/>
          <w:color w:val="auto"/>
        </w:rPr>
        <w:t>Needham, MA</w:t>
        <w:tab/>
        <w:t>02494</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Attention: President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Facsimile: (781) 433-7462</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13.8 Severability.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13.9 Amendment; Waiver. This Agreement may not be amended except by an instrument in writing signed by or on behalf of each of the parties. No waiver by any party of any breach by any party of any of its obligations under this Agreement or any inaccuracy in any representation by any party in this Agreement will be deemed to extend to any other breach or inaccuracy or affect in any way any rights arising by virtue of any other breach or inaccuracy.</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13.10 Entire Agreement. This Agreement, together with all exhibits and schedules hereto, constitutes the entire agreement between the parties pertaining to the subject matter of this Agreement and supersede all prior agreements, understandings, negotiations, and discussions, whether oral or written, of the parties, including without limitation the term sheet executed on or about November 19, 2001, by Candies and Designs.</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13.11 Counterparts. This Agreement may be executed in several counterparts, each of which is an original and all of which together constitute one and the same instrument.</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13.12 Assignment. (a) No party may assign any of its rights and obligations under this Agreement without the prior consent of the other parties, except as follows:</w:t>
      </w:r>
    </w:p>
    <w:p>
      <w:pPr>
        <w:spacing w:after="0" w:line="163" w:lineRule="exact"/>
        <w:rPr>
          <w:sz w:val="20"/>
          <w:szCs w:val="20"/>
          <w:color w:val="auto"/>
        </w:rPr>
      </w:pPr>
    </w:p>
    <w:p>
      <w:pPr>
        <w:ind w:left="520" w:right="3419" w:hanging="512"/>
        <w:spacing w:after="0" w:line="251" w:lineRule="auto"/>
        <w:tabs>
          <w:tab w:leader="none" w:pos="52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may at any time assign to any Affiliate of Designs any of its rights and obligations under this Agreement, on condition that concurrently with that assignment Candies, Designs, and that Affiliate enter into an amendment to this Agreement that (A) makes that Affiliate a party to this Agreement, (B) provides that Designs guarantees performance by that Affiliate of the assigned obligations, and (C) incorporates any changes reasonably required to reflect that assignment; and</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pacing w:after="0" w:line="173" w:lineRule="exact"/>
        <w:rPr>
          <w:sz w:val="20"/>
          <w:szCs w:val="20"/>
          <w:color w:val="auto"/>
        </w:rPr>
      </w:pPr>
    </w:p>
    <w:p>
      <w:pPr>
        <w:ind w:left="180" w:hanging="172"/>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99" w:name="page100"/>
    <w:bookmarkEnd w:id="99"/>
    <w:p>
      <w:pPr>
        <w:ind w:left="520" w:right="3419" w:hanging="512"/>
        <w:spacing w:after="0" w:line="251" w:lineRule="auto"/>
        <w:tabs>
          <w:tab w:leader="none" w:pos="5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Candies may at any time assign to any Affiliate of Candies any of its rights and obligations under this Agreement, on condition that concurrently with that assignment Designs, Candies, and that Affiliate enter into an amendment to this Agreement that (A) makes that Affiliate a party to this Agreement, (B) provides that Candies guarantees performance by that Affiliate of the assigned obligations, and (C) incorporates any changes reasonably required to reflect that assignment.</w:t>
      </w:r>
    </w:p>
    <w:p>
      <w:pPr>
        <w:spacing w:after="0" w:line="164" w:lineRule="exact"/>
        <w:rPr>
          <w:rFonts w:ascii="Courier New" w:cs="Courier New" w:eastAsia="Courier New" w:hAnsi="Courier New"/>
          <w:sz w:val="14"/>
          <w:szCs w:val="14"/>
          <w:color w:val="auto"/>
        </w:rPr>
      </w:pPr>
    </w:p>
    <w:p>
      <w:pPr>
        <w:ind w:right="3599" w:firstLine="1042"/>
        <w:spacing w:after="0" w:line="255" w:lineRule="auto"/>
        <w:tabs>
          <w:tab w:leader="none" w:pos="1378"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binding in all respects upon, and inures to the benefit of, the successors and permitted assigns of the parties.</w:t>
      </w:r>
    </w:p>
    <w:p>
      <w:pPr>
        <w:spacing w:after="0" w:line="160"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The undersigned are executing this Agreement on the date stated in the introductory clause.</w:t>
      </w:r>
    </w:p>
    <w:p>
      <w:pPr>
        <w:spacing w:after="0" w:line="16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CANDIE'S, INC.</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/s/ NEIL COLE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Name: Neil Cole</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 President</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 /s/ DAVID A. LEVIN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Name: David A. Levin</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 President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ind w:left="180" w:hanging="172"/>
        <w:spacing w:after="0"/>
        <w:tabs>
          <w:tab w:leader="none" w:pos="1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omitted pursuant to a request for confidential treatment. The</w:t>
      </w:r>
    </w:p>
    <w:p>
      <w:pPr>
        <w:spacing w:after="0" w:line="7" w:lineRule="exact"/>
        <w:rPr>
          <w:rFonts w:ascii="Courier New" w:cs="Courier New" w:eastAsia="Courier New" w:hAnsi="Courier New"/>
          <w:sz w:val="14"/>
          <w:szCs w:val="14"/>
          <w:color w:val="auto"/>
        </w:rPr>
      </w:pPr>
    </w:p>
    <w:p>
      <w:pPr>
        <w:ind w:left="520" w:right="4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omitted material had been filed with the Securities and Exchange Commission.</w:t>
      </w:r>
    </w:p>
    <w:p>
      <w:pPr>
        <w:sectPr>
          <w:pgSz w:w="11900" w:h="16838" w:orient="portrait"/>
          <w:cols w:equalWidth="0" w:num="1">
            <w:col w:w="10239"/>
          </w:cols>
          <w:pgMar w:left="220" w:top="616" w:right="1440" w:bottom="1440" w:gutter="0" w:footer="0" w:header="0"/>
        </w:sectPr>
      </w:pPr>
    </w:p>
    <w:bookmarkStart w:id="100" w:name="page101"/>
    <w:bookmarkEnd w:id="100"/>
    <w:p>
      <w:pPr>
        <w:jc w:val="right"/>
        <w:ind w:right="3339"/>
        <w:spacing w:after="0"/>
        <w:rPr>
          <w:sz w:val="20"/>
          <w:szCs w:val="20"/>
          <w:color w:val="auto"/>
        </w:rPr>
      </w:pPr>
      <w:r>
        <w:rPr>
          <w:rFonts w:ascii="Courier New" w:cs="Courier New" w:eastAsia="Courier New" w:hAnsi="Courier New"/>
          <w:sz w:val="14"/>
          <w:szCs w:val="14"/>
          <w:color w:val="auto"/>
        </w:rPr>
        <w:t>Exhibit 10.24</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RETAIL STORE LICENSE AGREEMENT AMENDMENT No. 1</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This amendment No. 1 (the "Amendment") dated as of January 15, 2002, is between CANDIE'S, INC. ("Candies"), DESIGNS, INC. ("Designs"), DESIGNS OUTLET, INC. ("Outlet"), and DESICAND, INC. ("DesiCand"), each a Delaware corporation, and amends the retail store license agreement dated January 9, 2002, between Candies and Designs (the "Agreement"; each of the terms used in this Amendment but not defined in this Amendment are as defined in the Agreement).</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Under Section 13.12 of the Agreement, Designs has the right, subject to certain conditions, to assign to any Affiliate of Designs any of Designs' rights and obligations under the Agreement.</w:t>
      </w:r>
    </w:p>
    <w:p>
      <w:pPr>
        <w:spacing w:after="0" w:line="16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Designs envisages that Outlet will be the lessee under the lease for one or more Stores located in Puerto Rico and that Outlet will be involved in aspects of operating those Stores. Similarly, Designs envisages that DesiCand will be the lessee under the lease for one or more Stores located elsewhere in the Territory and that DesiCand will be involved in aspects of operating those Stores.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parties therefore agree as follows:</w:t>
      </w:r>
    </w:p>
    <w:p>
      <w:pPr>
        <w:spacing w:after="0" w:line="173" w:lineRule="exact"/>
        <w:rPr>
          <w:sz w:val="20"/>
          <w:szCs w:val="20"/>
          <w:color w:val="auto"/>
        </w:rPr>
      </w:pPr>
    </w:p>
    <w:p>
      <w:pPr>
        <w:ind w:right="3339" w:firstLine="525"/>
        <w:spacing w:after="0" w:line="251" w:lineRule="auto"/>
        <w:tabs>
          <w:tab w:leader="none" w:pos="775"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(a) Designs hereby assigns to Outlet any of Designs' rights and obligations under the Agreement that Designs' determines, in its sole discretion, are or may in the future become necessary or desirable in order for Outlet to act as the lessee under the lease for one or more Stores located in Puerto Rico and for Outlet to be involved in aspects of operating those Stores, those aspects to be determined by Designs from time to time in its sole discretion.</w:t>
      </w:r>
    </w:p>
    <w:p>
      <w:pPr>
        <w:spacing w:after="0" w:line="164" w:lineRule="exact"/>
        <w:rPr>
          <w:sz w:val="20"/>
          <w:szCs w:val="20"/>
          <w:color w:val="auto"/>
        </w:rPr>
      </w:pPr>
    </w:p>
    <w:p>
      <w:pPr>
        <w:ind w:right="3419" w:firstLine="525"/>
        <w:spacing w:after="0" w:line="251" w:lineRule="auto"/>
        <w:tabs>
          <w:tab w:leader="none" w:pos="861"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hereby assigns to DesiCand any of Designs' rights and obligations under the Agreement that Designs' determines, in its sole discretion, are or may in the future become necessary or desirable in order for DesiCand to act as the lessee under the lease for one or more Stores located elsewhere in the Territory and for DesiCand to be involved in aspects of operating those Stores, those aspects to be determined by Designs from time to time in its sole discretion.</w:t>
      </w:r>
    </w:p>
    <w:p>
      <w:pPr>
        <w:spacing w:after="0" w:line="164" w:lineRule="exact"/>
        <w:rPr>
          <w:sz w:val="20"/>
          <w:szCs w:val="20"/>
          <w:color w:val="auto"/>
        </w:rPr>
      </w:pPr>
    </w:p>
    <w:p>
      <w:pPr>
        <w:ind w:right="3419" w:firstLine="525"/>
        <w:spacing w:after="0" w:line="255" w:lineRule="auto"/>
        <w:tabs>
          <w:tab w:leader="none" w:pos="77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Parties to Agreement. By executing this Amendment, Outlet and DesiCand become parties to the Agreement.</w:t>
      </w:r>
    </w:p>
    <w:p>
      <w:pPr>
        <w:spacing w:after="0" w:line="159" w:lineRule="exact"/>
        <w:rPr>
          <w:rFonts w:ascii="Courier New" w:cs="Courier New" w:eastAsia="Courier New" w:hAnsi="Courier New"/>
          <w:sz w:val="14"/>
          <w:szCs w:val="14"/>
          <w:color w:val="auto"/>
        </w:rPr>
      </w:pPr>
    </w:p>
    <w:p>
      <w:pPr>
        <w:ind w:right="3339" w:firstLine="525"/>
        <w:spacing w:after="0" w:line="252" w:lineRule="auto"/>
        <w:tabs>
          <w:tab w:leader="none" w:pos="77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 Designs hereby guarantees performance by Outlet and DesiCand of any of Designs' obligations under the Agreement that Designs assigns to Outlet and DesiCand under this Amendment. This guarantee is absolute and unconditional and, with respect to any amounts owed to Candies by Outlet or DesiCand, it is agreed that Candies may proceed directly against Designs as guarantor.</w:t>
      </w:r>
    </w:p>
    <w:p>
      <w:pPr>
        <w:spacing w:after="0" w:line="326" w:lineRule="exact"/>
        <w:rPr>
          <w:rFonts w:ascii="Courier New" w:cs="Courier New" w:eastAsia="Courier New" w:hAnsi="Courier New"/>
          <w:sz w:val="14"/>
          <w:szCs w:val="14"/>
          <w:color w:val="auto"/>
        </w:rPr>
      </w:pPr>
    </w:p>
    <w:p>
      <w:pPr>
        <w:ind w:right="4199" w:firstLine="525"/>
        <w:spacing w:after="0" w:line="255" w:lineRule="auto"/>
        <w:tabs>
          <w:tab w:leader="none" w:pos="77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Amendment. Except as expressly provided for in this Amendment, the Agreement remains in full force and effect.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4" w:lineRule="exact"/>
        <w:rPr>
          <w:rFonts w:ascii="Courier New" w:cs="Courier New" w:eastAsia="Courier New" w:hAnsi="Courier New"/>
          <w:sz w:val="14"/>
          <w:szCs w:val="14"/>
          <w:color w:val="auto"/>
        </w:rPr>
      </w:pPr>
    </w:p>
    <w:p>
      <w:pPr>
        <w:ind w:right="3519" w:firstLine="525"/>
        <w:spacing w:after="0" w:line="255" w:lineRule="auto"/>
        <w:tabs>
          <w:tab w:leader="none" w:pos="775"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Amendment is governed by the laws of the State of New York, without giving effect to principles of conflict of laws.</w:t>
      </w:r>
    </w:p>
    <w:p>
      <w:pPr>
        <w:spacing w:after="0" w:line="160"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The undersigned are executing this Amendment on the date stated in the introductory clause.</w:t>
      </w:r>
    </w:p>
    <w:p>
      <w:pPr>
        <w:spacing w:after="0" w:line="160"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CANDIE'S, INC.</w:t>
      </w:r>
    </w:p>
    <w:p>
      <w:pPr>
        <w:spacing w:after="0" w:line="17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By: /s/ Richard Danderline</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Richard Danderline</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Title: Executive Vice President</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DESIGNS, INC.</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/s/ David A. Levin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David A. Levin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Title: President</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DESIGNS OUTLET, INC.</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/s/ David A. Levin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David A. Levin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Title: President</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DESICAND, INC.</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/s/ David A. Levin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David A. Levin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Title: President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425" w:gutter="0" w:footer="0" w:header="0"/>
        </w:sectPr>
      </w:pPr>
    </w:p>
    <w:bookmarkStart w:id="101" w:name="page102"/>
    <w:bookmarkEnd w:id="101"/>
    <w:p>
      <w:pPr>
        <w:spacing w:after="0"/>
        <w:rPr>
          <w:sz w:val="20"/>
          <w:szCs w:val="20"/>
          <w:color w:val="auto"/>
        </w:rPr>
      </w:pPr>
      <w:r>
        <w:rPr>
          <w:rFonts w:ascii="Courier New" w:cs="Courier New" w:eastAsia="Courier New" w:hAnsi="Courier New"/>
          <w:sz w:val="14"/>
          <w:szCs w:val="14"/>
          <w:color w:val="auto"/>
        </w:rPr>
        <w:t>Exhibit 21</w:t>
      </w:r>
    </w:p>
    <w:p>
      <w:pPr>
        <w:spacing w:after="0" w:line="338"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4"/>
          <w:szCs w:val="14"/>
          <w:color w:val="auto"/>
        </w:rPr>
        <w:t>SUBSIDIARIES OF THE COMPANY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Securities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JV Corp.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Acquisition Corp.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Outlet,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Designs Apparel,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DesiCand,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CBDNH,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Capture, LLC</w:t>
      </w:r>
    </w:p>
    <w:p>
      <w:pPr>
        <w:sectPr>
          <w:pgSz w:w="11900" w:h="16838" w:orient="portrait"/>
          <w:cols w:equalWidth="0" w:num="1">
            <w:col w:w="10239"/>
          </w:cols>
          <w:pgMar w:left="220" w:top="141" w:right="1440" w:bottom="1440" w:gutter="0" w:footer="0" w:header="0"/>
        </w:sectPr>
      </w:pPr>
    </w:p>
    <w:bookmarkStart w:id="102" w:name="page103"/>
    <w:bookmarkEnd w:id="102"/>
    <w:p>
      <w:pPr>
        <w:jc w:val="right"/>
        <w:ind w:right="3339"/>
        <w:spacing w:after="0"/>
        <w:rPr>
          <w:sz w:val="20"/>
          <w:szCs w:val="20"/>
          <w:color w:val="auto"/>
        </w:rPr>
      </w:pPr>
      <w:r>
        <w:rPr>
          <w:rFonts w:ascii="Courier New" w:cs="Courier New" w:eastAsia="Courier New" w:hAnsi="Courier New"/>
          <w:sz w:val="14"/>
          <w:szCs w:val="14"/>
          <w:color w:val="auto"/>
        </w:rPr>
        <w:t>Exhibit 23.1</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Consent of Independent Auditors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(Form S-8 Nos. 33-22957, 33-32690, 33-32687 and 33-52892) of Designs, Inc. of our report dated March 11, 2002, with respect to the consolidated financial statements and schedule of Designs, Inc. included in this Annual Report (Form 10-K) for the year ended February 2, 2002.</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 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30, 2002</w:t>
      </w:r>
    </w:p>
    <w:p>
      <w:pPr>
        <w:sectPr>
          <w:pgSz w:w="11900" w:h="16838" w:orient="portrait"/>
          <w:cols w:equalWidth="0" w:num="1">
            <w:col w:w="10239"/>
          </w:cols>
          <w:pgMar w:left="220" w:top="141" w:right="1440" w:bottom="1440" w:gutter="0" w:footer="0" w:header="0"/>
        </w:sectPr>
      </w:pPr>
    </w:p>
    <w:bookmarkStart w:id="103" w:name="page104"/>
    <w:bookmarkEnd w:id="103"/>
    <w:p>
      <w:pPr>
        <w:jc w:val="right"/>
        <w:ind w:right="3339"/>
        <w:spacing w:after="0"/>
        <w:rPr>
          <w:sz w:val="20"/>
          <w:szCs w:val="20"/>
          <w:color w:val="auto"/>
        </w:rPr>
      </w:pPr>
      <w:r>
        <w:rPr>
          <w:rFonts w:ascii="Courier New" w:cs="Courier New" w:eastAsia="Courier New" w:hAnsi="Courier New"/>
          <w:sz w:val="14"/>
          <w:szCs w:val="14"/>
          <w:color w:val="auto"/>
        </w:rPr>
        <w:t>Exhibit 23.2</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INDEPENDENT AUDITOR'S CONSENT</w:t>
      </w:r>
    </w:p>
    <w:p>
      <w:pPr>
        <w:spacing w:after="0" w:line="338"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Registration Statements Nos. 33-22957, 33-32690, 33-2687, and 33-52892 on Form S-8 of Designs, Inc. of our report dated April 11,2000, appearing in this Annual Report on Form 10-K of Designs, Inc. for the year ended January 29, 2000.</w:t>
      </w:r>
    </w:p>
    <w:p>
      <w:pPr>
        <w:spacing w:after="0" w:line="328"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/S/ DELOITTE &amp; TOUCHE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30, 2002</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1)"/>
      <w:numFmt w:val="decimal"/>
      <w:start w:val="1"/>
    </w:lvl>
  </w:abstractNum>
  <w:abstractNum w:abstractNumId="2">
    <w:nsid w:val="275AC794"/>
    <w:multiLevelType w:val="hybridMultilevel"/>
    <w:lvl w:ilvl="0">
      <w:lvlJc w:val="left"/>
      <w:lvlText w:val="(%1)"/>
      <w:numFmt w:val="decimal"/>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1)"/>
      <w:numFmt w:val="decimal"/>
      <w:start w:val="1"/>
    </w:lvl>
  </w:abstractNum>
  <w:abstractNum w:abstractNumId="10">
    <w:nsid w:val="741226BB"/>
    <w:multiLevelType w:val="hybridMultilevel"/>
    <w:lvl w:ilvl="0">
      <w:lvlJc w:val="left"/>
      <w:lvlText w:val="(%1)"/>
      <w:numFmt w:val="decimal"/>
      <w:start w:val="1"/>
    </w:lvl>
  </w:abstractNum>
  <w:abstractNum w:abstractNumId="11">
    <w:nsid w:val="D34B6A8"/>
    <w:multiLevelType w:val="hybridMultilevel"/>
    <w:lvl w:ilvl="0">
      <w:lvlJc w:val="left"/>
      <w:lvlText w:val="(%1)"/>
      <w:numFmt w:val="decimal"/>
      <w:start w:val="1"/>
    </w:lvl>
  </w:abstractNum>
  <w:abstractNum w:abstractNumId="12">
    <w:nsid w:val="10233C99"/>
    <w:multiLevelType w:val="hybridMultilevel"/>
    <w:lvl w:ilvl="0">
      <w:lvlJc w:val="left"/>
      <w:lvlText w:val="(%1)"/>
      <w:numFmt w:val="decimal"/>
      <w:start w:val="2"/>
    </w:lvl>
  </w:abstractNum>
  <w:abstractNum w:abstractNumId="13">
    <w:nsid w:val="3F6AB60F"/>
    <w:multiLevelType w:val="hybridMultilevel"/>
    <w:lvl w:ilvl="0">
      <w:lvlJc w:val="left"/>
      <w:lvlText w:val="(%1)"/>
      <w:numFmt w:val="decimal"/>
      <w:start w:val="1"/>
    </w:lvl>
  </w:abstractNum>
  <w:abstractNum w:abstractNumId="14">
    <w:nsid w:val="61574095"/>
    <w:multiLevelType w:val="hybridMultilevel"/>
    <w:lvl w:ilvl="0">
      <w:lvlJc w:val="left"/>
      <w:lvlText w:val="(%1)"/>
      <w:numFmt w:val="decimal"/>
      <w:start w:val="1"/>
    </w:lvl>
  </w:abstractNum>
  <w:abstractNum w:abstractNumId="15">
    <w:nsid w:val="7E0C57B1"/>
    <w:multiLevelType w:val="hybridMultilevel"/>
    <w:lvl w:ilvl="0">
      <w:lvlJc w:val="left"/>
      <w:lvlText w:val="(%1)"/>
      <w:numFmt w:val="decimal"/>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1)"/>
      <w:numFmt w:val="decimal"/>
      <w:start w:val="1"/>
    </w:lvl>
  </w:abstractNum>
  <w:abstractNum w:abstractNumId="18">
    <w:nsid w:val="310C50B3"/>
    <w:multiLevelType w:val="hybridMultilevel"/>
    <w:lvl w:ilvl="0">
      <w:lvlJc w:val="left"/>
      <w:lvlText w:val="(%1)"/>
      <w:numFmt w:val="decimal"/>
      <w:start w:val="2"/>
    </w:lvl>
  </w:abstractNum>
  <w:abstractNum w:abstractNumId="19">
    <w:nsid w:val="5FF87E05"/>
    <w:multiLevelType w:val="hybridMultilevel"/>
    <w:lvl w:ilvl="0">
      <w:lvlJc w:val="left"/>
      <w:lvlText w:val="(%1)"/>
      <w:numFmt w:val="decimal"/>
      <w:start w:val="1"/>
    </w:lvl>
  </w:abstractNum>
  <w:abstractNum w:abstractNumId="20">
    <w:nsid w:val="2F305DEF"/>
    <w:multiLevelType w:val="hybridMultilevel"/>
    <w:lvl w:ilvl="0">
      <w:lvlJc w:val="left"/>
      <w:lvlText w:val="%1"/>
      <w:numFmt w:val="decimal"/>
      <w:start w:val="21"/>
    </w:lvl>
  </w:abstractNum>
  <w:abstractNum w:abstractNumId="21">
    <w:nsid w:val="25A70BF7"/>
    <w:multiLevelType w:val="hybridMultilevel"/>
    <w:lvl w:ilvl="0">
      <w:lvlJc w:val="left"/>
      <w:lvlText w:val="%1"/>
      <w:numFmt w:val="decimal"/>
      <w:start w:val="99"/>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1)"/>
      <w:numFmt w:val="decimal"/>
      <w:start w:val="781"/>
    </w:lvl>
  </w:abstractNum>
  <w:abstractNum w:abstractNumId="32">
    <w:nsid w:val="799D0247"/>
    <w:multiLevelType w:val="hybridMultilevel"/>
    <w:lvl w:ilvl="0">
      <w:lvlJc w:val="left"/>
      <w:lvlText w:val="(%1)"/>
      <w:numFmt w:val="decimal"/>
      <w:start w:val="1"/>
    </w:lvl>
    <w:lvl w:ilvl="1">
      <w:lvlJc w:val="left"/>
      <w:lvlText w:val="(%2)"/>
      <w:numFmt w:val="upperLetter"/>
      <w:start w:val="1"/>
    </w:lvl>
  </w:abstractNum>
  <w:abstractNum w:abstractNumId="33">
    <w:nsid w:val="6B94764"/>
    <w:multiLevelType w:val="hybridMultilevel"/>
    <w:lvl w:ilvl="0">
      <w:lvlJc w:val="left"/>
      <w:lvlText w:val="(%1)"/>
      <w:numFmt w:val="decimal"/>
      <w:start w:val="1"/>
    </w:lvl>
  </w:abstractNum>
  <w:abstractNum w:abstractNumId="34">
    <w:nsid w:val="42C296BD"/>
    <w:multiLevelType w:val="hybridMultilevel"/>
    <w:lvl w:ilvl="0">
      <w:lvlJc w:val="left"/>
      <w:lvlText w:val="(%1)"/>
      <w:numFmt w:val="decimal"/>
      <w:start w:val="4"/>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1)"/>
      <w:numFmt w:val="decimal"/>
      <w:start w:val="5"/>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1)"/>
      <w:numFmt w:val="lowerLetter"/>
      <w:start w:val="2"/>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1)"/>
      <w:numFmt w:val="lowerLetter"/>
      <w:start w:val="2"/>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2"/>
    </w:lvl>
  </w:abstractNum>
  <w:abstractNum w:abstractNumId="44">
    <w:nsid w:val="11447B73"/>
    <w:multiLevelType w:val="hybridMultilevel"/>
    <w:lvl w:ilvl="0">
      <w:lvlJc w:val="left"/>
      <w:lvlText w:val="(%1)"/>
      <w:numFmt w:val="lowerLetter"/>
      <w:start w:val="2"/>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1"/>
      <w:numFmt w:val="decimal"/>
      <w:start w:val="1"/>
    </w:lvl>
    <w:lvl w:ilvl="1">
      <w:lvlJc w:val="left"/>
      <w:lvlText w:val="(%2)"/>
      <w:numFmt w:val="lowerLetter"/>
      <w:start w:val="4"/>
    </w:lvl>
  </w:abstractNum>
  <w:abstractNum w:abstractNumId="47">
    <w:nsid w:val="8F2B15E"/>
    <w:multiLevelType w:val="hybridMultilevel"/>
    <w:lvl w:ilvl="0">
      <w:lvlJc w:val="left"/>
      <w:lvlText w:val="(%1)"/>
      <w:numFmt w:val="decimal"/>
      <w:start w:val="2"/>
    </w:lvl>
    <w:lvl w:ilvl="1">
      <w:lvlJc w:val="left"/>
      <w:lvlText w:val="(%2)"/>
      <w:numFmt w:val="lowerLetter"/>
      <w:start w:val="5"/>
    </w:lvl>
  </w:abstractNum>
  <w:abstractNum w:abstractNumId="48">
    <w:nsid w:val="1A32234B"/>
    <w:multiLevelType w:val="hybridMultilevel"/>
    <w:lvl w:ilvl="0">
      <w:lvlJc w:val="left"/>
      <w:lvlText w:val="(%1)"/>
      <w:numFmt w:val="decimal"/>
      <w:start w:val="2"/>
    </w:lvl>
    <w:lvl w:ilvl="1">
      <w:lvlJc w:val="left"/>
      <w:lvlText w:val="%2"/>
      <w:numFmt w:val="lowerLetter"/>
      <w:start w:val="1"/>
    </w:lvl>
  </w:abstractNum>
  <w:abstractNum w:abstractNumId="49">
    <w:nsid w:val="3B0FD379"/>
    <w:multiLevelType w:val="hybridMultilevel"/>
    <w:lvl w:ilvl="0">
      <w:lvlJc w:val="left"/>
      <w:lvlText w:val="(%1)"/>
      <w:numFmt w:val="lowerLetter"/>
      <w:start w:val="2"/>
    </w:lvl>
  </w:abstractNum>
  <w:abstractNum w:abstractNumId="50">
    <w:nsid w:val="68EB2F63"/>
    <w:multiLevelType w:val="hybridMultilevel"/>
    <w:lvl w:ilvl="0">
      <w:lvlJc w:val="left"/>
      <w:lvlText w:val="-"/>
      <w:numFmt w:val="bullet"/>
      <w:start w:val="1"/>
    </w:lvl>
  </w:abstractNum>
  <w:abstractNum w:abstractNumId="51">
    <w:nsid w:val="4962813B"/>
    <w:multiLevelType w:val="hybridMultilevel"/>
    <w:lvl w:ilvl="0">
      <w:lvlJc w:val="left"/>
      <w:lvlText w:val="(%1)"/>
      <w:numFmt w:val="lowerLetter"/>
      <w:start w:val="3"/>
    </w:lvl>
  </w:abstractNum>
  <w:abstractNum w:abstractNumId="52">
    <w:nsid w:val="60B6DF70"/>
    <w:multiLevelType w:val="hybridMultilevel"/>
    <w:lvl w:ilvl="0">
      <w:lvlJc w:val="left"/>
      <w:lvlText w:val="(%1)"/>
      <w:numFmt w:val="lowerLetter"/>
      <w:start w:val="2"/>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1)"/>
      <w:numFmt w:val="lowerLetter"/>
      <w:start w:val="2"/>
    </w:lvl>
  </w:abstractNum>
  <w:abstractNum w:abstractNumId="56">
    <w:nsid w:val="1A27709E"/>
    <w:multiLevelType w:val="hybridMultilevel"/>
    <w:lvl w:ilvl="0">
      <w:lvlJc w:val="left"/>
      <w:lvlText w:val="(%1)"/>
      <w:numFmt w:val="lowerLetter"/>
      <w:start w:val="2"/>
    </w:lvl>
  </w:abstractNum>
  <w:abstractNum w:abstractNumId="57">
    <w:nsid w:val="71EA1109"/>
    <w:multiLevelType w:val="hybridMultilevel"/>
    <w:lvl w:ilvl="0">
      <w:lvlJc w:val="left"/>
      <w:lvlText w:val="-"/>
      <w:numFmt w:val="bullet"/>
      <w:start w:val="1"/>
    </w:lvl>
  </w:abstractNum>
  <w:abstractNum w:abstractNumId="58">
    <w:nsid w:val="100F59DC"/>
    <w:multiLevelType w:val="hybridMultilevel"/>
    <w:lvl w:ilvl="0">
      <w:lvlJc w:val="left"/>
      <w:lvlText w:val="(%1)"/>
      <w:numFmt w:val="lowerLetter"/>
      <w:start w:val="3"/>
    </w:lvl>
  </w:abstractNum>
  <w:abstractNum w:abstractNumId="59">
    <w:nsid w:val="7FB7E0AA"/>
    <w:multiLevelType w:val="hybridMultilevel"/>
    <w:lvl w:ilvl="0">
      <w:lvlJc w:val="left"/>
      <w:lvlText w:val="(%1)"/>
      <w:numFmt w:val="lowerLetter"/>
      <w:start w:val="2"/>
    </w:lvl>
  </w:abstractNum>
  <w:abstractNum w:abstractNumId="60">
    <w:nsid w:val="6EB5BD4"/>
    <w:multiLevelType w:val="hybridMultilevel"/>
    <w:lvl w:ilvl="0">
      <w:lvlJc w:val="left"/>
      <w:lvlText w:val="-"/>
      <w:numFmt w:val="bullet"/>
      <w:start w:val="1"/>
    </w:lvl>
  </w:abstractNum>
  <w:abstractNum w:abstractNumId="61">
    <w:nsid w:val="6F6DD9AC"/>
    <w:multiLevelType w:val="hybridMultilevel"/>
    <w:lvl w:ilvl="0">
      <w:lvlJc w:val="left"/>
      <w:lvlText w:val="(%1)"/>
      <w:numFmt w:val="lowerLetter"/>
      <w:start w:val="2"/>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
      <w:numFmt w:val="bullet"/>
      <w:start w:val="1"/>
    </w:lvl>
  </w:abstractNum>
  <w:abstractNum w:abstractNumId="64">
    <w:nsid w:val="76272110"/>
    <w:multiLevelType w:val="hybridMultilevel"/>
    <w:lvl w:ilvl="0">
      <w:lvlJc w:val="left"/>
      <w:lvlText w:val="(%1)"/>
      <w:numFmt w:val="lowerLetter"/>
      <w:start w:val="2"/>
    </w:lvl>
  </w:abstractNum>
  <w:abstractNum w:abstractNumId="65">
    <w:nsid w:val="4C04A8AF"/>
    <w:multiLevelType w:val="hybridMultilevel"/>
    <w:lvl w:ilvl="0">
      <w:lvlJc w:val="left"/>
      <w:lvlText w:val="-"/>
      <w:numFmt w:val="bullet"/>
      <w:start w:val="1"/>
    </w:lvl>
  </w:abstractNum>
  <w:abstractNum w:abstractNumId="66">
    <w:nsid w:val="1716703B"/>
    <w:multiLevelType w:val="hybridMultilevel"/>
    <w:lvl w:ilvl="0">
      <w:lvlJc w:val="left"/>
      <w:lvlText w:val="(%1)"/>
      <w:numFmt w:val="lowerLetter"/>
      <w:start w:val="2"/>
    </w:lvl>
  </w:abstractNum>
  <w:abstractNum w:abstractNumId="67">
    <w:nsid w:val="14E17E33"/>
    <w:multiLevelType w:val="hybridMultilevel"/>
    <w:lvl w:ilvl="0">
      <w:lvlJc w:val="left"/>
      <w:lvlText w:val="(%1)"/>
      <w:numFmt w:val="lowerLetter"/>
      <w:start w:val="1"/>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1)"/>
      <w:numFmt w:val="lowerLetter"/>
      <w:start w:val="2"/>
    </w:lvl>
  </w:abstractNum>
  <w:abstractNum w:abstractNumId="70">
    <w:nsid w:val="68EBC550"/>
    <w:multiLevelType w:val="hybridMultilevel"/>
    <w:lvl w:ilvl="0">
      <w:lvlJc w:val="left"/>
      <w:lvlText w:val="(%1)"/>
      <w:numFmt w:val="lowerLetter"/>
      <w:start w:val="1"/>
    </w:lvl>
  </w:abstractNum>
  <w:abstractNum w:abstractNumId="71">
    <w:nsid w:val="2DF6D648"/>
    <w:multiLevelType w:val="hybridMultilevel"/>
    <w:lvl w:ilvl="0">
      <w:lvlJc w:val="left"/>
      <w:lvlText w:val="-"/>
      <w:numFmt w:val="bullet"/>
      <w:start w:val="1"/>
    </w:lvl>
  </w:abstractNum>
  <w:abstractNum w:abstractNumId="72">
    <w:nsid w:val="46B7D447"/>
    <w:multiLevelType w:val="hybridMultilevel"/>
    <w:lvl w:ilvl="0">
      <w:lvlJc w:val="left"/>
      <w:lvlText w:val="(%1)"/>
      <w:numFmt w:val="decimal"/>
      <w:start w:val="1"/>
    </w:lvl>
    <w:lvl w:ilvl="1">
      <w:lvlJc w:val="left"/>
      <w:lvlText w:val="(%2)"/>
      <w:numFmt w:val="lowerLetter"/>
      <w:start w:val="2"/>
    </w:lvl>
  </w:abstractNum>
  <w:abstractNum w:abstractNumId="73">
    <w:nsid w:val="4A2AC315"/>
    <w:multiLevelType w:val="hybridMultilevel"/>
    <w:lvl w:ilvl="0">
      <w:lvlJc w:val="left"/>
      <w:lvlText w:val="(%1)"/>
      <w:numFmt w:val="decimal"/>
      <w:start w:val="1"/>
    </w:lvl>
  </w:abstractNum>
  <w:abstractNum w:abstractNumId="74">
    <w:nsid w:val="39EE015C"/>
    <w:multiLevelType w:val="hybridMultilevel"/>
    <w:lvl w:ilvl="0">
      <w:lvlJc w:val="left"/>
      <w:lvlText w:val="(%1)"/>
      <w:numFmt w:val="decimal"/>
      <w:start w:val="1"/>
    </w:lvl>
  </w:abstractNum>
  <w:abstractNum w:abstractNumId="75">
    <w:nsid w:val="57FC4FBB"/>
    <w:multiLevelType w:val="hybridMultilevel"/>
    <w:lvl w:ilvl="0">
      <w:lvlJc w:val="left"/>
      <w:lvlText w:val="-"/>
      <w:numFmt w:val="bullet"/>
      <w:start w:val="1"/>
    </w:lvl>
  </w:abstractNum>
  <w:abstractNum w:abstractNumId="76">
    <w:nsid w:val="CC1016F"/>
    <w:multiLevelType w:val="hybridMultilevel"/>
    <w:lvl w:ilvl="0">
      <w:lvlJc w:val="left"/>
      <w:lvlText w:val="(%1)"/>
      <w:numFmt w:val="decimal"/>
      <w:start w:val="2"/>
    </w:lvl>
    <w:lvl w:ilvl="1">
      <w:lvlJc w:val="left"/>
      <w:lvlText w:val="(%2)"/>
      <w:numFmt w:val="lowerLetter"/>
      <w:start w:val="2"/>
    </w:lvl>
  </w:abstractNum>
  <w:abstractNum w:abstractNumId="77">
    <w:nsid w:val="43F18422"/>
    <w:multiLevelType w:val="hybridMultilevel"/>
    <w:lvl w:ilvl="0">
      <w:lvlJc w:val="left"/>
      <w:lvlText w:val="(%1)"/>
      <w:numFmt w:val="lowerLetter"/>
      <w:start w:val="5"/>
    </w:lvl>
  </w:abstractNum>
  <w:abstractNum w:abstractNumId="78">
    <w:nsid w:val="60EF0119"/>
    <w:multiLevelType w:val="hybridMultilevel"/>
    <w:lvl w:ilvl="0">
      <w:lvlJc w:val="left"/>
      <w:lvlText w:val="-"/>
      <w:numFmt w:val="bullet"/>
      <w:start w:val="1"/>
    </w:lvl>
  </w:abstractNum>
  <w:abstractNum w:abstractNumId="79">
    <w:nsid w:val="26F324BA"/>
    <w:multiLevelType w:val="hybridMultilevel"/>
    <w:lvl w:ilvl="0">
      <w:lvlJc w:val="left"/>
      <w:lvlText w:val="(%1)"/>
      <w:numFmt w:val="lowerLetter"/>
      <w:start w:val="2"/>
    </w:lvl>
  </w:abstractNum>
  <w:abstractNum w:abstractNumId="80">
    <w:nsid w:val="7F01579B"/>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3"/>
    </w:lvl>
  </w:abstractNum>
  <w:abstractNum w:abstractNumId="81">
    <w:nsid w:val="49DA307D"/>
    <w:multiLevelType w:val="hybridMultilevel"/>
    <w:lvl w:ilvl="0">
      <w:lvlJc w:val="left"/>
      <w:lvlText w:val="(%1)"/>
      <w:numFmt w:val="decimal"/>
      <w:start w:val="1"/>
    </w:lvl>
    <w:lvl w:ilvl="1">
      <w:lvlJc w:val="left"/>
      <w:lvlText w:val="(%2)"/>
      <w:numFmt w:val="upperLetter"/>
      <w:start w:val="2"/>
    </w:lvl>
    <w:lvl w:ilvl="2">
      <w:lvlJc w:val="left"/>
      <w:lvlText w:val="(%3)"/>
      <w:numFmt w:val="lowerLetter"/>
      <w:start w:val="4"/>
    </w:lvl>
  </w:abstractNum>
  <w:abstractNum w:abstractNumId="82">
    <w:nsid w:val="7055A5F5"/>
    <w:multiLevelType w:val="hybridMultilevel"/>
    <w:lvl w:ilvl="0">
      <w:lvlJc w:val="left"/>
      <w:lvlText w:val="(%1)"/>
      <w:numFmt w:val="lowerLetter"/>
      <w:start w:val="2"/>
    </w:lvl>
  </w:abstractNum>
  <w:abstractNum w:abstractNumId="83">
    <w:nsid w:val="5FB8370B"/>
    <w:multiLevelType w:val="hybridMultilevel"/>
    <w:lvl w:ilvl="0">
      <w:lvlJc w:val="left"/>
      <w:lvlText w:val="-"/>
      <w:numFmt w:val="bullet"/>
      <w:start w:val="1"/>
    </w:lvl>
  </w:abstractNum>
  <w:abstractNum w:abstractNumId="84">
    <w:nsid w:val="50801EE1"/>
    <w:multiLevelType w:val="hybridMultilevel"/>
    <w:lvl w:ilvl="0">
      <w:lvlJc w:val="left"/>
      <w:lvlText w:val="(%1)"/>
      <w:numFmt w:val="decimal"/>
      <w:start w:val="2"/>
    </w:lvl>
    <w:lvl w:ilvl="1">
      <w:lvlJc w:val="left"/>
      <w:lvlText w:val="(%2)"/>
      <w:numFmt w:val="lowerLetter"/>
      <w:start w:val="3"/>
    </w:lvl>
  </w:abstractNum>
  <w:abstractNum w:abstractNumId="85">
    <w:nsid w:val="488AC1A"/>
    <w:multiLevelType w:val="hybridMultilevel"/>
    <w:lvl w:ilvl="0">
      <w:lvlJc w:val="left"/>
      <w:lvlText w:val="(%1)"/>
      <w:numFmt w:val="decimal"/>
      <w:start w:val="1"/>
    </w:lvl>
    <w:lvl w:ilvl="1">
      <w:lvlJc w:val="left"/>
      <w:lvlText w:val="(%2)"/>
      <w:numFmt w:val="lowerLetter"/>
      <w:start w:val="4"/>
    </w:lvl>
  </w:abstractNum>
  <w:abstractNum w:abstractNumId="86">
    <w:nsid w:val="5FB8011C"/>
    <w:multiLevelType w:val="hybridMultilevel"/>
    <w:lvl w:ilvl="0">
      <w:lvlJc w:val="left"/>
      <w:lvlText w:val="(%1)"/>
      <w:numFmt w:val="decimal"/>
      <w:start w:val="1"/>
    </w:lvl>
    <w:lvl w:ilvl="1">
      <w:lvlJc w:val="left"/>
      <w:lvlText w:val="(%2)"/>
      <w:numFmt w:val="upperLetter"/>
      <w:start w:val="1"/>
    </w:lvl>
  </w:abstractNum>
  <w:abstractNum w:abstractNumId="87">
    <w:nsid w:val="6AA78F7F"/>
    <w:multiLevelType w:val="hybridMultilevel"/>
    <w:lvl w:ilvl="0">
      <w:lvlJc w:val="left"/>
      <w:lvlText w:val="-"/>
      <w:numFmt w:val="bullet"/>
      <w:start w:val="1"/>
    </w:lvl>
  </w:abstractNum>
  <w:abstractNum w:abstractNumId="88">
    <w:nsid w:val="7672BD23"/>
    <w:multiLevelType w:val="hybridMultilevel"/>
    <w:lvl w:ilvl="0">
      <w:lvlJc w:val="left"/>
      <w:lvlText w:val="%1"/>
      <w:numFmt w:val="decimal"/>
      <w:start w:val="1"/>
    </w:lvl>
    <w:lvl w:ilvl="1">
      <w:lvlJc w:val="left"/>
      <w:lvlText w:val="(%2)"/>
      <w:numFmt w:val="upperLetter"/>
      <w:start w:val="2"/>
    </w:lvl>
    <w:lvl w:ilvl="2">
      <w:lvlJc w:val="left"/>
      <w:lvlText w:val="%3"/>
      <w:numFmt w:val="lowerLetter"/>
      <w:start w:val="1"/>
    </w:lvl>
  </w:abstractNum>
  <w:abstractNum w:abstractNumId="89">
    <w:nsid w:val="6FC75AF8"/>
    <w:multiLevelType w:val="hybridMultilevel"/>
    <w:lvl w:ilvl="0">
      <w:lvlJc w:val="left"/>
      <w:lvlText w:val="(%1)"/>
      <w:numFmt w:val="decimal"/>
      <w:start w:val="4"/>
    </w:lvl>
    <w:lvl w:ilvl="1">
      <w:lvlJc w:val="left"/>
      <w:lvlText w:val="(%2)"/>
      <w:numFmt w:val="upperLetter"/>
      <w:start w:val="1"/>
    </w:lvl>
    <w:lvl w:ilvl="2">
      <w:lvlJc w:val="left"/>
      <w:lvlText w:val="(%3)"/>
      <w:numFmt w:val="lowerLetter"/>
      <w:start w:val="2"/>
    </w:lvl>
  </w:abstractNum>
  <w:abstractNum w:abstractNumId="90">
    <w:nsid w:val="6A5F7029"/>
    <w:multiLevelType w:val="hybridMultilevel"/>
    <w:lvl w:ilvl="0">
      <w:lvlJc w:val="left"/>
      <w:lvlText w:val="-"/>
      <w:numFmt w:val="bullet"/>
      <w:start w:val="1"/>
    </w:lvl>
  </w:abstractNum>
  <w:abstractNum w:abstractNumId="91">
    <w:nsid w:val="7D5E18F8"/>
    <w:multiLevelType w:val="hybridMultilevel"/>
    <w:lvl w:ilvl="0">
      <w:lvlJc w:val="left"/>
      <w:lvlText w:val="(%1)"/>
      <w:numFmt w:val="lowerLetter"/>
      <w:start w:val="2"/>
    </w:lvl>
  </w:abstractNum>
  <w:abstractNum w:abstractNumId="92">
    <w:nsid w:val="5F3534A4"/>
    <w:multiLevelType w:val="hybridMultilevel"/>
    <w:lvl w:ilvl="0">
      <w:lvlJc w:val="left"/>
      <w:lvlText w:val="%1"/>
      <w:numFmt w:val="decimal"/>
      <w:start w:val="1"/>
    </w:lvl>
    <w:lvl w:ilvl="1">
      <w:lvlJc w:val="left"/>
      <w:lvlText w:val="(%2)"/>
      <w:numFmt w:val="lowerLetter"/>
      <w:start w:val="4"/>
    </w:lvl>
  </w:abstractNum>
  <w:abstractNum w:abstractNumId="93">
    <w:nsid w:val="73A1821B"/>
    <w:multiLevelType w:val="hybridMultilevel"/>
    <w:lvl w:ilvl="0">
      <w:lvlJc w:val="left"/>
      <w:lvlText w:val="(%1)"/>
      <w:numFmt w:val="decimal"/>
      <w:start w:val="1"/>
    </w:lvl>
    <w:lvl w:ilvl="1">
      <w:lvlJc w:val="left"/>
      <w:lvlText w:val="%2"/>
      <w:numFmt w:val="lowerLetter"/>
      <w:start w:val="1"/>
    </w:lvl>
  </w:abstractNum>
  <w:abstractNum w:abstractNumId="94">
    <w:nsid w:val="7DE67713"/>
    <w:multiLevelType w:val="hybridMultilevel"/>
    <w:lvl w:ilvl="0">
      <w:lvlJc w:val="left"/>
      <w:lvlText w:val="-"/>
      <w:numFmt w:val="bullet"/>
      <w:start w:val="1"/>
    </w:lvl>
  </w:abstractNum>
  <w:abstractNum w:abstractNumId="95">
    <w:nsid w:val="555C55B5"/>
    <w:multiLevelType w:val="hybridMultilevel"/>
    <w:lvl w:ilvl="0">
      <w:lvlJc w:val="left"/>
      <w:lvlText w:val="(%1)"/>
      <w:numFmt w:val="decimal"/>
      <w:start w:val="3"/>
    </w:lvl>
  </w:abstractNum>
  <w:abstractNum w:abstractNumId="96">
    <w:nsid w:val="3FA62ACA"/>
    <w:multiLevelType w:val="hybridMultilevel"/>
    <w:lvl w:ilvl="0">
      <w:lvlJc w:val="left"/>
      <w:lvlText w:val="(%1)"/>
      <w:numFmt w:val="lowerLetter"/>
      <w:start w:val="2"/>
    </w:lvl>
  </w:abstractNum>
  <w:abstractNum w:abstractNumId="97">
    <w:nsid w:val="14FCE74E"/>
    <w:multiLevelType w:val="hybridMultilevel"/>
    <w:lvl w:ilvl="0">
      <w:lvlJc w:val="left"/>
      <w:lvlText w:val="(%1)"/>
      <w:numFmt w:val="lowerLetter"/>
      <w:start w:val="2"/>
    </w:lvl>
  </w:abstractNum>
  <w:abstractNum w:abstractNumId="98">
    <w:nsid w:val="6A3DD3E8"/>
    <w:multiLevelType w:val="hybridMultilevel"/>
    <w:lvl w:ilvl="0">
      <w:lvlJc w:val="left"/>
      <w:lvlText w:val="-"/>
      <w:numFmt w:val="bullet"/>
      <w:start w:val="1"/>
    </w:lvl>
  </w:abstractNum>
  <w:abstractNum w:abstractNumId="99">
    <w:nsid w:val="71C91298"/>
    <w:multiLevelType w:val="hybridMultilevel"/>
    <w:lvl w:ilvl="0">
      <w:lvlJc w:val="left"/>
      <w:lvlText w:val="(%1)"/>
      <w:numFmt w:val="decimal"/>
      <w:start w:val="1"/>
    </w:lvl>
  </w:abstractNum>
  <w:abstractNum w:abstractNumId="100">
    <w:nsid w:val="9DAF632"/>
    <w:multiLevelType w:val="hybridMultilevel"/>
    <w:lvl w:ilvl="0">
      <w:lvlJc w:val="left"/>
      <w:lvlText w:val="(%1)"/>
      <w:numFmt w:val="decimal"/>
      <w:start w:val="1"/>
    </w:lvl>
  </w:abstractNum>
  <w:abstractNum w:abstractNumId="101">
    <w:nsid w:val="53299938"/>
    <w:multiLevelType w:val="hybridMultilevel"/>
    <w:lvl w:ilvl="0">
      <w:lvlJc w:val="left"/>
      <w:lvlText w:val="-"/>
      <w:numFmt w:val="bullet"/>
      <w:start w:val="1"/>
    </w:lvl>
  </w:abstractNum>
  <w:abstractNum w:abstractNumId="102">
    <w:nsid w:val="1FBFE8E0"/>
    <w:multiLevelType w:val="hybridMultilevel"/>
    <w:lvl w:ilvl="0">
      <w:lvlJc w:val="left"/>
      <w:lvlText w:val="(%1)"/>
      <w:numFmt w:val="decimal"/>
      <w:start w:val="1"/>
    </w:lvl>
  </w:abstractNum>
  <w:abstractNum w:abstractNumId="103">
    <w:nsid w:val="5092CA79"/>
    <w:multiLevelType w:val="hybridMultilevel"/>
    <w:lvl w:ilvl="0">
      <w:lvlJc w:val="left"/>
      <w:lvlText w:val="-"/>
      <w:numFmt w:val="bullet"/>
      <w:start w:val="1"/>
    </w:lvl>
  </w:abstractNum>
  <w:abstractNum w:abstractNumId="104">
    <w:nsid w:val="1D545C4D"/>
    <w:multiLevelType w:val="hybridMultilevel"/>
    <w:lvl w:ilvl="0">
      <w:lvlJc w:val="left"/>
      <w:lvlText w:val="(%1)"/>
      <w:numFmt w:val="decimal"/>
      <w:start w:val="2"/>
    </w:lvl>
    <w:lvl w:ilvl="1">
      <w:lvlJc w:val="left"/>
      <w:lvlText w:val="(%2)"/>
      <w:numFmt w:val="lowerLetter"/>
      <w:start w:val="2"/>
    </w:lvl>
  </w:abstractNum>
  <w:abstractNum w:abstractNumId="105">
    <w:nsid w:val="59ADEA3D"/>
    <w:multiLevelType w:val="hybridMultilevel"/>
    <w:lvl w:ilvl="0">
      <w:lvlJc w:val="left"/>
      <w:lvlText w:val="-"/>
      <w:numFmt w:val="bullet"/>
      <w:start w:val="1"/>
    </w:lvl>
  </w:abstractNum>
  <w:abstractNum w:abstractNumId="106">
    <w:nsid w:val="288F1A34"/>
    <w:multiLevelType w:val="hybridMultilevel"/>
    <w:lvl w:ilvl="0">
      <w:lvlJc w:val="left"/>
      <w:lvlText w:val="%1."/>
      <w:numFmt w:val="decimal"/>
      <w:start w:val="1"/>
    </w:lvl>
  </w:abstractNum>
  <w:abstractNum w:abstractNumId="107">
    <w:nsid w:val="2A155DBC"/>
    <w:multiLevelType w:val="hybridMultilevel"/>
    <w:lvl w:ilvl="0">
      <w:lvlJc w:val="left"/>
      <w:lvlText w:val="(%1)"/>
      <w:numFmt w:val="lowerLetter"/>
      <w:start w:val="2"/>
    </w:lvl>
  </w:abstractNum>
  <w:abstractNum w:abstractNumId="108">
    <w:nsid w:val="1D9F6E5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2019-12-20T06:51:12Z</dcterms:created>
  <dcterms:modified xsi:type="dcterms:W3CDTF">2019-12-20T06:51:12Z</dcterms:modified>
</cp:coreProperties>
</file>