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rFonts w:ascii="Times New Roman" w:hAnsi="Times New Roman"/>
          <w:color w:val="000000"/>
          <w:sz w:val="20"/>
        </w:rPr>
      </w:pPr>
      <w:bookmarkStart w:id="0" w:name="dxlg-20260819.htm"/>
      <w:bookmarkStart w:id="1" w:name="ksdxlg20260819"/>
      <w:bookmarkEnd w:id="0"/>
      <w:bookmarkEnd w:id="1"/>
      <w:r>
        <w:rPr>
          <w:rFonts w:ascii="Times New Roman" w:hAnsi="Times New Roman"/>
          <w:color w:val="000000"/>
          <w:sz w:val="20"/>
        </w:rPr>
        <w:t>k</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Amendment to Agreement and Plan of Merger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previously disclosed, on December 11, 2025, Destination XL Group, Inc., a Delaware corporation (“DXL”), Divine Merger Sub I, Inc., a Delaware corporation and wholly owned direct subsidiary of DXL (“Merger Sub”), and FBB Holdings I, Inc., a Delaware corporation (“FBB”), entered into an Agreement and Plan of Merger (the “Merger Agreement”). On August 19, 2026, DXL, Merger Sub and FBB entered into Amendment to the Agreement and Plan of Merger (the “Merger Agreement Amendment”), which amends the Merger Agreement to extend the end date from September 11, 2026 to October 30, 2026. Other than as expressly modified pursuant to the Merger Agreement Amendment, the Merger Agreement remains in full force and effect as originally executed on December 11,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Merger Agreement Amendment does not purport to be complete and is qualified in its entirety by reference to the full text of the Merger Agreement Amendment, a copy of which is attached hereto as Exhibit 2.1 and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Important Information about the Merger and Where to Find 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communication does not constitute an offer to sell or the solicitation of an offer to buy any securities or a solicitation of any vote or approval. This communication may be deemed to be solicitation material in respect of the proposed merger (the “Merger”) between DXL and FBB. In connection with the Merger, DXL has filed a preliminary proxy statement and intends to file a definitive proxy statement (the “Proxy Statement”), which will be distributed to the stockholders of DXL in connection with their votes on the issuance of DXL Common Stock in the Merger. INVESTORS AND SECURITY HOLDERS ARE ADVISED TO READ THE PROXY STATEMENT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and “Security Ownership of Management,” and in the Proxy Statement, which was filed with the SEC on July 17, 2026, including under the headings “Merger—Interests of DXL’s Directors and Executive Officers in the Merger,” “DXL’s Executive Compensation,” “Executive Officers and Directors Following the Merger” and “Principal Stockholders of DXL.”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the Form 4s filed by each of the non-executive directors on May 6, 2026, Form 4s filed by each of the non-executive directors on August 5, 2026, Form 4s filed by executive officer and non-employee director on August 14,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FBB and its chief executive officer may be deemed to be participants in the solicitation of proxies from the stockholders of DXL in connection with the Merger. Information about FBB and its chief executive officer can be found in the Form 8-K filed by DXL with the SEC on December 11, 2025 and in the Proxy Statement filed by DXL with the SEC on July 17, 2026, including under the heading “Executive Officers and Directors Following the Merger.”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information regarding the participants in the proxy solicitation and a description of their direct and indirect interests, by security holdings or otherwise, is contained in the Proxy Statement regarding the Merger. Free copies of this document may be obtained as described above.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35"/>
        <w:gridCol w:w="146"/>
        <w:gridCol w:w="146"/>
        <w:gridCol w:w="8978"/>
      </w:tblGrid>
      <w:tr>
        <w:trPr/>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8" w:type="dxa"/>
            <w:tcBorders/>
            <w:vAlign w:val="center"/>
          </w:tcPr>
          <w:p>
            <w:pPr>
              <w:pStyle w:val="TableContents"/>
              <w:bidi w:val="0"/>
              <w:spacing w:before="0" w:after="283"/>
              <w:jc w:val="left"/>
              <w:rPr>
                <w:sz w:val="4"/>
                <w:szCs w:val="4"/>
              </w:rPr>
            </w:pPr>
            <w:r>
              <w:rPr>
                <w:sz w:val="4"/>
                <w:szCs w:val="4"/>
              </w:rPr>
            </w:r>
          </w:p>
        </w:tc>
      </w:tr>
      <w:tr>
        <w:trPr/>
        <w:tc>
          <w:tcPr>
            <w:tcW w:w="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8" w:type="dxa"/>
            <w:tcBorders/>
            <w:tcMar>
              <w:top w:w="0" w:type="dxa"/>
              <w:left w:w="0" w:type="dxa"/>
              <w:bottom w:w="0" w:type="dxa"/>
              <w:right w:w="0" w:type="dxa"/>
            </w:tcMar>
            <w:vAlign w:val="center"/>
          </w:tcPr>
          <w:p>
            <w:pPr>
              <w:pStyle w:val="TableContents"/>
              <w:bidi w:val="0"/>
              <w:spacing w:before="0" w:after="283"/>
              <w:jc w:val="left"/>
              <w:rPr/>
            </w:pPr>
            <w:hyperlink w:anchor="dxlg-ex2_1.htm">
              <w:r>
                <w:rPr>
                  <w:rStyle w:val="InternetLink"/>
                  <w:rFonts w:ascii="Times New Roman" w:hAnsi="Times New Roman"/>
                  <w:color w:val="0000FF"/>
                  <w:sz w:val="20"/>
                  <w:u w:val="single"/>
                </w:rPr>
                <w:t>Amendment to Agreement and Plan of Merger, dated August 19, 2026, by and among Destination XL Group, Inc., Divine Merger Sub I, Inc., and FBB Holdings I, Inc.</w:t>
              </w:r>
            </w:hyperlink>
          </w:p>
        </w:tc>
      </w:tr>
      <w:tr>
        <w:trPr/>
        <w:tc>
          <w:tcPr>
            <w:tcW w:w="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104" w:type="dxa"/>
        <w:jc w:val="left"/>
        <w:tblInd w:w="0" w:type="dxa"/>
        <w:tblLayout w:type="fixed"/>
        <w:tblCellMar>
          <w:top w:w="28" w:type="dxa"/>
          <w:left w:w="28" w:type="dxa"/>
          <w:bottom w:w="28" w:type="dxa"/>
          <w:right w:w="28" w:type="dxa"/>
        </w:tblCellMar>
      </w:tblPr>
      <w:tblGrid>
        <w:gridCol w:w="556"/>
        <w:gridCol w:w="1456"/>
        <w:gridCol w:w="451"/>
        <w:gridCol w:w="26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dxlg-ex2_1.htm"/>
      <w:bookmarkStart w:id="3" w:name="ksdxlgex2_1"/>
      <w:bookmarkEnd w:id="2"/>
      <w:bookmarkEnd w:id="3"/>
      <w:r>
        <w:rPr>
          <w:rFonts w:ascii="Times New Roman" w:hAnsi="Times New Roman"/>
          <w:color w:val="000000"/>
          <w:sz w:val="20"/>
        </w:rPr>
        <w:t>Exhibit 2.1</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AMENDMENT TO</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 AND PLAN OF MERGER</w:t>
      </w:r>
    </w:p>
    <w:p>
      <w:pPr>
        <w:pStyle w:val="TextBody"/>
        <w:bidi w:val="0"/>
        <w:spacing w:before="0" w:after="240"/>
        <w:jc w:val="both"/>
        <w:rPr>
          <w:rFonts w:ascii="Times New Roman" w:hAnsi="Times New Roman"/>
          <w:sz w:val="20"/>
        </w:rPr>
      </w:pPr>
      <w:r>
        <w:rPr>
          <w:rFonts w:ascii="Times New Roman" w:hAnsi="Times New Roman"/>
          <w:color w:val="000000"/>
          <w:sz w:val="22"/>
        </w:rPr>
        <w:t>This Amendment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 that certain Agreement and Plan of Merger, dated as of December 11, 2025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and entered into effective as of August 19, 2026 (the “</w:t>
      </w:r>
      <w:r>
        <w:rPr>
          <w:rFonts w:ascii="Times New Roman" w:hAnsi="Times New Roman"/>
          <w:color w:val="000000"/>
          <w:sz w:val="22"/>
          <w:u w:val="single"/>
        </w:rPr>
        <w:t>Amendment Date</w:t>
      </w:r>
      <w:r>
        <w:rPr>
          <w:rFonts w:ascii="Times New Roman" w:hAnsi="Times New Roman"/>
          <w:color w:val="000000"/>
          <w:sz w:val="20"/>
        </w:rPr>
        <w:t>”</w:t>
      </w:r>
      <w:r>
        <w:rPr>
          <w:rFonts w:ascii="Times New Roman" w:hAnsi="Times New Roman"/>
          <w:color w:val="000000"/>
          <w:sz w:val="22"/>
        </w:rPr>
        <w:t>) by and among Destination XL Group, Inc., a Delaware corporation (“</w:t>
      </w:r>
      <w:r>
        <w:rPr>
          <w:rFonts w:ascii="Times New Roman" w:hAnsi="Times New Roman"/>
          <w:color w:val="000000"/>
          <w:sz w:val="22"/>
          <w:u w:val="single"/>
        </w:rPr>
        <w:t>DXL</w:t>
      </w:r>
      <w:r>
        <w:rPr>
          <w:rFonts w:ascii="Times New Roman" w:hAnsi="Times New Roman"/>
          <w:color w:val="000000"/>
          <w:sz w:val="20"/>
        </w:rPr>
        <w:t>”</w:t>
      </w:r>
      <w:r>
        <w:rPr>
          <w:rFonts w:ascii="Times New Roman" w:hAnsi="Times New Roman"/>
          <w:color w:val="000000"/>
          <w:sz w:val="22"/>
        </w:rPr>
        <w:t>), Divine Merger Sub I, Inc., a Delaware corporation and wholly owned direct subsidiary of DXL (“</w:t>
      </w:r>
      <w:r>
        <w:rPr>
          <w:rFonts w:ascii="Times New Roman" w:hAnsi="Times New Roman"/>
          <w:color w:val="000000"/>
          <w:sz w:val="22"/>
          <w:u w:val="single"/>
        </w:rPr>
        <w:t>Merger Sub</w:t>
      </w:r>
      <w:r>
        <w:rPr>
          <w:rFonts w:ascii="Times New Roman" w:hAnsi="Times New Roman"/>
          <w:color w:val="000000"/>
          <w:sz w:val="20"/>
        </w:rPr>
        <w:t>”</w:t>
      </w:r>
      <w:r>
        <w:rPr>
          <w:rFonts w:ascii="Times New Roman" w:hAnsi="Times New Roman"/>
          <w:color w:val="000000"/>
          <w:sz w:val="22"/>
        </w:rPr>
        <w:t>), and FBB Holdings I, Inc., a Delaware corporation (“</w:t>
      </w:r>
      <w:r>
        <w:rPr>
          <w:rFonts w:ascii="Times New Roman" w:hAnsi="Times New Roman"/>
          <w:color w:val="000000"/>
          <w:sz w:val="22"/>
          <w:u w:val="single"/>
        </w:rPr>
        <w:t>FBB</w:t>
      </w:r>
      <w:r>
        <w:rPr>
          <w:rFonts w:ascii="Times New Roman" w:hAnsi="Times New Roman"/>
          <w:color w:val="000000"/>
          <w:sz w:val="20"/>
        </w:rPr>
        <w:t>”</w:t>
      </w:r>
      <w:r>
        <w:rPr>
          <w:rFonts w:ascii="Times New Roman" w:hAnsi="Times New Roman"/>
          <w:color w:val="000000"/>
          <w:sz w:val="22"/>
        </w:rPr>
        <w:t>). Capitalized terms used in this Amendment that are not otherwise defined herein shall have the respective meanings assigned to them in the Agreement.</w:t>
      </w:r>
    </w:p>
    <w:p>
      <w:pPr>
        <w:pStyle w:val="Heading1"/>
        <w:bidi w:val="0"/>
        <w:spacing w:before="0" w:after="240"/>
        <w:jc w:val="center"/>
        <w:rPr>
          <w:rFonts w:ascii="Times New Roman" w:hAnsi="Times New Roman"/>
          <w:color w:val="000000"/>
          <w:sz w:val="22"/>
          <w:u w:val="single"/>
        </w:rPr>
      </w:pPr>
      <w:r>
        <w:rPr>
          <w:rFonts w:ascii="Times New Roman" w:hAnsi="Times New Roman"/>
          <w:color w:val="000000"/>
          <w:sz w:val="22"/>
          <w:u w:val="single"/>
        </w:rPr>
        <w:t>RECITALS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pursuant to Section 8.01(e) of the Agreement, the End Date is September 11,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DXL, Merger Sub and FBB desire to amend the Agreement to extend the End Date from September 11, 2026 to October 30, 2026, subject to the terms and conditions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FBB Stockholder Approval has been obtained in accordance with the Agreement, and the parties have determined that the amendment contemplated by this Amendment does not require any further approval by the stockholders of FBB under applicable Law pursuant to Section 8.03 of the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pursuant to Section 8.03 of the Agreement, the Agreement may be amended by an instrument in writing signed on behalf of each of the parties thereto;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DXL, Merger Sub and FBB desire to enter into this Amendment to amend the Agreement as set forth herein.</w:t>
      </w:r>
    </w:p>
    <w:p>
      <w:pPr>
        <w:pStyle w:val="Heading1"/>
        <w:bidi w:val="0"/>
        <w:spacing w:before="0" w:after="240"/>
        <w:jc w:val="center"/>
        <w:rPr>
          <w:rFonts w:ascii="Times New Roman" w:hAnsi="Times New Roman"/>
          <w:color w:val="000000"/>
          <w:sz w:val="22"/>
          <w:u w:val="single"/>
        </w:rPr>
      </w:pPr>
      <w:r>
        <w:rPr>
          <w:rFonts w:ascii="Times New Roman" w:hAnsi="Times New Roman"/>
          <w:color w:val="000000"/>
          <w:sz w:val="22"/>
          <w:u w:val="single"/>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above recitals and for other good and valuable consideration, the receipt and adequacy of which are hereby acknowledged, the parties hereto agree to amend the Agreement as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Amendment of Section 8.01(e)</w:t>
      </w:r>
      <w:r>
        <w:rPr>
          <w:rFonts w:ascii="Times New Roman" w:hAnsi="Times New Roman"/>
          <w:color w:val="000000"/>
          <w:sz w:val="22"/>
        </w:rPr>
        <w:t>. Section 8.01(e) of the Agreement is hereby amended by replacing “</w:t>
      </w:r>
      <w:r>
        <w:rPr>
          <w:rFonts w:ascii="Times New Roman" w:hAnsi="Times New Roman"/>
          <w:i/>
          <w:color w:val="000000"/>
          <w:sz w:val="22"/>
        </w:rPr>
        <w:t>September 11, 2026</w:t>
      </w:r>
      <w:r>
        <w:rPr>
          <w:color w:val="000000"/>
        </w:rPr>
        <w:t xml:space="preserve">” </w:t>
      </w:r>
      <w:r>
        <w:rPr>
          <w:rFonts w:ascii="Times New Roman" w:hAnsi="Times New Roman"/>
          <w:color w:val="000000"/>
          <w:sz w:val="22"/>
        </w:rPr>
        <w:t>with “</w:t>
      </w:r>
      <w:r>
        <w:rPr>
          <w:rFonts w:ascii="Times New Roman" w:hAnsi="Times New Roman"/>
          <w:i/>
          <w:color w:val="000000"/>
          <w:sz w:val="22"/>
        </w:rPr>
        <w:t>October 30, 2026</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Full Force and Effect</w:t>
      </w:r>
      <w:r>
        <w:rPr>
          <w:rFonts w:ascii="Times New Roman" w:hAnsi="Times New Roman"/>
          <w:color w:val="000000"/>
          <w:sz w:val="22"/>
        </w:rPr>
        <w:t>. Except as otherwise specifically set forth in this Amendment, the Agreement and all provisions contained therein are, and shall continue, in full force and effect, and are hereby ratified and confirmed in all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Miscellaneous Provisions</w:t>
      </w:r>
      <w:r>
        <w:rPr>
          <w:rFonts w:ascii="Times New Roman" w:hAnsi="Times New Roman"/>
          <w:color w:val="000000"/>
          <w:sz w:val="22"/>
        </w:rPr>
        <w:t xml:space="preserve">. </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360"/>
        <w:jc w:val="both"/>
        <w:rPr/>
      </w:pPr>
      <w:r>
        <w:rPr>
          <w:rFonts w:ascii="Times New Roman" w:hAnsi="Times New Roman"/>
          <w:color w:val="000000"/>
          <w:sz w:val="22"/>
          <w:u w:val="single"/>
        </w:rPr>
        <w:t>Further Assurances</w:t>
      </w:r>
      <w:r>
        <w:rPr>
          <w:rFonts w:ascii="Times New Roman" w:hAnsi="Times New Roman"/>
          <w:color w:val="000000"/>
          <w:sz w:val="22"/>
        </w:rPr>
        <w:t xml:space="preserve">. Each party, at the reasonable request of the other party, and without additional consideration, shall, from time to time (i) execute and deliver, or shall cause to be executed and delivered, such further certificates, agreements or instruments, and (ii) take such other action,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as the other parties may reasonably request, to consummate or implement the amendments contemplated by this Amendment.</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360"/>
        <w:jc w:val="both"/>
        <w:rPr/>
      </w:pPr>
      <w:r>
        <w:rPr>
          <w:rFonts w:ascii="Times New Roman" w:hAnsi="Times New Roman"/>
          <w:color w:val="000000"/>
          <w:sz w:val="22"/>
          <w:u w:val="single"/>
        </w:rPr>
        <w:t>Incorporated Provisions</w:t>
      </w:r>
      <w:r>
        <w:rPr>
          <w:rFonts w:ascii="Times New Roman" w:hAnsi="Times New Roman"/>
          <w:color w:val="000000"/>
          <w:sz w:val="22"/>
        </w:rPr>
        <w:t xml:space="preserve">. The provisions of Article IX of the Agreement are incorporated herein by reference, </w:t>
      </w:r>
      <w:r>
        <w:rPr>
          <w:rFonts w:ascii="Times New Roman" w:hAnsi="Times New Roman"/>
          <w:i/>
          <w:color w:val="000000"/>
          <w:sz w:val="22"/>
        </w:rPr>
        <w:t>mutatis mutandis</w:t>
      </w:r>
      <w:r>
        <w:rPr>
          <w:rFonts w:ascii="Times New Roman" w:hAnsi="Times New Roman"/>
          <w:color w:val="000000"/>
          <w:sz w:val="22"/>
        </w:rPr>
        <w:t>, as though fully set forth herein.</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360"/>
        <w:jc w:val="both"/>
        <w:rPr/>
      </w:pPr>
      <w:r>
        <w:rPr>
          <w:rFonts w:ascii="Times New Roman" w:hAnsi="Times New Roman"/>
          <w:color w:val="000000"/>
          <w:sz w:val="22"/>
          <w:u w:val="single"/>
        </w:rPr>
        <w:t>References to Agreement</w:t>
      </w:r>
      <w:r>
        <w:rPr>
          <w:rFonts w:ascii="Times New Roman" w:hAnsi="Times New Roman"/>
          <w:color w:val="000000"/>
          <w:sz w:val="22"/>
        </w:rPr>
        <w:t>. From and after the Amendment Date, all references in the Agreement to “this Agreement,” “hereof,” “hereunder” or words of similar import shall mean the Agreement as amended by this Amendment.</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360"/>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any number of counterparts, all of which taken together shall be deemed to constitute one instrument. Delivery of this Amendment by facsimile transmission or electronic mail shall be effective as delivery of a manually executed counterpart hereof.</w:t>
      </w:r>
    </w:p>
    <w:p>
      <w:pPr>
        <w:pStyle w:val="TextBody"/>
        <w:bidi w:val="0"/>
        <w:jc w:val="center"/>
        <w:rPr>
          <w:rFonts w:ascii="Times New Roman" w:hAnsi="Times New Roman"/>
          <w:color w:val="000000"/>
          <w:sz w:val="22"/>
        </w:rPr>
      </w:pPr>
      <w:r>
        <w:rPr>
          <w:rFonts w:ascii="Times New Roman" w:hAnsi="Times New Roman"/>
          <w:color w:val="000000"/>
          <w:sz w:val="22"/>
        </w:rPr>
        <w:t>* * * * *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2.1</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WITNESS WHEREOF, the parties have caused this Amendment to be executed as of the Amendment Date.</w:t>
      </w:r>
    </w:p>
    <w:tbl>
      <w:tblPr>
        <w:tblW w:w="3807" w:type="dxa"/>
        <w:jc w:val="left"/>
        <w:tblInd w:w="0" w:type="dxa"/>
        <w:tblLayout w:type="fixed"/>
        <w:tblCellMar>
          <w:top w:w="28" w:type="dxa"/>
          <w:left w:w="28" w:type="dxa"/>
          <w:bottom w:w="28" w:type="dxa"/>
          <w:right w:w="28" w:type="dxa"/>
        </w:tblCellMar>
      </w:tblPr>
      <w:tblGrid>
        <w:gridCol w:w="161"/>
        <w:gridCol w:w="3646"/>
      </w:tblGrid>
      <w:tr>
        <w:trPr/>
        <w:tc>
          <w:tcPr>
            <w:tcW w:w="16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both"/>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2"/>
              </w:rPr>
            </w:pPr>
            <w:r>
              <w:rPr>
                <w:rFonts w:ascii="Times New Roman" w:hAnsi="Times New Roman"/>
                <w:b/>
                <w:color w:val="000000"/>
                <w:sz w:val="22"/>
              </w:rPr>
              <w:t>DESTINATION XL GROUP, INC.</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/s/ Lionel F. Conacher</w:t>
            </w:r>
          </w:p>
          <w:p>
            <w:pPr>
              <w:pStyle w:val="TableContents"/>
              <w:bidi w:val="0"/>
              <w:jc w:val="left"/>
              <w:rPr>
                <w:rFonts w:ascii="Times New Roman" w:hAnsi="Times New Roman"/>
                <w:color w:val="000000"/>
                <w:sz w:val="22"/>
              </w:rPr>
            </w:pPr>
            <w:r>
              <w:rPr>
                <w:rFonts w:ascii="Times New Roman" w:hAnsi="Times New Roman"/>
                <w:color w:val="000000"/>
                <w:sz w:val="22"/>
              </w:rPr>
              <w:t>Name: Lionel F. Conacher</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Interim Chief Executive Officer</w:t>
            </w:r>
          </w:p>
          <w:p>
            <w:pPr>
              <w:pStyle w:val="TableContents"/>
              <w:bidi w:val="0"/>
              <w:spacing w:before="0" w:after="283"/>
              <w:jc w:val="left"/>
              <w:rPr/>
            </w:pPr>
            <w:r>
              <w:rPr/>
              <w:t> </w:t>
            </w:r>
          </w:p>
        </w:tc>
      </w:tr>
    </w:tbl>
    <w:p>
      <w:pPr>
        <w:pStyle w:val="TextBody"/>
        <w:bidi w:val="0"/>
        <w:spacing w:before="0" w:after="200"/>
        <w:jc w:val="both"/>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462" w:type="dxa"/>
        <w:jc w:val="left"/>
        <w:tblInd w:w="0" w:type="dxa"/>
        <w:tblLayout w:type="fixed"/>
        <w:tblCellMar>
          <w:top w:w="28" w:type="dxa"/>
          <w:left w:w="28" w:type="dxa"/>
          <w:bottom w:w="28" w:type="dxa"/>
          <w:right w:w="28" w:type="dxa"/>
        </w:tblCellMar>
      </w:tblPr>
      <w:tblGrid>
        <w:gridCol w:w="161"/>
        <w:gridCol w:w="3301"/>
      </w:tblGrid>
      <w:tr>
        <w:trPr/>
        <w:tc>
          <w:tcPr>
            <w:tcW w:w="16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both"/>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2"/>
              </w:rPr>
            </w:pPr>
            <w:r>
              <w:rPr>
                <w:rFonts w:ascii="Times New Roman" w:hAnsi="Times New Roman"/>
                <w:b/>
                <w:color w:val="000000"/>
                <w:sz w:val="22"/>
              </w:rPr>
              <w:t>DIVINE MERGER SUB I, INC.</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/s/ Lionel F. Conacher</w:t>
            </w:r>
          </w:p>
          <w:p>
            <w:pPr>
              <w:pStyle w:val="TableContents"/>
              <w:bidi w:val="0"/>
              <w:jc w:val="left"/>
              <w:rPr>
                <w:rFonts w:ascii="Times New Roman" w:hAnsi="Times New Roman"/>
                <w:color w:val="000000"/>
                <w:sz w:val="22"/>
              </w:rPr>
            </w:pPr>
            <w:r>
              <w:rPr>
                <w:rFonts w:ascii="Times New Roman" w:hAnsi="Times New Roman"/>
                <w:color w:val="000000"/>
                <w:sz w:val="22"/>
              </w:rPr>
              <w:t>Name: Lionel F. Conacher</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 xml:space="preserve">Title: President </w:t>
            </w:r>
          </w:p>
        </w:tc>
      </w:tr>
    </w:tbl>
    <w:p>
      <w:pPr>
        <w:pStyle w:val="TextBody"/>
        <w:bidi w:val="0"/>
        <w:spacing w:before="0" w:after="200"/>
        <w:jc w:val="left"/>
        <w:rPr/>
      </w:pPr>
      <w:r>
        <w:rPr/>
        <w:t> </w:t>
      </w:r>
    </w:p>
    <w:p>
      <w:pPr>
        <w:pStyle w:val="TextBody"/>
        <w:bidi w:val="0"/>
        <w:spacing w:before="0" w:after="200"/>
        <w:jc w:val="right"/>
        <w:rPr>
          <w:rFonts w:ascii="Times New Roman" w:hAnsi="Times New Roman"/>
          <w:sz w:val="20"/>
        </w:rPr>
      </w:pPr>
      <w:r>
        <w:rPr>
          <w:rFonts w:ascii="Times New Roman" w:hAnsi="Times New Roman"/>
          <w:color w:val="000000"/>
          <w:sz w:val="16"/>
        </w:rPr>
        <w:t>[</w:t>
      </w:r>
      <w:r>
        <w:rPr>
          <w:rFonts w:ascii="Times New Roman" w:hAnsi="Times New Roman"/>
          <w:i/>
          <w:color w:val="000000"/>
          <w:sz w:val="16"/>
        </w:rPr>
        <w:t>Signature Page to Amendment to Agreement and Plan of Merger</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72" w:type="dxa"/>
        <w:jc w:val="left"/>
        <w:tblInd w:w="0" w:type="dxa"/>
        <w:tblLayout w:type="fixed"/>
        <w:tblCellMar>
          <w:top w:w="28" w:type="dxa"/>
          <w:left w:w="28" w:type="dxa"/>
          <w:bottom w:w="28" w:type="dxa"/>
          <w:right w:w="28" w:type="dxa"/>
        </w:tblCellMar>
      </w:tblPr>
      <w:tblGrid>
        <w:gridCol w:w="161"/>
        <w:gridCol w:w="2911"/>
      </w:tblGrid>
      <w:tr>
        <w:trPr/>
        <w:tc>
          <w:tcPr>
            <w:tcW w:w="16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both"/>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b/>
                <w:color w:val="000000"/>
                <w:sz w:val="22"/>
              </w:rPr>
            </w:pPr>
            <w:r>
              <w:rPr>
                <w:rFonts w:ascii="Times New Roman" w:hAnsi="Times New Roman"/>
                <w:b/>
                <w:color w:val="000000"/>
                <w:sz w:val="22"/>
              </w:rPr>
              <w:t>FBB HOLDINGS I, INC.</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/s/ Jim Fogarty</w:t>
            </w:r>
          </w:p>
          <w:p>
            <w:pPr>
              <w:pStyle w:val="TableContents"/>
              <w:bidi w:val="0"/>
              <w:jc w:val="left"/>
              <w:rPr>
                <w:rFonts w:ascii="Times New Roman" w:hAnsi="Times New Roman"/>
                <w:color w:val="000000"/>
                <w:sz w:val="22"/>
              </w:rPr>
            </w:pPr>
            <w:r>
              <w:rPr>
                <w:rFonts w:ascii="Times New Roman" w:hAnsi="Times New Roman"/>
                <w:color w:val="000000"/>
                <w:sz w:val="22"/>
              </w:rPr>
              <w:t>Name: Jim Fogarty</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Title: Chief Executive Officer</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right"/>
        <w:rPr>
          <w:rFonts w:ascii="Times New Roman" w:hAnsi="Times New Roman"/>
          <w:sz w:val="20"/>
        </w:rPr>
      </w:pPr>
      <w:r>
        <w:rPr>
          <w:rFonts w:ascii="Times New Roman" w:hAnsi="Times New Roman"/>
          <w:color w:val="000000"/>
          <w:sz w:val="16"/>
        </w:rPr>
        <w:t>[</w:t>
      </w:r>
      <w:r>
        <w:rPr>
          <w:rFonts w:ascii="Times New Roman" w:hAnsi="Times New Roman"/>
          <w:i/>
          <w:color w:val="000000"/>
          <w:sz w:val="16"/>
        </w:rPr>
        <w:t>Signature Page to Amendment to Agreement and Plan of Merger</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1880</Words>
  <Characters>9932</Characters>
  <CharactersWithSpaces>11811</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