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color w:val="auto"/>
        </w:rPr>
        <w:t>WASHINGTON, D.C. 20549</w:t>
      </w:r>
    </w:p>
    <w:p>
      <w:pPr>
        <w:spacing w:after="0" w:line="191"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_________________</w:t>
      </w:r>
    </w:p>
    <w:p>
      <w:pPr>
        <w:spacing w:after="0" w:line="319" w:lineRule="exact"/>
        <w:rPr>
          <w:sz w:val="24"/>
          <w:szCs w:val="24"/>
          <w:color w:val="auto"/>
        </w:rPr>
      </w:pPr>
    </w:p>
    <w:p>
      <w:pPr>
        <w:jc w:val="center"/>
        <w:ind w:right="-279"/>
        <w:spacing w:after="0"/>
        <w:rPr>
          <w:sz w:val="20"/>
          <w:szCs w:val="20"/>
          <w:color w:val="auto"/>
        </w:rPr>
      </w:pPr>
      <w:r>
        <w:rPr>
          <w:rFonts w:ascii="Arial" w:cs="Arial" w:eastAsia="Arial" w:hAnsi="Arial"/>
          <w:sz w:val="29"/>
          <w:szCs w:val="29"/>
          <w:b w:val="1"/>
          <w:bCs w:val="1"/>
          <w:color w:val="auto"/>
        </w:rPr>
        <w:t>FORM 11-K</w:t>
      </w:r>
    </w:p>
    <w:p>
      <w:pPr>
        <w:spacing w:after="0" w:line="234"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_________________</w:t>
      </w:r>
    </w:p>
    <w:p>
      <w:pPr>
        <w:spacing w:after="0" w:line="21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spacing w:after="0" w:line="98" w:lineRule="exact"/>
        <w:rPr>
          <w:sz w:val="24"/>
          <w:szCs w:val="24"/>
          <w:color w:val="auto"/>
        </w:rPr>
      </w:pPr>
    </w:p>
    <w:p>
      <w:pPr>
        <w:ind w:left="4060" w:right="440" w:hanging="4052"/>
        <w:spacing w:after="0" w:line="442" w:lineRule="auto"/>
        <w:tabs>
          <w:tab w:leader="none" w:pos="78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 For the fiscal year ended December 31, 2014</w:t>
      </w:r>
    </w:p>
    <w:p>
      <w:pPr>
        <w:ind w:left="564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or</w:t>
      </w:r>
    </w:p>
    <w:p>
      <w:pPr>
        <w:spacing w:after="0" w:line="206" w:lineRule="exact"/>
        <w:rPr>
          <w:sz w:val="24"/>
          <w:szCs w:val="24"/>
          <w:color w:val="auto"/>
        </w:rPr>
      </w:pPr>
    </w:p>
    <w:p>
      <w:pPr>
        <w:ind w:left="3400" w:hanging="3392"/>
        <w:spacing w:after="0" w:line="435" w:lineRule="auto"/>
        <w:tabs>
          <w:tab w:leader="none" w:pos="791"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15(d) OF THE SECURITIES EXCHANGE ACT OF 1934 For the transition period from _________ to ____________</w:t>
      </w:r>
    </w:p>
    <w:p>
      <w:pPr>
        <w:spacing w:after="0" w:line="1" w:lineRule="exact"/>
        <w:rPr>
          <w:rFonts w:ascii="Arial" w:cs="Arial" w:eastAsia="Arial" w:hAnsi="Arial"/>
          <w:sz w:val="22"/>
          <w:szCs w:val="22"/>
          <w:b w:val="1"/>
          <w:bCs w:val="1"/>
          <w:color w:val="auto"/>
        </w:rPr>
      </w:pPr>
    </w:p>
    <w:p>
      <w:pPr>
        <w:ind w:left="41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Commission File Number 01-34219</w:t>
      </w:r>
    </w:p>
    <w:p>
      <w:pPr>
        <w:spacing w:after="0" w:line="212" w:lineRule="exact"/>
        <w:rPr>
          <w:rFonts w:ascii="Arial" w:cs="Arial" w:eastAsia="Arial" w:hAnsi="Arial"/>
          <w:sz w:val="22"/>
          <w:szCs w:val="22"/>
          <w:b w:val="1"/>
          <w:bCs w:val="1"/>
          <w:color w:val="auto"/>
        </w:rPr>
      </w:pPr>
    </w:p>
    <w:p>
      <w:pPr>
        <w:ind w:left="4360"/>
        <w:spacing w:after="0"/>
        <w:rPr>
          <w:rFonts w:ascii="Arial" w:cs="Arial" w:eastAsia="Arial" w:hAnsi="Arial"/>
          <w:sz w:val="22"/>
          <w:szCs w:val="22"/>
          <w:b w:val="1"/>
          <w:bCs w:val="1"/>
          <w:color w:val="auto"/>
        </w:rPr>
      </w:pPr>
      <w:r>
        <w:rPr>
          <w:rFonts w:ascii="Arial" w:cs="Arial" w:eastAsia="Arial" w:hAnsi="Arial"/>
          <w:sz w:val="22"/>
          <w:szCs w:val="22"/>
          <w:color w:val="auto"/>
        </w:rPr>
        <w:t>_________________________</w:t>
      </w:r>
    </w:p>
    <w:p>
      <w:pPr>
        <w:spacing w:after="0" w:line="308"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DESTINATION XL GROUP, INC. 401(K) HOURLY SAVINGS PLAN</w:t>
      </w:r>
    </w:p>
    <w:p>
      <w:pPr>
        <w:spacing w:after="0" w:line="14" w:lineRule="exact"/>
        <w:rPr>
          <w:sz w:val="24"/>
          <w:szCs w:val="24"/>
          <w:color w:val="auto"/>
        </w:rPr>
      </w:pPr>
    </w:p>
    <w:p>
      <w:pPr>
        <w:jc w:val="center"/>
        <w:ind w:right="-279"/>
        <w:spacing w:after="0"/>
        <w:rPr>
          <w:sz w:val="20"/>
          <w:szCs w:val="20"/>
          <w:color w:val="auto"/>
        </w:rPr>
      </w:pPr>
      <w:r>
        <w:rPr>
          <w:rFonts w:ascii="Arial" w:cs="Arial" w:eastAsia="Arial" w:hAnsi="Arial"/>
          <w:sz w:val="22"/>
          <w:szCs w:val="22"/>
          <w:i w:val="1"/>
          <w:iCs w:val="1"/>
          <w:color w:val="auto"/>
        </w:rPr>
        <w:t>(Full title of the plan)</w:t>
      </w:r>
    </w:p>
    <w:p>
      <w:pPr>
        <w:spacing w:after="0" w:line="182"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DESTINATION XL GROUP, INC.</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555 Turnpike Street</w:t>
      </w:r>
    </w:p>
    <w:p>
      <w:pPr>
        <w:jc w:val="center"/>
        <w:ind w:right="-279"/>
        <w:spacing w:after="0" w:line="230" w:lineRule="auto"/>
        <w:rPr>
          <w:sz w:val="20"/>
          <w:szCs w:val="20"/>
          <w:color w:val="auto"/>
        </w:rPr>
      </w:pPr>
      <w:r>
        <w:rPr>
          <w:rFonts w:ascii="Arial" w:cs="Arial" w:eastAsia="Arial" w:hAnsi="Arial"/>
          <w:sz w:val="22"/>
          <w:szCs w:val="22"/>
          <w:b w:val="1"/>
          <w:bCs w:val="1"/>
          <w:color w:val="auto"/>
        </w:rPr>
        <w:t>Canton, Massachusetts 02021</w:t>
      </w:r>
    </w:p>
    <w:p>
      <w:pPr>
        <w:jc w:val="center"/>
        <w:ind w:right="-279"/>
        <w:spacing w:after="0" w:line="231" w:lineRule="auto"/>
        <w:rPr>
          <w:sz w:val="20"/>
          <w:szCs w:val="20"/>
          <w:color w:val="auto"/>
        </w:rPr>
      </w:pPr>
      <w:r>
        <w:rPr>
          <w:rFonts w:ascii="Arial" w:cs="Arial" w:eastAsia="Arial" w:hAnsi="Arial"/>
          <w:sz w:val="22"/>
          <w:szCs w:val="22"/>
          <w:i w:val="1"/>
          <w:iCs w:val="1"/>
          <w:color w:val="auto"/>
        </w:rPr>
        <w:t>(Name of issuer of the securities held pursuant to the plan and the address</w:t>
      </w:r>
    </w:p>
    <w:p>
      <w:pPr>
        <w:jc w:val="center"/>
        <w:ind w:right="-279"/>
        <w:spacing w:after="0"/>
        <w:rPr>
          <w:sz w:val="20"/>
          <w:szCs w:val="20"/>
          <w:color w:val="auto"/>
        </w:rPr>
      </w:pPr>
      <w:r>
        <w:rPr>
          <w:rFonts w:ascii="Arial" w:cs="Arial" w:eastAsia="Arial" w:hAnsi="Arial"/>
          <w:sz w:val="22"/>
          <w:szCs w:val="22"/>
          <w:i w:val="1"/>
          <w:i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2182495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2199640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625"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80" w:type="dxa"/>
            <w:vAlign w:val="bottom"/>
            <w:gridSpan w:val="5"/>
          </w:tcPr>
          <w:p>
            <w:pPr>
              <w:jc w:val="center"/>
              <w:spacing w:after="0"/>
              <w:rPr>
                <w:sz w:val="20"/>
                <w:szCs w:val="20"/>
                <w:color w:val="auto"/>
              </w:rPr>
            </w:pPr>
            <w:r>
              <w:rPr>
                <w:rFonts w:ascii="Arial" w:cs="Arial" w:eastAsia="Arial" w:hAnsi="Arial"/>
                <w:sz w:val="18"/>
                <w:szCs w:val="18"/>
                <w:color w:val="auto"/>
                <w:w w:val="93"/>
              </w:rPr>
              <w:t>Destination XL Group, Inc. 401(k) Hourly Savings Plan</w:t>
            </w:r>
          </w:p>
        </w:tc>
        <w:tc>
          <w:tcPr>
            <w:tcW w:w="1680" w:type="dxa"/>
            <w:vAlign w:val="bottom"/>
          </w:tcPr>
          <w:p>
            <w:pPr>
              <w:spacing w:after="0"/>
              <w:rPr>
                <w:sz w:val="20"/>
                <w:szCs w:val="20"/>
                <w:color w:val="auto"/>
              </w:rPr>
            </w:pPr>
          </w:p>
        </w:tc>
      </w:tr>
      <w:tr>
        <w:trPr>
          <w:trHeight w:val="418"/>
        </w:trPr>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80" w:type="dxa"/>
            <w:vAlign w:val="bottom"/>
            <w:gridSpan w:val="5"/>
          </w:tcPr>
          <w:p>
            <w:pPr>
              <w:jc w:val="center"/>
              <w:spacing w:after="0"/>
              <w:rPr>
                <w:sz w:val="20"/>
                <w:szCs w:val="20"/>
                <w:color w:val="auto"/>
              </w:rPr>
            </w:pPr>
            <w:r>
              <w:rPr>
                <w:rFonts w:ascii="Arial" w:cs="Arial" w:eastAsia="Arial" w:hAnsi="Arial"/>
                <w:sz w:val="18"/>
                <w:szCs w:val="18"/>
                <w:color w:val="auto"/>
                <w:w w:val="88"/>
              </w:rPr>
              <w:t>Financial Statements and Supplemental Schedule</w:t>
            </w:r>
          </w:p>
        </w:tc>
        <w:tc>
          <w:tcPr>
            <w:tcW w:w="1680" w:type="dxa"/>
            <w:vAlign w:val="bottom"/>
          </w:tcPr>
          <w:p>
            <w:pPr>
              <w:spacing w:after="0"/>
              <w:rPr>
                <w:sz w:val="24"/>
                <w:szCs w:val="24"/>
                <w:color w:val="auto"/>
              </w:rPr>
            </w:pPr>
          </w:p>
        </w:tc>
      </w:tr>
      <w:tr>
        <w:trPr>
          <w:trHeight w:val="230"/>
        </w:trPr>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020" w:type="dxa"/>
            <w:vAlign w:val="bottom"/>
            <w:gridSpan w:val="4"/>
          </w:tcPr>
          <w:p>
            <w:pPr>
              <w:jc w:val="center"/>
              <w:ind w:right="2040"/>
              <w:spacing w:after="0"/>
              <w:rPr>
                <w:sz w:val="20"/>
                <w:szCs w:val="20"/>
                <w:color w:val="auto"/>
              </w:rPr>
            </w:pPr>
            <w:r>
              <w:rPr>
                <w:rFonts w:ascii="Arial" w:cs="Arial" w:eastAsia="Arial" w:hAnsi="Arial"/>
                <w:sz w:val="18"/>
                <w:szCs w:val="18"/>
                <w:color w:val="auto"/>
                <w:w w:val="89"/>
              </w:rPr>
              <w:t>Year Ended December 31, 2014</w:t>
            </w:r>
          </w:p>
        </w:tc>
        <w:tc>
          <w:tcPr>
            <w:tcW w:w="1680" w:type="dxa"/>
            <w:vAlign w:val="bottom"/>
          </w:tcPr>
          <w:p>
            <w:pPr>
              <w:spacing w:after="0"/>
              <w:rPr>
                <w:sz w:val="20"/>
                <w:szCs w:val="20"/>
                <w:color w:val="auto"/>
              </w:rPr>
            </w:pPr>
          </w:p>
        </w:tc>
      </w:tr>
      <w:tr>
        <w:trPr>
          <w:trHeight w:val="540"/>
        </w:trPr>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020" w:type="dxa"/>
            <w:vAlign w:val="bottom"/>
            <w:gridSpan w:val="4"/>
          </w:tcPr>
          <w:p>
            <w:pPr>
              <w:jc w:val="center"/>
              <w:ind w:right="2020"/>
              <w:spacing w:after="0"/>
              <w:rPr>
                <w:sz w:val="20"/>
                <w:szCs w:val="20"/>
                <w:color w:val="auto"/>
              </w:rPr>
            </w:pPr>
            <w:r>
              <w:rPr>
                <w:rFonts w:ascii="Arial" w:cs="Arial" w:eastAsia="Arial" w:hAnsi="Arial"/>
                <w:sz w:val="18"/>
                <w:szCs w:val="18"/>
                <w:b w:val="1"/>
                <w:bCs w:val="1"/>
                <w:color w:val="auto"/>
                <w:w w:val="89"/>
              </w:rPr>
              <w:t>Table of Contents</w:t>
            </w:r>
          </w:p>
        </w:tc>
        <w:tc>
          <w:tcPr>
            <w:tcW w:w="1680" w:type="dxa"/>
            <w:vAlign w:val="bottom"/>
          </w:tcPr>
          <w:p>
            <w:pPr>
              <w:spacing w:after="0"/>
              <w:rPr>
                <w:sz w:val="24"/>
                <w:szCs w:val="24"/>
                <w:color w:val="auto"/>
              </w:rPr>
            </w:pPr>
          </w:p>
        </w:tc>
      </w:tr>
      <w:tr>
        <w:trPr>
          <w:trHeight w:val="500"/>
        </w:trPr>
        <w:tc>
          <w:tcPr>
            <w:tcW w:w="924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1680" w:type="dxa"/>
            <w:vAlign w:val="bottom"/>
          </w:tcPr>
          <w:p>
            <w:pPr>
              <w:ind w:left="1500"/>
              <w:spacing w:after="0"/>
              <w:rPr>
                <w:sz w:val="20"/>
                <w:szCs w:val="20"/>
                <w:color w:val="auto"/>
              </w:rPr>
            </w:pPr>
            <w:r>
              <w:rPr>
                <w:rFonts w:ascii="Arial" w:cs="Arial" w:eastAsia="Arial" w:hAnsi="Arial"/>
                <w:sz w:val="18"/>
                <w:szCs w:val="18"/>
                <w:color w:val="auto"/>
              </w:rPr>
              <w:t>1</w:t>
            </w:r>
          </w:p>
        </w:tc>
      </w:tr>
      <w:tr>
        <w:trPr>
          <w:trHeight w:val="20"/>
        </w:trPr>
        <w:tc>
          <w:tcPr>
            <w:tcW w:w="1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31"/>
        </w:trPr>
        <w:tc>
          <w:tcPr>
            <w:tcW w:w="924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 as of December 31, 2014 and 2013</w:t>
              </w:r>
            </w:hyperlink>
          </w:p>
        </w:tc>
        <w:tc>
          <w:tcPr>
            <w:tcW w:w="1680" w:type="dxa"/>
            <w:vAlign w:val="bottom"/>
          </w:tcPr>
          <w:p>
            <w:pPr>
              <w:ind w:left="1500"/>
              <w:spacing w:after="0"/>
              <w:rPr>
                <w:sz w:val="20"/>
                <w:szCs w:val="20"/>
                <w:color w:val="auto"/>
              </w:rPr>
            </w:pPr>
            <w:r>
              <w:rPr>
                <w:rFonts w:ascii="Arial" w:cs="Arial" w:eastAsia="Arial" w:hAnsi="Arial"/>
                <w:sz w:val="18"/>
                <w:szCs w:val="18"/>
                <w:color w:val="auto"/>
              </w:rPr>
              <w:t>2</w:t>
            </w:r>
          </w:p>
        </w:tc>
      </w:tr>
      <w:tr>
        <w:trPr>
          <w:trHeight w:val="20"/>
        </w:trPr>
        <w:tc>
          <w:tcPr>
            <w:tcW w:w="1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31"/>
        </w:trPr>
        <w:tc>
          <w:tcPr>
            <w:tcW w:w="924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 of Changes in Net Assets Available for Benefits for the Year Ended December 31, 2014</w:t>
              </w:r>
            </w:hyperlink>
          </w:p>
        </w:tc>
        <w:tc>
          <w:tcPr>
            <w:tcW w:w="1680" w:type="dxa"/>
            <w:vAlign w:val="bottom"/>
          </w:tcPr>
          <w:p>
            <w:pPr>
              <w:ind w:left="1500"/>
              <w:spacing w:after="0"/>
              <w:rPr>
                <w:sz w:val="20"/>
                <w:szCs w:val="20"/>
                <w:color w:val="auto"/>
              </w:rPr>
            </w:pPr>
            <w:r>
              <w:rPr>
                <w:rFonts w:ascii="Arial" w:cs="Arial" w:eastAsia="Arial" w:hAnsi="Arial"/>
                <w:sz w:val="18"/>
                <w:szCs w:val="18"/>
                <w:color w:val="auto"/>
              </w:rPr>
              <w:t>3</w:t>
            </w:r>
          </w:p>
        </w:tc>
      </w:tr>
      <w:tr>
        <w:trPr>
          <w:trHeight w:val="331"/>
        </w:trPr>
        <w:tc>
          <w:tcPr>
            <w:tcW w:w="7080" w:type="dxa"/>
            <w:vAlign w:val="bottom"/>
            <w:tcBorders>
              <w:top w:val="single" w:sz="8" w:color="0000EE"/>
            </w:tcBorders>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160" w:type="dxa"/>
            <w:vAlign w:val="bottom"/>
          </w:tcPr>
          <w:p>
            <w:pPr>
              <w:spacing w:after="0"/>
              <w:rPr>
                <w:sz w:val="24"/>
                <w:szCs w:val="24"/>
                <w:color w:val="auto"/>
              </w:rPr>
            </w:pPr>
          </w:p>
        </w:tc>
        <w:tc>
          <w:tcPr>
            <w:tcW w:w="1680" w:type="dxa"/>
            <w:vAlign w:val="bottom"/>
          </w:tcPr>
          <w:p>
            <w:pPr>
              <w:ind w:left="1500"/>
              <w:spacing w:after="0"/>
              <w:rPr>
                <w:sz w:val="20"/>
                <w:szCs w:val="20"/>
                <w:color w:val="auto"/>
              </w:rPr>
            </w:pPr>
            <w:r>
              <w:rPr>
                <w:rFonts w:ascii="Arial" w:cs="Arial" w:eastAsia="Arial" w:hAnsi="Arial"/>
                <w:sz w:val="18"/>
                <w:szCs w:val="18"/>
                <w:color w:val="auto"/>
              </w:rPr>
              <w:t>4</w:t>
            </w:r>
          </w:p>
        </w:tc>
      </w:tr>
      <w:tr>
        <w:trPr>
          <w:trHeight w:val="331"/>
        </w:trPr>
        <w:tc>
          <w:tcPr>
            <w:tcW w:w="2160" w:type="dxa"/>
            <w:vAlign w:val="bottom"/>
            <w:tcBorders>
              <w:top w:val="single" w:sz="8" w:color="0000EE"/>
            </w:tcBorders>
            <w:gridSpan w:val="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Supplemental Schedule</w:t>
              </w:r>
            </w:hyperlink>
          </w:p>
        </w:tc>
        <w:tc>
          <w:tcPr>
            <w:tcW w:w="7080" w:type="dxa"/>
            <w:vAlign w:val="bottom"/>
            <w:gridSpan w:val="5"/>
          </w:tcPr>
          <w:p>
            <w:pPr>
              <w:spacing w:after="0"/>
              <w:rPr>
                <w:sz w:val="24"/>
                <w:szCs w:val="24"/>
                <w:color w:val="auto"/>
              </w:rPr>
            </w:pPr>
          </w:p>
        </w:tc>
        <w:tc>
          <w:tcPr>
            <w:tcW w:w="1680" w:type="dxa"/>
            <w:vAlign w:val="bottom"/>
          </w:tcPr>
          <w:p>
            <w:pPr>
              <w:ind w:left="1500"/>
              <w:spacing w:after="0"/>
              <w:rPr>
                <w:sz w:val="20"/>
                <w:szCs w:val="20"/>
                <w:color w:val="auto"/>
              </w:rPr>
            </w:pPr>
            <w:r>
              <w:rPr>
                <w:rFonts w:ascii="Arial" w:cs="Arial" w:eastAsia="Arial" w:hAnsi="Arial"/>
                <w:sz w:val="18"/>
                <w:szCs w:val="18"/>
                <w:color w:val="auto"/>
                <w:w w:val="79"/>
              </w:rPr>
              <w:t>16</w:t>
            </w:r>
          </w:p>
        </w:tc>
      </w:tr>
      <w:tr>
        <w:trPr>
          <w:trHeight w:val="20"/>
        </w:trPr>
        <w:tc>
          <w:tcPr>
            <w:tcW w:w="1700" w:type="dxa"/>
            <w:vAlign w:val="bottom"/>
            <w:shd w:val="clear" w:color="auto" w:fill="0000EE"/>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31"/>
        </w:trPr>
        <w:tc>
          <w:tcPr>
            <w:tcW w:w="9240" w:type="dxa"/>
            <w:vAlign w:val="bottom"/>
            <w:gridSpan w:val="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Schedule H, Line 4i – Schedule of Assets (Held at End of Year) as of December 31, 2014</w:t>
              </w:r>
            </w:hyperlink>
          </w:p>
        </w:tc>
        <w:tc>
          <w:tcPr>
            <w:tcW w:w="1680" w:type="dxa"/>
            <w:vAlign w:val="bottom"/>
          </w:tcPr>
          <w:p>
            <w:pPr>
              <w:ind w:left="1500"/>
              <w:spacing w:after="0"/>
              <w:rPr>
                <w:sz w:val="20"/>
                <w:szCs w:val="20"/>
                <w:color w:val="auto"/>
              </w:rPr>
            </w:pPr>
            <w:r>
              <w:rPr>
                <w:rFonts w:ascii="Arial" w:cs="Arial" w:eastAsia="Arial" w:hAnsi="Arial"/>
                <w:sz w:val="18"/>
                <w:szCs w:val="18"/>
                <w:color w:val="auto"/>
                <w:w w:val="79"/>
              </w:rPr>
              <w:t>17</w:t>
            </w:r>
          </w:p>
        </w:tc>
      </w:tr>
      <w:tr>
        <w:trPr>
          <w:trHeight w:val="20"/>
        </w:trPr>
        <w:tc>
          <w:tcPr>
            <w:tcW w:w="1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ectPr>
          <w:pgSz w:w="11900" w:h="16838" w:orient="portrait"/>
          <w:cols w:equalWidth="0" w:num="1">
            <w:col w:w="10920"/>
          </w:cols>
          <w:pgMar w:left="240" w:top="341" w:right="7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Hourly Savings Plan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Destination XL Group, Inc. 401(k) Hourly Savings Plan (the “Plan”) as of December 31, 2014 and 2013, and the related statement of changes in net assets available for benefits for the year ended December 31, 2014. These financial statements are the responsibility of the Plan’s management. Our responsibility is to express an opinion on these financial statements based on our audits.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2014 and 2013, and the changes in net assets available for benefits for the year ended December 31, 2014, in conformity with accounting principles generally accepted in the United States of America.</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supplemental information in the accompanying Schedule of Assets (Held at End of Year) as of December 31, 2014 has been subjected to audit procedures performed in conjunction with the audit of the Plan’s financial statements. The supplemental information is presented for the purpose of additional analysis and is not a required part of the financial statements but includes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have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basic financial statements taken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CPAs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New York Practice of Mayer Hoffman McCann P.C.)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Destination XL Group, Inc. 401(k) Hourly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 and 2013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Borders>
              <w:bottom w:val="single" w:sz="8" w:color="CFF0FC"/>
            </w:tcBorders>
          </w:tcPr>
          <w:p>
            <w:pPr>
              <w:spacing w:after="0"/>
              <w:rPr>
                <w:sz w:val="14"/>
                <w:szCs w:val="14"/>
                <w:color w:val="auto"/>
              </w:rPr>
            </w:pPr>
          </w:p>
        </w:tc>
        <w:tc>
          <w:tcPr>
            <w:tcW w:w="20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Investments, at fair value (Notes 3, 4 and 5)</w:t>
            </w:r>
          </w:p>
        </w:tc>
        <w:tc>
          <w:tcPr>
            <w:tcW w:w="2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13,115,177</w:t>
            </w:r>
          </w:p>
        </w:tc>
        <w:tc>
          <w:tcPr>
            <w:tcW w:w="2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12,516,752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Receivables:</w:t>
            </w:r>
          </w:p>
        </w:tc>
        <w:tc>
          <w:tcPr>
            <w:tcW w:w="2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Employer contributions</w:t>
            </w:r>
          </w:p>
        </w:tc>
        <w:tc>
          <w:tcPr>
            <w:tcW w:w="2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408,755</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Notes receivable from participants</w:t>
            </w:r>
          </w:p>
        </w:tc>
        <w:tc>
          <w:tcPr>
            <w:tcW w:w="2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317,774</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380,108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Other</w:t>
            </w:r>
          </w:p>
        </w:tc>
        <w:tc>
          <w:tcPr>
            <w:tcW w:w="2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10,919</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737,448</w:t>
            </w:r>
          </w:p>
        </w:tc>
        <w:tc>
          <w:tcPr>
            <w:tcW w:w="2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740,837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920" w:type="dxa"/>
            <w:vAlign w:val="bottom"/>
            <w:gridSpan w:val="2"/>
          </w:tcPr>
          <w:p>
            <w:pPr>
              <w:spacing w:after="0"/>
              <w:rPr>
                <w:sz w:val="20"/>
                <w:szCs w:val="20"/>
                <w:color w:val="auto"/>
              </w:rPr>
            </w:pPr>
            <w:r>
              <w:rPr>
                <w:rFonts w:ascii="Arial" w:cs="Arial" w:eastAsia="Arial" w:hAnsi="Arial"/>
                <w:sz w:val="18"/>
                <w:szCs w:val="18"/>
                <w:color w:val="auto"/>
              </w:rPr>
              <w:t>Total assets reflecting investments at fair value</w:t>
            </w:r>
          </w:p>
        </w:tc>
        <w:tc>
          <w:tcPr>
            <w:tcW w:w="2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13,852,625</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13,257,589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Adjustment from fair value to contract value for</w:t>
            </w:r>
          </w:p>
        </w:tc>
        <w:tc>
          <w:tcPr>
            <w:tcW w:w="2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fully benefit-responsive investment contracts</w:t>
            </w:r>
          </w:p>
        </w:tc>
        <w:tc>
          <w:tcPr>
            <w:tcW w:w="20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(70,561)</w:t>
            </w:r>
          </w:p>
        </w:tc>
        <w:tc>
          <w:tcPr>
            <w:tcW w:w="4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(76,094)</w:t>
            </w:r>
          </w:p>
        </w:tc>
        <w:tc>
          <w:tcPr>
            <w:tcW w:w="0" w:type="dxa"/>
            <w:vAlign w:val="bottom"/>
          </w:tcPr>
          <w:p>
            <w:pPr>
              <w:spacing w:after="0"/>
              <w:rPr>
                <w:sz w:val="1"/>
                <w:szCs w:val="1"/>
                <w:color w:val="auto"/>
              </w:rPr>
            </w:pPr>
          </w:p>
        </w:tc>
      </w:tr>
      <w:tr>
        <w:trPr>
          <w:trHeight w:val="453"/>
        </w:trPr>
        <w:tc>
          <w:tcPr>
            <w:tcW w:w="592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206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13,782,064</w:t>
            </w:r>
          </w:p>
        </w:tc>
        <w:tc>
          <w:tcPr>
            <w:tcW w:w="22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13,181,495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Destination XL Group, Inc. 401(k) Hourly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Changes in Net Assets Available for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Additions:</w:t>
            </w:r>
          </w:p>
        </w:tc>
        <w:tc>
          <w:tcPr>
            <w:tcW w:w="5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944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Dividend income</w:t>
            </w: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615,257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9440" w:type="dxa"/>
            <w:vAlign w:val="bottom"/>
            <w:gridSpan w:val="2"/>
          </w:tcPr>
          <w:p>
            <w:pPr>
              <w:spacing w:after="0"/>
              <w:rPr>
                <w:sz w:val="20"/>
                <w:szCs w:val="20"/>
                <w:color w:val="auto"/>
              </w:rPr>
            </w:pPr>
            <w:r>
              <w:rPr>
                <w:rFonts w:ascii="Arial" w:cs="Arial" w:eastAsia="Arial" w:hAnsi="Arial"/>
                <w:sz w:val="18"/>
                <w:szCs w:val="18"/>
                <w:color w:val="auto"/>
              </w:rPr>
              <w:t>Interest income on notes receivable from participants</w:t>
            </w:r>
          </w:p>
        </w:tc>
        <w:tc>
          <w:tcPr>
            <w:tcW w:w="5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16,955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20" w:type="dxa"/>
            <w:vAlign w:val="bottom"/>
            <w:shd w:val="clear" w:color="auto" w:fill="CFF0FC"/>
          </w:tcPr>
          <w:p>
            <w:pPr>
              <w:spacing w:after="0"/>
              <w:rPr>
                <w:sz w:val="20"/>
                <w:szCs w:val="20"/>
                <w:color w:val="auto"/>
              </w:rPr>
            </w:pPr>
            <w:r>
              <w:rPr>
                <w:rFonts w:ascii="Arial" w:cs="Arial" w:eastAsia="Arial" w:hAnsi="Arial"/>
                <w:sz w:val="18"/>
                <w:szCs w:val="18"/>
                <w:color w:val="auto"/>
              </w:rPr>
              <w:t>Contributions:</w:t>
            </w:r>
          </w:p>
        </w:tc>
        <w:tc>
          <w:tcPr>
            <w:tcW w:w="5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tcPr>
          <w:p>
            <w:pPr>
              <w:ind w:left="360"/>
              <w:spacing w:after="0"/>
              <w:rPr>
                <w:sz w:val="20"/>
                <w:szCs w:val="20"/>
                <w:color w:val="auto"/>
              </w:rPr>
            </w:pPr>
            <w:r>
              <w:rPr>
                <w:rFonts w:ascii="Arial" w:cs="Arial" w:eastAsia="Arial" w:hAnsi="Arial"/>
                <w:sz w:val="18"/>
                <w:szCs w:val="18"/>
                <w:color w:val="auto"/>
              </w:rPr>
              <w:t>Participants</w:t>
            </w: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818,525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Employer</w:t>
            </w:r>
          </w:p>
        </w:tc>
        <w:tc>
          <w:tcPr>
            <w:tcW w:w="5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409,133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Rollovers</w:t>
            </w: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1,296,294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9440" w:type="dxa"/>
            <w:vAlign w:val="bottom"/>
            <w:gridSpan w:val="2"/>
          </w:tcPr>
          <w:p>
            <w:pPr>
              <w:spacing w:after="0"/>
              <w:rPr>
                <w:sz w:val="20"/>
                <w:szCs w:val="20"/>
                <w:color w:val="auto"/>
              </w:rPr>
            </w:pPr>
            <w:r>
              <w:rPr>
                <w:rFonts w:ascii="Arial" w:cs="Arial" w:eastAsia="Arial" w:hAnsi="Arial"/>
                <w:sz w:val="18"/>
                <w:szCs w:val="18"/>
                <w:color w:val="auto"/>
              </w:rPr>
              <w:t>Transfers into the Plan (Note 1)</w:t>
            </w:r>
          </w:p>
        </w:tc>
        <w:tc>
          <w:tcPr>
            <w:tcW w:w="5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398,579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additions</w:t>
            </w: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2,327,085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Deductions:</w:t>
            </w: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20" w:type="dxa"/>
            <w:vAlign w:val="bottom"/>
            <w:shd w:val="clear" w:color="auto" w:fill="CFF0FC"/>
          </w:tcPr>
          <w:p>
            <w:pPr>
              <w:spacing w:after="0"/>
              <w:rPr>
                <w:sz w:val="20"/>
                <w:szCs w:val="20"/>
                <w:color w:val="auto"/>
              </w:rPr>
            </w:pPr>
            <w:r>
              <w:rPr>
                <w:rFonts w:ascii="Arial" w:cs="Arial" w:eastAsia="Arial" w:hAnsi="Arial"/>
                <w:sz w:val="18"/>
                <w:szCs w:val="18"/>
                <w:color w:val="auto"/>
              </w:rPr>
              <w:t>Net depreciation in fair value of investments (Note 3)</w:t>
            </w:r>
          </w:p>
        </w:tc>
        <w:tc>
          <w:tcPr>
            <w:tcW w:w="5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Benefits paid to participants</w:t>
            </w: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1,427,227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shd w:val="clear" w:color="auto" w:fill="CFF0FC"/>
          </w:tcPr>
          <w:p>
            <w:pPr>
              <w:spacing w:after="0"/>
              <w:rPr>
                <w:sz w:val="20"/>
                <w:szCs w:val="20"/>
                <w:color w:val="auto"/>
              </w:rPr>
            </w:pPr>
            <w:r>
              <w:rPr>
                <w:rFonts w:ascii="Arial" w:cs="Arial" w:eastAsia="Arial" w:hAnsi="Arial"/>
                <w:sz w:val="18"/>
                <w:szCs w:val="18"/>
                <w:color w:val="auto"/>
              </w:rPr>
              <w:t>Transfers out of the Plan (Note 1)</w:t>
            </w:r>
          </w:p>
        </w:tc>
        <w:tc>
          <w:tcPr>
            <w:tcW w:w="5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Administrative fees</w:t>
            </w: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shd w:val="clear" w:color="auto" w:fill="CFF0FC"/>
          </w:tcPr>
          <w:p>
            <w:pPr>
              <w:spacing w:after="0"/>
              <w:rPr>
                <w:sz w:val="20"/>
                <w:szCs w:val="20"/>
                <w:color w:val="auto"/>
              </w:rPr>
            </w:pPr>
            <w:r>
              <w:rPr>
                <w:rFonts w:ascii="Arial" w:cs="Arial" w:eastAsia="Arial" w:hAnsi="Arial"/>
                <w:sz w:val="18"/>
                <w:szCs w:val="18"/>
                <w:color w:val="auto"/>
              </w:rPr>
              <w:t>Total deductions</w:t>
            </w:r>
          </w:p>
        </w:tc>
        <w:tc>
          <w:tcPr>
            <w:tcW w:w="5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1,726,516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9440" w:type="dxa"/>
            <w:vAlign w:val="bottom"/>
            <w:gridSpan w:val="2"/>
          </w:tcPr>
          <w:p>
            <w:pPr>
              <w:spacing w:after="0"/>
              <w:rPr>
                <w:sz w:val="20"/>
                <w:szCs w:val="20"/>
                <w:color w:val="auto"/>
              </w:rPr>
            </w:pPr>
            <w:r>
              <w:rPr>
                <w:rFonts w:ascii="Arial" w:cs="Arial" w:eastAsia="Arial" w:hAnsi="Arial"/>
                <w:sz w:val="18"/>
                <w:szCs w:val="18"/>
                <w:color w:val="auto"/>
              </w:rPr>
              <w:t>Net increase</w:t>
            </w:r>
          </w:p>
        </w:tc>
        <w:tc>
          <w:tcPr>
            <w:tcW w:w="5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600,569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20" w:type="dxa"/>
            <w:vAlign w:val="bottom"/>
            <w:shd w:val="clear" w:color="auto" w:fill="CFF0FC"/>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5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13,181,495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944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end of year</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13,782,064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Destination XL Group, Inc. 401(k) Hourly Savings Plan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description of Destination XL Group, Inc. 401(k) Hourly Savings Plan (the “Plan”) provides only general information. Participants should refer to the Plan document for a more complete description of the Plan’s provisions.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Plan is a defined contribution plan covering eligible employees of Destination XL Group, Inc. (the “Company”). The Plan is subject to the provisions of the Employee Retirement Income Security Act of 1974 (“ERISA”).</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Plan is administered by the Company’s Investment Committee (“Committee”), which is a committee comprised of members of management of the Company. The Committee has overall responsibility for the operation and administration of the Plan. The Committee, along with its investment advisors, has developed an investment policy to determine the appropriateness of the Plan’s investment offerings and monitors investment performance.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All hourly employees of the Company who have completed one year of employment, worked 1,000 hours in one year, and are at least 21 years of age are eligible to participate in the Plan. After completing age and service requirements, the employee can enter the Plan on the first day of any subsequent month.</w:t>
      </w:r>
    </w:p>
    <w:p>
      <w:pPr>
        <w:spacing w:after="0" w:line="1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participants change positions at the Company, they may change from an hourly to salary status or vice versa. Assets transferred to the Destination XL Group, Inc. 401(k) Salaried Savings Plan during the year ended December 31, 2014 were $197,461. Assets transferred from the Destination XL Group, Inc. 401(k) Salaried Savings Plan during the year ended December 31, 2014 were $398,579.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11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Each year, participants may contribute up to 80% of annual compensation as defined in the Plan. The participants can elect their contributions to be on a before tax and/or after tax basis. Participants may also contribute amounts representing distributions from other qualified defined benefit or defined contributions plans. Additionally, participants who have attained age 50 before the end of the plan year are eligible to make catch-up contributions. Contributions are subject to certain Internal Revenue Code (“Code”) limitations.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33"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color w:val="auto"/>
        </w:rPr>
        <w:t>Destination XL Group, Inc. 401(k) Hourly Savings Plan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 (continued)</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Safe Harbor Matching provisions permitted under the Pension Protection Act of 2006, the Company matches 100% of the participant’s elective deferral for the first 1% of eligible compensation plus 50% of the participant’s elective deferral for the next 5% of eligible compensation. Additional amounts may be contributed at the discretion of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Automatic Enrollment</w:t>
      </w:r>
    </w:p>
    <w:p>
      <w:pPr>
        <w:spacing w:after="0" w:line="117"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Each employee who has satisfied the eligibility requirements shall be automatically enrolled and shall have an amount equal to 3% of their compensation automatically deducted unless the employee affirmatively elects a different elective deferral contribution percentage (including a zero percent</w:t>
      </w:r>
    </w:p>
    <w:p>
      <w:pPr>
        <w:ind w:right="120"/>
        <w:spacing w:after="0" w:line="261" w:lineRule="auto"/>
        <w:rPr>
          <w:sz w:val="20"/>
          <w:szCs w:val="20"/>
          <w:color w:val="auto"/>
        </w:rPr>
      </w:pPr>
      <w:r>
        <w:rPr>
          <w:rFonts w:ascii="Arial" w:cs="Arial" w:eastAsia="Arial" w:hAnsi="Arial"/>
          <w:sz w:val="18"/>
          <w:szCs w:val="18"/>
          <w:color w:val="auto"/>
        </w:rPr>
        <w:t>election). Unless an eligible employee affirmatively elects not to contribute or changes his or her deferral rate, the pre-tax deferral will increase annually by 1% not to exceed 10%.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Accounts</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Each participant’s account is credited with the participant’s contributions, the Company’s matching and discretionary contribution, plan earnings and charged with an allocation of plan expenses. The plan expenses are divided equally to all participants. The benefits to which a participant is entitled are the benefits that can be provided from the participant’s vested account.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Participants are immediately vested in their contributions plus actual earnings thereon. Vesting in the Company contribution portion of their accounts plus actual earnings thereon, is based on each participant’s years of continuous service. A participant is 100% vested after two years of credited service.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Forfeitures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Amounts forfeited under the Plan are used to reduce future employer contributions and administrative expenses. At December 31, 2014 and 2013, forfeited non-vested accounts totaled $28,127 and $11,608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5" w:right="27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color w:val="auto"/>
        </w:rPr>
        <w:t>Destination XL Group, Inc. 401(k) Hourly Savings Plan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Upon enrollment in the Plan, participants may direct their elective contribution and Company contributions into various investment options offered by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Participants may borrow the lesser of $50,000 reduced by the individual’s highest outstanding loan balance during the preceding twelve months or 50% of the individual’s vested balance with a minimum of $1,000 per loan. Loans are secured by the balance in the participant’s account and bear interest at rates which are commensurate with local prevailing rates as determined by The Plan Administrator at the inception of the loan (currently prime rate plus</w:t>
      </w:r>
    </w:p>
    <w:p>
      <w:pPr>
        <w:ind w:right="40"/>
        <w:spacing w:after="0" w:line="255" w:lineRule="auto"/>
        <w:rPr>
          <w:sz w:val="20"/>
          <w:szCs w:val="20"/>
          <w:color w:val="auto"/>
        </w:rPr>
      </w:pPr>
      <w:r>
        <w:rPr>
          <w:rFonts w:ascii="Arial" w:cs="Arial" w:eastAsia="Arial" w:hAnsi="Arial"/>
          <w:sz w:val="18"/>
          <w:szCs w:val="18"/>
          <w:color w:val="auto"/>
        </w:rPr>
        <w:t>1.5%). Loan terms range from one to five years unless the loan is used to purchase a primary residence, in which case the loan may be repaid over a ten-year period. Other restrictions, as specified in the Plan agreement, may apply to a participant’s loan transaction. Principal and interest are paid ratably through payroll deductions.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Distributions can be made if requested due to disability, retirement, or termination of employment. Upon termination of service for any reason, a participant may receive a lump-sum amount equal to the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Beneficiaries may request a distribution of the vested account balance in the event of death. The account balance will continue to increase or decrease, as appropriate, based on the investment returns until it is distributed.</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distribution can be deferred to a later date, however, it cannot be postponed if the vested account balance is $5,000 or less; in which case the Plan Administrator will direct the Trustee that any amount exceeding $1,000 be distributed to an Individual Retirement Account or Annuity (“IRA”). If the vested account balance is $1,000 or less, the Plan Administrator will direct the Trustee to distribute it as a lump sum distribution without the participant’s consent. Prior to such distribution, participants still have the right to request that the amount be distributed directly to them in the form of a lump sum payment or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8" w:name="page9"/>
    <w:bookmarkEnd w:id="8"/>
    <w:p>
      <w:pPr>
        <w:jc w:val="center"/>
        <w:ind w:right="-139"/>
        <w:spacing w:after="0"/>
        <w:rPr>
          <w:sz w:val="20"/>
          <w:szCs w:val="20"/>
          <w:color w:val="auto"/>
        </w:rPr>
      </w:pPr>
      <w:r>
        <w:rPr>
          <w:rFonts w:ascii="Arial" w:cs="Arial" w:eastAsia="Arial" w:hAnsi="Arial"/>
          <w:sz w:val="18"/>
          <w:szCs w:val="18"/>
          <w:color w:val="auto"/>
        </w:rPr>
        <w:t>Destination XL Group, Inc. 401(k) Hourly Savings Plan</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 (continued)</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 request that it be rolled-over to a different IRA provider or another retirement plan eligible to receive rollover contributions. If the participant fails to request a different treatment of an automatic distribution under the Plan’s cash-out provision, the distribution will be paid over to an IRA provider chosen by the Plan Administrator and invested in a product designed to preserve the principal of that distribution while still providing a reasonable rate of return and preserving liquidity. The fees assessed against this newly established IRA by its provider will be paid by the participant.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Termination</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Fidelity Advisor Stable Value Fund invests in fully benefit-responsive investment contracts which are reported at fair value (see Note 5); however, contract value is the relevant measurement attribute for that portion of the net assets available for benefits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investment contracts as well as the adjustment of the fully benefit-responsive investment contracts from fair value to contract value. The Statement of Changes in Net Assets Available for Benefits is prepared on a contract value basis.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 and Income Recognition</w:t>
      </w:r>
    </w:p>
    <w:p>
      <w:pPr>
        <w:spacing w:after="0" w:line="11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Investments are stated at fair value. Fair value is the price that would be received to sell an asset or paid to transfer a liability in an orderly transaction between market participants at the measurement date. The Committee determines the Plan’s valuation policies utilizing information provided by the investment advisers and trustee. See Note 5 for further discussion of fair value measurements.</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240" w:top="125" w:right="37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color w:val="auto"/>
        </w:rPr>
        <w:t>Destination XL Group, Inc. 401(k) Hourly Savings Plan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 and Income Recognition (continued)</w:t>
      </w:r>
    </w:p>
    <w:p>
      <w:pPr>
        <w:spacing w:after="0" w:line="11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Purchases and sales of securities are recorded on a trade-date basis. Interest income is recorded on the accrual basis. Dividends are recorded on the ex-dividend date. Net depreciation includes the plan’s gains and losses on investments bought and sold as well as held during the year.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Notes receivable from participants are measured at their unpaid principal balance plus accrued but unpaid interest. Interest income is recorded on the accrual basis. Related fees are recorded as administrative expenses and are expensed when they are incurred. No allowance for credit losses has been recorded as of December 31, 2014 and 2013. If a participant ceases to make loan repayments and the Plan Administrator deems the participant loan to be in default, the participant loan balance is reduced and a benefit payment is recorded.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 Values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Individual participant accounts for the Fidelity Advisor Stable Value Fund, a common/collective trust fund, are maintained on a unit value basis. Participants do not have beneficial ownership in the specific underlying securities or other assets in the fund, but do have an interest therein represented by units valued daily. The fund earns dividends and interest which are automatically reinvested in additional units. Generally, contributions to and withdrawals from each fund are converted to units by dividing the amounts of such transactions by the unit values as last determined, and the participants’ accounts are charged or credited with the number of units properly attributable to each participant.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25" w:right="31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color w:val="auto"/>
        </w:rPr>
        <w:t>Destination XL Group, Inc. 401(k) Hourly Savings Plan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Expenses</w:t>
      </w:r>
    </w:p>
    <w:p>
      <w:pPr>
        <w:spacing w:after="0" w:line="11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accordance with the Plan, all administrative expenses may be paid out of the Plan unless paid by the Company. During 2014, there were no expenses paid by the Company. Fees related to the administration of notes receivable from participants are charged directly to the participant’s account and are included in administrative expenses. Investment related expenses are included in net depreciation of fair value of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 </w:t>
      </w:r>
      <w:r>
        <w:rPr>
          <w:rFonts w:ascii="Arial" w:cs="Arial" w:eastAsia="Arial" w:hAnsi="Arial"/>
          <w:sz w:val="18"/>
          <w:szCs w:val="18"/>
          <w:u w:val="single" w:color="auto"/>
          <w:color w:val="auto"/>
        </w:rPr>
        <w:t>Investments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2014, the Plan’s investments (including gains and losses on investments bought and sold, as well as held during the year) depreciated in fair value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Mutual Funds</w:t>
            </w:r>
          </w:p>
        </w:tc>
        <w:tc>
          <w:tcPr>
            <w:tcW w:w="1100" w:type="dxa"/>
            <w:vAlign w:val="bottom"/>
            <w:gridSpan w:val="2"/>
            <w:shd w:val="clear" w:color="auto" w:fill="CFF0FC"/>
          </w:tcPr>
          <w:p>
            <w:pPr>
              <w:jc w:val="right"/>
              <w:ind w:right="327"/>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FF0FC"/>
          </w:tcPr>
          <w:p>
            <w:pPr>
              <w:ind w:left="100"/>
              <w:spacing w:after="0"/>
              <w:rPr>
                <w:sz w:val="20"/>
                <w:szCs w:val="20"/>
                <w:color w:val="auto"/>
              </w:rPr>
            </w:pPr>
            <w:r>
              <w:rPr>
                <w:rFonts w:ascii="Arial" w:cs="Arial" w:eastAsia="Arial" w:hAnsi="Arial"/>
                <w:sz w:val="18"/>
                <w:szCs w:val="18"/>
                <w:color w:val="auto"/>
                <w:w w:val="95"/>
              </w:rPr>
              <w:t>(63,103)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Common Stock</w:t>
            </w: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gridSpan w:val="4"/>
          </w:tcPr>
          <w:p>
            <w:pPr>
              <w:ind w:left="100"/>
              <w:spacing w:after="0"/>
              <w:rPr>
                <w:sz w:val="20"/>
                <w:szCs w:val="20"/>
                <w:color w:val="auto"/>
              </w:rPr>
            </w:pPr>
            <w:r>
              <w:rPr>
                <w:rFonts w:ascii="Arial" w:cs="Arial" w:eastAsia="Arial" w:hAnsi="Arial"/>
                <w:sz w:val="18"/>
                <w:szCs w:val="18"/>
                <w:color w:val="auto"/>
                <w:w w:val="95"/>
              </w:rPr>
              <w:t>(13,019)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3"/>
            <w:shd w:val="clear" w:color="auto" w:fill="CFF0FC"/>
          </w:tcPr>
          <w:p>
            <w:pPr>
              <w:ind w:left="100"/>
              <w:spacing w:after="0"/>
              <w:rPr>
                <w:sz w:val="20"/>
                <w:szCs w:val="20"/>
                <w:color w:val="auto"/>
              </w:rPr>
            </w:pPr>
            <w:r>
              <w:rPr>
                <w:rFonts w:ascii="Arial" w:cs="Arial" w:eastAsia="Arial" w:hAnsi="Arial"/>
                <w:sz w:val="18"/>
                <w:szCs w:val="18"/>
                <w:color w:val="auto"/>
                <w:w w:val="80"/>
              </w:rPr>
              <w:t>(76,122)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color w:val="auto"/>
                <w:w w:val="91"/>
              </w:rPr>
              <w:t>Investments that represent 5% or more of the Plan’s net assets available for benefits are as follows:</w:t>
            </w:r>
          </w:p>
        </w:tc>
        <w:tc>
          <w:tcPr>
            <w:tcW w:w="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8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720" w:type="dxa"/>
            <w:vAlign w:val="bottom"/>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498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gridSpan w:val="2"/>
          </w:tcPr>
          <w:p>
            <w:pPr>
              <w:jc w:val="right"/>
              <w:ind w:right="327"/>
              <w:spacing w:after="0"/>
              <w:rPr>
                <w:sz w:val="20"/>
                <w:szCs w:val="20"/>
                <w:color w:val="auto"/>
              </w:rPr>
            </w:pPr>
            <w:r>
              <w:rPr>
                <w:rFonts w:ascii="Arial" w:cs="Arial" w:eastAsia="Arial" w:hAnsi="Arial"/>
                <w:sz w:val="14"/>
                <w:szCs w:val="14"/>
                <w:color w:val="auto"/>
              </w:rPr>
              <w:t>2014</w:t>
            </w:r>
          </w:p>
        </w:tc>
        <w:tc>
          <w:tcPr>
            <w:tcW w:w="1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color w:val="auto"/>
                <w:w w:val="96"/>
              </w:rPr>
              <w:t>2013</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Fidelity Advisor Stable Value Fund *</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3,975,320</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9"/>
              </w:rPr>
              <w:t>3,921,660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JP Morgan Equity Index Select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1,123,820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Fidelity Advisor Freedom 2005 I</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846,395</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Fidelity Advisor Freedom 2010 I</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805,913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JP Morgan Equity Index A</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9"/>
              </w:rPr>
              <w:t>1,311,319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Fidelity Advisor Freedom 2005 A</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996,173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Fidelity Advisor Freedom 2010 A</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790,105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Fidelity Advisor New Insights A</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693,143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The amount represents contract value for this investment.</w:t>
      </w:r>
    </w:p>
    <w:p>
      <w:pPr>
        <w:spacing w:after="0" w:line="225" w:lineRule="exact"/>
        <w:rPr>
          <w:sz w:val="20"/>
          <w:szCs w:val="20"/>
          <w:color w:val="auto"/>
        </w:rPr>
      </w:pPr>
    </w:p>
    <w:p>
      <w:pPr>
        <w:ind w:right="6700" w:firstLine="8"/>
        <w:spacing w:after="0" w:line="501"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Plan did not have any investment in this fund at year end. Note 4 – </w:t>
      </w:r>
      <w:r>
        <w:rPr>
          <w:rFonts w:ascii="Arial" w:cs="Arial" w:eastAsia="Arial" w:hAnsi="Arial"/>
          <w:sz w:val="18"/>
          <w:szCs w:val="18"/>
          <w:u w:val="single" w:color="auto"/>
          <w:color w:val="auto"/>
        </w:rPr>
        <w:t>Non Participant Directed Investments</w:t>
      </w:r>
    </w:p>
    <w:p>
      <w:pPr>
        <w:spacing w:after="0"/>
        <w:rPr>
          <w:rFonts w:ascii="Arial" w:cs="Arial" w:eastAsia="Arial" w:hAnsi="Arial"/>
          <w:sz w:val="18"/>
          <w:szCs w:val="18"/>
          <w:color w:val="auto"/>
        </w:rPr>
      </w:pPr>
      <w:r>
        <w:rPr>
          <w:rFonts w:ascii="Arial" w:cs="Arial" w:eastAsia="Arial" w:hAnsi="Arial"/>
          <w:sz w:val="16"/>
          <w:szCs w:val="16"/>
          <w:color w:val="auto"/>
        </w:rPr>
        <w:t>Information about the net assets and the significant components of the changes in net assets relating to the non participant directed investments are as follows: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18"/>
          <w:szCs w:val="18"/>
          <w:color w:val="auto"/>
        </w:rPr>
        <w:t>Destination XL Group, Inc. 401(k) Hourly Savings Plan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 </w:t>
      </w:r>
      <w:r>
        <w:rPr>
          <w:rFonts w:ascii="Arial" w:cs="Arial" w:eastAsia="Arial" w:hAnsi="Arial"/>
          <w:sz w:val="18"/>
          <w:szCs w:val="18"/>
          <w:u w:val="single" w:color="auto"/>
          <w:color w:val="auto"/>
        </w:rPr>
        <w:t>Non Participant Directed Investments (continued)</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jc w:val="right"/>
              <w:ind w:right="280"/>
              <w:spacing w:after="0"/>
              <w:rPr>
                <w:sz w:val="20"/>
                <w:szCs w:val="20"/>
                <w:color w:val="auto"/>
              </w:rPr>
            </w:pPr>
            <w:r>
              <w:rPr>
                <w:rFonts w:ascii="Arial" w:cs="Arial" w:eastAsia="Arial" w:hAnsi="Arial"/>
                <w:sz w:val="14"/>
                <w:szCs w:val="14"/>
                <w:color w:val="auto"/>
              </w:rPr>
              <w:t>December 31,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580" w:type="dxa"/>
            <w:vAlign w:val="bottom"/>
            <w:tcBorders>
              <w:bottom w:val="single" w:sz="8" w:color="CFF0FC"/>
            </w:tcBorders>
          </w:tcPr>
          <w:p>
            <w:pPr>
              <w:spacing w:after="0"/>
              <w:rPr>
                <w:sz w:val="14"/>
                <w:szCs w:val="14"/>
                <w:color w:val="auto"/>
              </w:rPr>
            </w:pPr>
          </w:p>
        </w:tc>
        <w:tc>
          <w:tcPr>
            <w:tcW w:w="49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4"/>
                <w:szCs w:val="14"/>
                <w:color w:val="auto"/>
              </w:rPr>
              <w:t>2014</w:t>
            </w:r>
          </w:p>
        </w:tc>
        <w:tc>
          <w:tcPr>
            <w:tcW w:w="14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color w:val="auto"/>
              </w:rPr>
              <w:t>2013</w:t>
            </w:r>
          </w:p>
        </w:tc>
        <w:tc>
          <w:tcPr>
            <w:tcW w:w="80" w:type="dxa"/>
            <w:vAlign w:val="bottom"/>
            <w:tcBorders>
              <w:bottom w:val="single" w:sz="8" w:color="CFF0FC"/>
            </w:tcBorders>
          </w:tcPr>
          <w:p>
            <w:pPr>
              <w:spacing w:after="0"/>
              <w:rPr>
                <w:sz w:val="14"/>
                <w:szCs w:val="14"/>
                <w:color w:val="auto"/>
              </w:rPr>
            </w:pPr>
          </w:p>
        </w:tc>
      </w:tr>
      <w:tr>
        <w:trPr>
          <w:trHeight w:val="223"/>
        </w:trPr>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Assets: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560" w:type="dxa"/>
            <w:vAlign w:val="bottom"/>
            <w:gridSpan w:val="2"/>
          </w:tcPr>
          <w:p>
            <w:pPr>
              <w:ind w:left="380"/>
              <w:spacing w:after="0"/>
              <w:rPr>
                <w:sz w:val="20"/>
                <w:szCs w:val="20"/>
                <w:color w:val="auto"/>
              </w:rPr>
            </w:pPr>
            <w:r>
              <w:rPr>
                <w:rFonts w:ascii="Arial" w:cs="Arial" w:eastAsia="Arial" w:hAnsi="Arial"/>
                <w:sz w:val="18"/>
                <w:szCs w:val="18"/>
                <w:color w:val="auto"/>
              </w:rPr>
              <w:t>Fidelity Advisor Stable Value Fund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28,127</w:t>
            </w:r>
          </w:p>
        </w:tc>
        <w:tc>
          <w:tcPr>
            <w:tcW w:w="140" w:type="dxa"/>
            <w:vAlign w:val="bottom"/>
          </w:tcPr>
          <w:p>
            <w:pPr>
              <w:spacing w:after="0"/>
              <w:rPr>
                <w:sz w:val="20"/>
                <w:szCs w:val="20"/>
                <w:color w:val="auto"/>
              </w:rPr>
            </w:pPr>
          </w:p>
        </w:tc>
        <w:tc>
          <w:tcPr>
            <w:tcW w:w="520" w:type="dxa"/>
            <w:vAlign w:val="bottom"/>
          </w:tcPr>
          <w:p>
            <w:pPr>
              <w:jc w:val="right"/>
              <w:ind w:right="355"/>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11,608</w:t>
            </w:r>
          </w:p>
        </w:tc>
        <w:tc>
          <w:tcPr>
            <w:tcW w:w="80" w:type="dxa"/>
            <w:vAlign w:val="bottom"/>
          </w:tcPr>
          <w:p>
            <w:pPr>
              <w:spacing w:after="0"/>
              <w:rPr>
                <w:sz w:val="20"/>
                <w:szCs w:val="20"/>
                <w:color w:val="auto"/>
              </w:rPr>
            </w:pPr>
          </w:p>
        </w:tc>
      </w:tr>
      <w:tr>
        <w:trPr>
          <w:trHeight w:val="372"/>
        </w:trPr>
        <w:tc>
          <w:tcPr>
            <w:tcW w:w="5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4"/>
          </w:tcPr>
          <w:p>
            <w:pPr>
              <w:jc w:val="right"/>
              <w:ind w:right="340"/>
              <w:spacing w:after="0"/>
              <w:rPr>
                <w:sz w:val="20"/>
                <w:szCs w:val="20"/>
                <w:color w:val="auto"/>
              </w:rPr>
            </w:pPr>
            <w:r>
              <w:rPr>
                <w:rFonts w:ascii="Arial" w:cs="Arial" w:eastAsia="Arial" w:hAnsi="Arial"/>
                <w:sz w:val="14"/>
                <w:szCs w:val="14"/>
                <w:color w:val="auto"/>
              </w:rPr>
              <w:t>Year Ended</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5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color w:val="auto"/>
                <w:w w:val="95"/>
              </w:rPr>
              <w:t>December 31, 2014</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Changes in Net Assets:</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Dividend income</w:t>
            </w:r>
          </w:p>
        </w:tc>
        <w:tc>
          <w:tcPr>
            <w:tcW w:w="260" w:type="dxa"/>
            <w:vAlign w:val="bottom"/>
          </w:tcPr>
          <w:p>
            <w:pPr>
              <w:spacing w:after="0"/>
              <w:rPr>
                <w:sz w:val="19"/>
                <w:szCs w:val="19"/>
                <w:color w:val="auto"/>
              </w:rPr>
            </w:pPr>
          </w:p>
        </w:tc>
        <w:tc>
          <w:tcPr>
            <w:tcW w:w="84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Current year forfeitures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15,662</w:t>
            </w:r>
          </w:p>
        </w:tc>
        <w:tc>
          <w:tcPr>
            <w:tcW w:w="100" w:type="dxa"/>
            <w:vAlign w:val="bottom"/>
            <w:tcBorders>
              <w:right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Contribution</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Administrative Fees</w:t>
            </w:r>
          </w:p>
        </w:tc>
        <w:tc>
          <w:tcPr>
            <w:tcW w:w="260" w:type="dxa"/>
            <w:vAlign w:val="bottom"/>
            <w:shd w:val="clear" w:color="auto" w:fill="CFF0FC"/>
          </w:tcPr>
          <w:p>
            <w:pPr>
              <w:spacing w:after="0"/>
              <w:rPr>
                <w:sz w:val="19"/>
                <w:szCs w:val="19"/>
                <w:color w:val="auto"/>
              </w:rPr>
            </w:pPr>
          </w:p>
        </w:tc>
        <w:tc>
          <w:tcPr>
            <w:tcW w:w="84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16,519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The Plan measures fair value in accordance with Financial Accounting Standards Board (“FASB”) Accounting Standards Codification (“ASC”) 820, </w:t>
      </w:r>
      <w:r>
        <w:rPr>
          <w:rFonts w:ascii="Arial" w:cs="Arial" w:eastAsia="Arial" w:hAnsi="Arial"/>
          <w:sz w:val="16"/>
          <w:szCs w:val="16"/>
          <w:i w:val="1"/>
          <w:iCs w:val="1"/>
          <w:color w:val="auto"/>
        </w:rPr>
        <w:t>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Measurement</w:t>
      </w:r>
      <w:r>
        <w:rPr>
          <w:rFonts w:ascii="Arial" w:cs="Arial" w:eastAsia="Arial" w:hAnsi="Arial"/>
          <w:sz w:val="16"/>
          <w:szCs w:val="16"/>
          <w:color w:val="auto"/>
        </w:rPr>
        <w:t>, which provides a fair value hierarchy that prioritizes the inputs to valuation techniques used to measure fair value. The hierarchy gives</w:t>
      </w:r>
      <w:r>
        <w:rPr>
          <w:rFonts w:ascii="Arial" w:cs="Arial" w:eastAsia="Arial" w:hAnsi="Arial"/>
          <w:sz w:val="16"/>
          <w:szCs w:val="16"/>
          <w:i w:val="1"/>
          <w:iCs w:val="1"/>
          <w:color w:val="auto"/>
        </w:rPr>
        <w:t xml:space="preserve"> </w:t>
      </w:r>
      <w:r>
        <w:rPr>
          <w:rFonts w:ascii="Arial" w:cs="Arial" w:eastAsia="Arial" w:hAnsi="Arial"/>
          <w:sz w:val="16"/>
          <w:szCs w:val="16"/>
          <w:color w:val="auto"/>
        </w:rPr>
        <w:t>the highest priority to unadjusted quoted prices in active markets for identical assets or liabilities (Level 1 measurements) and the lowest priority to unobservable inputs (Level 3 measurements). The three levels of the fair value hierarchy under FASB ASC 820 are described as follows:</w:t>
      </w:r>
    </w:p>
    <w:p>
      <w:pPr>
        <w:sectPr>
          <w:pgSz w:w="11900" w:h="16838" w:orient="portrait"/>
          <w:cols w:equalWidth="0" w:num="1">
            <w:col w:w="11340"/>
          </w:cols>
          <w:pgMar w:left="240" w:top="125" w:right="31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Level 1</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Inputs to the valuation methodology are unadjusted quoted prices for identical assets or liabilities in active markets that the Plan has the ability to access.</w:t>
      </w:r>
    </w:p>
    <w:p>
      <w:pPr>
        <w:spacing w:after="0" w:line="170" w:lineRule="exact"/>
        <w:rPr>
          <w:sz w:val="20"/>
          <w:szCs w:val="20"/>
          <w:color w:val="auto"/>
        </w:rPr>
      </w:pPr>
    </w:p>
    <w:p>
      <w:pPr>
        <w:sectPr>
          <w:pgSz w:w="11900" w:h="16838" w:orient="portrait"/>
          <w:cols w:equalWidth="0" w:num="2">
            <w:col w:w="840" w:space="720"/>
            <w:col w:w="9780"/>
          </w:cols>
          <w:pgMar w:left="240" w:top="125" w:right="319" w:bottom="1440" w:gutter="0" w:footer="0" w:header="0"/>
          <w:type w:val="continuous"/>
        </w:sectPr>
      </w:pPr>
    </w:p>
    <w:p>
      <w:pPr>
        <w:spacing w:after="0"/>
        <w:rPr>
          <w:sz w:val="20"/>
          <w:szCs w:val="20"/>
          <w:color w:val="auto"/>
        </w:rPr>
      </w:pPr>
      <w:r>
        <w:rPr>
          <w:rFonts w:ascii="Arial" w:cs="Arial" w:eastAsia="Arial" w:hAnsi="Arial"/>
          <w:sz w:val="17"/>
          <w:szCs w:val="17"/>
          <w:color w:val="auto"/>
        </w:rPr>
        <w:t>Level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Inputs to the valuation methodology include:</w:t>
      </w:r>
    </w:p>
    <w:p>
      <w:pPr>
        <w:spacing w:after="0" w:line="140" w:lineRule="exact"/>
        <w:rPr>
          <w:sz w:val="20"/>
          <w:szCs w:val="20"/>
          <w:color w:val="auto"/>
        </w:rPr>
      </w:pPr>
    </w:p>
    <w:p>
      <w:pPr>
        <w:sectPr>
          <w:pgSz w:w="11900" w:h="16838" w:orient="portrait"/>
          <w:cols w:equalWidth="0" w:num="2">
            <w:col w:w="840" w:space="720"/>
            <w:col w:w="9780"/>
          </w:cols>
          <w:pgMar w:left="240" w:top="125" w:right="319" w:bottom="1440" w:gutter="0" w:footer="0" w:header="0"/>
          <w:type w:val="continuous"/>
        </w:sectPr>
      </w:pPr>
    </w:p>
    <w:p>
      <w:pPr>
        <w:ind w:left="2260" w:hanging="440"/>
        <w:spacing w:after="0"/>
        <w:tabs>
          <w:tab w:leader="none" w:pos="2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2260" w:hanging="440"/>
        <w:spacing w:after="0"/>
        <w:tabs>
          <w:tab w:leader="none" w:pos="2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117" w:lineRule="exact"/>
        <w:rPr>
          <w:rFonts w:ascii="Arial" w:cs="Arial" w:eastAsia="Arial" w:hAnsi="Arial"/>
          <w:sz w:val="18"/>
          <w:szCs w:val="18"/>
          <w:color w:val="auto"/>
        </w:rPr>
      </w:pPr>
    </w:p>
    <w:p>
      <w:pPr>
        <w:ind w:left="2260" w:hanging="440"/>
        <w:spacing w:after="0"/>
        <w:tabs>
          <w:tab w:leader="none" w:pos="2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117" w:lineRule="exact"/>
        <w:rPr>
          <w:rFonts w:ascii="Arial" w:cs="Arial" w:eastAsia="Arial" w:hAnsi="Arial"/>
          <w:sz w:val="18"/>
          <w:szCs w:val="18"/>
          <w:color w:val="auto"/>
        </w:rPr>
      </w:pPr>
    </w:p>
    <w:p>
      <w:pPr>
        <w:ind w:left="2260" w:hanging="440"/>
        <w:spacing w:after="0"/>
        <w:tabs>
          <w:tab w:leader="none" w:pos="2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25" w:lineRule="exact"/>
        <w:rPr>
          <w:sz w:val="20"/>
          <w:szCs w:val="20"/>
          <w:color w:val="auto"/>
        </w:rPr>
      </w:pPr>
    </w:p>
    <w:p>
      <w:pPr>
        <w:ind w:left="1560"/>
        <w:spacing w:after="0" w:line="277" w:lineRule="auto"/>
        <w:rPr>
          <w:sz w:val="20"/>
          <w:szCs w:val="20"/>
          <w:color w:val="auto"/>
        </w:rPr>
      </w:pPr>
      <w:r>
        <w:rPr>
          <w:rFonts w:ascii="Arial" w:cs="Arial" w:eastAsia="Arial" w:hAnsi="Arial"/>
          <w:sz w:val="18"/>
          <w:szCs w:val="18"/>
          <w:color w:val="auto"/>
        </w:rPr>
        <w:t>If the asset or liability has a specified (contractual) term, the Level 2 input must be observable for substantially the full term or the asset or liability.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125" w:right="319" w:bottom="1440" w:gutter="0" w:footer="0" w:header="0"/>
          <w:type w:val="continuous"/>
        </w:sectPr>
      </w:pPr>
    </w:p>
    <w:bookmarkStart w:id="12" w:name="page13"/>
    <w:bookmarkEnd w:id="12"/>
    <w:p>
      <w:pPr>
        <w:jc w:val="center"/>
        <w:ind w:right="-59"/>
        <w:spacing w:after="0"/>
        <w:rPr>
          <w:sz w:val="20"/>
          <w:szCs w:val="20"/>
          <w:color w:val="auto"/>
        </w:rPr>
      </w:pPr>
      <w:r>
        <w:rPr>
          <w:rFonts w:ascii="Arial" w:cs="Arial" w:eastAsia="Arial" w:hAnsi="Arial"/>
          <w:sz w:val="18"/>
          <w:szCs w:val="18"/>
          <w:color w:val="auto"/>
        </w:rPr>
        <w:t>Destination XL Group, Inc. 401(k) Hourly Savings Plan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 (continued)</w:t>
      </w:r>
    </w:p>
    <w:p>
      <w:pPr>
        <w:spacing w:after="0" w:line="225"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Following is a description of the valuation methodologies used for assets measured at fair value. There have been no changes in the methodologies used at December 31, 2014 and 2013.</w:t>
      </w:r>
    </w:p>
    <w:p>
      <w:pPr>
        <w:spacing w:after="0" w:line="17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i w:val="1"/>
          <w:iCs w:val="1"/>
          <w:color w:val="auto"/>
        </w:rPr>
        <w:t>Common stock:</w:t>
      </w:r>
      <w:r>
        <w:rPr>
          <w:sz w:val="20"/>
          <w:szCs w:val="20"/>
          <w:color w:val="auto"/>
        </w:rPr>
        <w:tab/>
      </w:r>
      <w:r>
        <w:rPr>
          <w:rFonts w:ascii="Arial" w:cs="Arial" w:eastAsia="Arial" w:hAnsi="Arial"/>
          <w:sz w:val="16"/>
          <w:szCs w:val="16"/>
          <w:color w:val="auto"/>
        </w:rPr>
        <w:t>Valued at the closing price reported on the active market on which the individual securities are traded.</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Valued at the daily closing price as reported by the fund. Mutual funds held by the Plan are open-end mutual funds that are registered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These funds are required to publish their daily Net Asset Value (“NAV”) and to transact at that price. The mutual funds held by the Plan are deemed to be actively traded.</w:t>
      </w:r>
    </w:p>
    <w:p>
      <w:pPr>
        <w:spacing w:after="0" w:line="1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 xml:space="preserve">Common/collective trust fund: </w:t>
      </w:r>
      <w:r>
        <w:rPr>
          <w:rFonts w:ascii="Arial" w:cs="Arial" w:eastAsia="Arial" w:hAnsi="Arial"/>
          <w:sz w:val="16"/>
          <w:szCs w:val="16"/>
          <w:color w:val="auto"/>
        </w:rPr>
        <w:t>Valued at the NAV of units of a bank collective trust. The NAV, as provided by the trustee, is used as a practical expedient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fair value. The NAV is based on the fair value of the underlying investments held by the fund less its liabilities. This practical expedient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is not used when it is determined to be probable that the fund will sell the investment for an amount different than the reported NAV.</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5" w:right="279" w:bottom="1440" w:gutter="0" w:footer="0" w:header="0"/>
        </w:sectPr>
      </w:pPr>
    </w:p>
    <w:bookmarkStart w:id="13" w:name="page14"/>
    <w:bookmarkEnd w:id="13"/>
    <w:p>
      <w:pPr>
        <w:jc w:val="center"/>
        <w:ind w:right="-559"/>
        <w:spacing w:after="0"/>
        <w:rPr>
          <w:sz w:val="20"/>
          <w:szCs w:val="20"/>
          <w:color w:val="auto"/>
        </w:rPr>
      </w:pPr>
      <w:r>
        <w:rPr>
          <w:rFonts w:ascii="Arial" w:cs="Arial" w:eastAsia="Arial" w:hAnsi="Arial"/>
          <w:sz w:val="18"/>
          <w:szCs w:val="18"/>
          <w:color w:val="auto"/>
        </w:rPr>
        <w:t>Destination XL Group, Inc. 401(k) Hourly Savings Plan</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by level, within the fair value hierarchy, the Plan’s investments at fair value as of December 31, 2014 and 2013:</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660" w:type="dxa"/>
            <w:vAlign w:val="bottom"/>
            <w:gridSpan w:val="4"/>
          </w:tcPr>
          <w:p>
            <w:pPr>
              <w:ind w:left="700"/>
              <w:spacing w:after="0"/>
              <w:rPr>
                <w:sz w:val="20"/>
                <w:szCs w:val="20"/>
                <w:color w:val="auto"/>
              </w:rPr>
            </w:pPr>
            <w:r>
              <w:rPr>
                <w:rFonts w:ascii="Arial" w:cs="Arial" w:eastAsia="Arial" w:hAnsi="Arial"/>
                <w:sz w:val="14"/>
                <w:szCs w:val="14"/>
                <w:color w:val="auto"/>
                <w:w w:val="91"/>
              </w:rPr>
              <w:t>Investments at Fair Value as of December 31, 2014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Level 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color w:val="auto"/>
              </w:rPr>
              <w:t>Level 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100"/>
              <w:spacing w:after="0"/>
              <w:rPr>
                <w:sz w:val="20"/>
                <w:szCs w:val="20"/>
                <w:color w:val="auto"/>
              </w:rPr>
            </w:pPr>
            <w:r>
              <w:rPr>
                <w:rFonts w:ascii="Arial" w:cs="Arial" w:eastAsia="Arial" w:hAnsi="Arial"/>
                <w:sz w:val="14"/>
                <w:szCs w:val="14"/>
                <w:color w:val="auto"/>
              </w:rPr>
              <w:t>Level 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Mutual Funds:</w:t>
            </w:r>
          </w:p>
        </w:tc>
        <w:tc>
          <w:tcPr>
            <w:tcW w:w="24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Large cap stock funds</w:t>
            </w:r>
          </w:p>
        </w:tc>
        <w:tc>
          <w:tcPr>
            <w:tcW w:w="26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2,170,998</w:t>
            </w:r>
          </w:p>
        </w:tc>
        <w:tc>
          <w:tcPr>
            <w:tcW w:w="140" w:type="dxa"/>
            <w:vAlign w:val="bottom"/>
          </w:tcPr>
          <w:p>
            <w:pPr>
              <w:spacing w:after="0"/>
              <w:rPr>
                <w:sz w:val="19"/>
                <w:szCs w:val="19"/>
                <w:color w:val="auto"/>
              </w:rPr>
            </w:pPr>
          </w:p>
        </w:tc>
        <w:tc>
          <w:tcPr>
            <w:tcW w:w="220" w:type="dxa"/>
            <w:vAlign w:val="bottom"/>
            <w:gridSpan w:val="2"/>
          </w:tcPr>
          <w:p>
            <w:pPr>
              <w:jc w:val="right"/>
              <w:ind w:right="25"/>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2,170,998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Mid cap stock funds</w:t>
            </w:r>
          </w:p>
        </w:tc>
        <w:tc>
          <w:tcPr>
            <w:tcW w:w="2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645,175</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645,175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Small cap stock fund</w:t>
            </w: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154,129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154,129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International stock funds</w:t>
            </w:r>
          </w:p>
        </w:tc>
        <w:tc>
          <w:tcPr>
            <w:tcW w:w="2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577,431</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577,431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Target funds</w:t>
            </w: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4,660,044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4,660,044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Fixed income funds</w:t>
            </w:r>
          </w:p>
        </w:tc>
        <w:tc>
          <w:tcPr>
            <w:tcW w:w="24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727,964</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727,964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tcPr>
          <w:p>
            <w:pPr>
              <w:ind w:left="720"/>
              <w:spacing w:after="0"/>
              <w:rPr>
                <w:sz w:val="20"/>
                <w:szCs w:val="20"/>
                <w:color w:val="auto"/>
              </w:rPr>
            </w:pPr>
            <w:r>
              <w:rPr>
                <w:rFonts w:ascii="Arial" w:cs="Arial" w:eastAsia="Arial" w:hAnsi="Arial"/>
                <w:sz w:val="18"/>
                <w:szCs w:val="18"/>
                <w:color w:val="auto"/>
              </w:rPr>
              <w:t>Total mutual funds</w:t>
            </w: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8,935,741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8,935,741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8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Common stock:</w:t>
            </w:r>
          </w:p>
        </w:tc>
        <w:tc>
          <w:tcPr>
            <w:tcW w:w="2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Retail</w:t>
            </w: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133,555</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133,555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8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Common/collective trust fund:</w:t>
            </w:r>
          </w:p>
        </w:tc>
        <w:tc>
          <w:tcPr>
            <w:tcW w:w="2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Fixed income fund</w:t>
            </w: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4,045,881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4,045,881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investments at fair value</w:t>
            </w:r>
          </w:p>
        </w:tc>
        <w:tc>
          <w:tcPr>
            <w:tcW w:w="24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9,069,296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4,045,881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13,115,177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660" w:type="dxa"/>
            <w:vAlign w:val="bottom"/>
            <w:gridSpan w:val="4"/>
          </w:tcPr>
          <w:p>
            <w:pPr>
              <w:ind w:left="700"/>
              <w:spacing w:after="0"/>
              <w:rPr>
                <w:sz w:val="20"/>
                <w:szCs w:val="20"/>
                <w:color w:val="auto"/>
              </w:rPr>
            </w:pPr>
            <w:r>
              <w:rPr>
                <w:rFonts w:ascii="Arial" w:cs="Arial" w:eastAsia="Arial" w:hAnsi="Arial"/>
                <w:sz w:val="14"/>
                <w:szCs w:val="14"/>
                <w:color w:val="auto"/>
                <w:w w:val="91"/>
              </w:rPr>
              <w:t>Investments at Fair Value as of December 31, 2013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Level 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color w:val="auto"/>
              </w:rPr>
              <w:t>Level 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100"/>
              <w:spacing w:after="0"/>
              <w:rPr>
                <w:sz w:val="20"/>
                <w:szCs w:val="20"/>
                <w:color w:val="auto"/>
              </w:rPr>
            </w:pPr>
            <w:r>
              <w:rPr>
                <w:rFonts w:ascii="Arial" w:cs="Arial" w:eastAsia="Arial" w:hAnsi="Arial"/>
                <w:sz w:val="14"/>
                <w:szCs w:val="14"/>
                <w:color w:val="auto"/>
              </w:rPr>
              <w:t>Level 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Mutual Funds:</w:t>
            </w:r>
          </w:p>
        </w:tc>
        <w:tc>
          <w:tcPr>
            <w:tcW w:w="24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Large cap stock funds</w:t>
            </w:r>
          </w:p>
        </w:tc>
        <w:tc>
          <w:tcPr>
            <w:tcW w:w="26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2,364,855</w:t>
            </w:r>
          </w:p>
        </w:tc>
        <w:tc>
          <w:tcPr>
            <w:tcW w:w="140" w:type="dxa"/>
            <w:vAlign w:val="bottom"/>
          </w:tcPr>
          <w:p>
            <w:pPr>
              <w:spacing w:after="0"/>
              <w:rPr>
                <w:sz w:val="19"/>
                <w:szCs w:val="19"/>
                <w:color w:val="auto"/>
              </w:rPr>
            </w:pPr>
          </w:p>
        </w:tc>
        <w:tc>
          <w:tcPr>
            <w:tcW w:w="220" w:type="dxa"/>
            <w:vAlign w:val="bottom"/>
            <w:gridSpan w:val="2"/>
          </w:tcPr>
          <w:p>
            <w:pPr>
              <w:jc w:val="right"/>
              <w:ind w:right="25"/>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2,364,855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Mid cap stock funds</w:t>
            </w:r>
          </w:p>
        </w:tc>
        <w:tc>
          <w:tcPr>
            <w:tcW w:w="2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546,383</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546,383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Small cap stock funds</w:t>
            </w: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163,565</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163,565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International stock funds</w:t>
            </w:r>
          </w:p>
        </w:tc>
        <w:tc>
          <w:tcPr>
            <w:tcW w:w="2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598,171</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598,171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Target funds</w:t>
            </w: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3,964,556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3,964,556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Fixed income funds</w:t>
            </w:r>
          </w:p>
        </w:tc>
        <w:tc>
          <w:tcPr>
            <w:tcW w:w="24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785,604</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785,604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tcPr>
          <w:p>
            <w:pPr>
              <w:ind w:left="720"/>
              <w:spacing w:after="0"/>
              <w:rPr>
                <w:sz w:val="20"/>
                <w:szCs w:val="20"/>
                <w:color w:val="auto"/>
              </w:rPr>
            </w:pPr>
            <w:r>
              <w:rPr>
                <w:rFonts w:ascii="Arial" w:cs="Arial" w:eastAsia="Arial" w:hAnsi="Arial"/>
                <w:sz w:val="18"/>
                <w:szCs w:val="18"/>
                <w:color w:val="auto"/>
              </w:rPr>
              <w:t>Total mutual funds</w:t>
            </w: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8,423,134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8,423,134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8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Common stock:</w:t>
            </w:r>
          </w:p>
        </w:tc>
        <w:tc>
          <w:tcPr>
            <w:tcW w:w="2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Retail</w:t>
            </w: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95,864</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95,864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8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Common/collective trust fund:</w:t>
            </w:r>
          </w:p>
        </w:tc>
        <w:tc>
          <w:tcPr>
            <w:tcW w:w="2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Fixed income fund</w:t>
            </w: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3,997,754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3,997,754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investments at fair value</w:t>
            </w:r>
          </w:p>
        </w:tc>
        <w:tc>
          <w:tcPr>
            <w:tcW w:w="24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8,518,998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3,997,754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12,516,752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80" w:type="dxa"/>
            <w:vAlign w:val="bottom"/>
            <w:vMerge w:val="restart"/>
          </w:tcPr>
          <w:p>
            <w:pPr>
              <w:jc w:val="right"/>
              <w:ind w:right="77"/>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240" w:top="125" w:right="79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Destination XL Group, Inc. 401(k) Hourly Savings Plan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6 – </w:t>
      </w:r>
      <w:r>
        <w:rPr>
          <w:rFonts w:ascii="Arial" w:cs="Arial" w:eastAsia="Arial" w:hAnsi="Arial"/>
          <w:sz w:val="18"/>
          <w:szCs w:val="18"/>
          <w:u w:val="single" w:color="auto"/>
          <w:color w:val="auto"/>
        </w:rPr>
        <w:t>Common/Collective Trust Fund</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Fidelity Advisor Stable Value Fund is a common/collective trust fund that is considered to be a stable value fund with underlying investments in investment contracts and is valued at fair value and then adjusted by the issuer to contract value. The net asset value of the stable value fund is the fair market value of its underlying investments and contract value is principal plus accrued interest. The Fidelity Advisor Stable Value Fund is a stable value fund that is an open-end commingled pool dedicated exclusively to the management of assets of defined contribution plans. The Fidelity Advisor Stable Value Fund’s Investment objective is to seek preservation of capital and a competitive level of income over time. To achieve its investment objective, the Fidelity Advisor Stable Value Fund invests in underlying assets (typically fixed income securities or bond funds and may include derivative instruments such as futures contracts and swap agreements) and enters into a “wrapper” contract issued by a third party. Participants may ordinarily direct the withdrawal or transfer of all or a portion of their investment at contract value. However, certain events limit the ability of the Plan to transact at contract value with the issuer. Such events include the following: (1) amendment to the Plan document (including complete or partial termination or merger with another plan), (2) changes to the Plan’s prohibition on competing investment options or deletion of equity wash provisions, (3) bankruptcy of the plan sponsor or other plan sponsor events (for example, divestitures or spin-offs of a subsidiary) that cause a significant withdrawal from the Plan, or (4) the failure of the trust to qualify for exemption from federal income taxes or any required prohibited transaction exemption under ERISA. The Plan Administrator does not believe that any events which would limit the Plan’s ability to transact at contract value with Plan participants are probable of occurring. Contract value represents contributions made to the fund, plus earnings, less participant withdrawals.</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common/collective trust fund has certain restrictions on withdrawals and transfers as follows: withdrawals directed by the Company must be preceded by twelve months written notice to the Trustee, provided, however, that the Trustee may, in its discretion complete any plan-level withdrawals before the expiration of such twelve month period; withdrawals made in order to accommodate distribution to participants, whether in-service or following termination of employment, may be made on any business day; withdrawals made in order to accommodate a participant-directed exchange to another investment option may be made on any business day, provided that the exchange is not directed to a competing fund (money market funds or certain other types of fixed income funds). Transferred amounts must be held in a non-competing investment option for 90 days before subsequent transfers to a competing fund can occur.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18"/>
          <w:szCs w:val="18"/>
          <w:color w:val="auto"/>
        </w:rPr>
        <w:t>Destination XL Group, Inc. 401(k) Hourly Savings Plan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7 – </w:t>
      </w:r>
      <w:r>
        <w:rPr>
          <w:rFonts w:ascii="Arial" w:cs="Arial" w:eastAsia="Arial" w:hAnsi="Arial"/>
          <w:sz w:val="18"/>
          <w:szCs w:val="18"/>
          <w:u w:val="single" w:color="auto"/>
          <w:color w:val="auto"/>
        </w:rPr>
        <w:t>Related Party and Party-In-Interest Transactions</w:t>
      </w:r>
    </w:p>
    <w:p>
      <w:pPr>
        <w:spacing w:after="0" w:line="225"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The Plan owned 24,461 and 14,658 shares of Destination XL Group, Inc. valued at $133,555 and $95,864 at December 31, 2014 and 2013, respectively. Additionally, certain Plan investments are shares of mutual funds and units in the Fidelity Advisor Stable Value Fund managed by Fidelity Management Trust Company who is the Trustee as defined by the Plan, and therefore, these transactions qualify as party-in-interest transactions. Fees incurred by the Plan for the investment management services are included in net depreciation in fair value of the investments, as they are paid through revenue sharing, rather than a direct 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8 – </w:t>
      </w:r>
      <w:r>
        <w:rPr>
          <w:rFonts w:ascii="Arial" w:cs="Arial" w:eastAsia="Arial" w:hAnsi="Arial"/>
          <w:sz w:val="18"/>
          <w:szCs w:val="18"/>
          <w:u w:val="single" w:color="auto"/>
          <w:color w:val="auto"/>
        </w:rPr>
        <w:t>Risks and Uncertainties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 </w:t>
      </w:r>
      <w:r>
        <w:rPr>
          <w:rFonts w:ascii="Arial" w:cs="Arial" w:eastAsia="Arial" w:hAnsi="Arial"/>
          <w:sz w:val="18"/>
          <w:szCs w:val="18"/>
          <w:u w:val="single" w:color="auto"/>
          <w:color w:val="auto"/>
        </w:rPr>
        <w:t>Income Tax Status</w:t>
      </w:r>
    </w:p>
    <w:p>
      <w:pPr>
        <w:spacing w:after="0" w:line="225"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The underlying non-standardized prototype plan has received an opinion letter from the Internal Revenue Service (“IRS”) dated March 31, 2014 stating that the form of the Plan is qualified under Section 401 of the Code and, therefore, the related trust tax-exempt. In accordance with Revenue Procedure 2002-6 and Announcement 2001-77, the Plan Sponsor has determined that it is eligible to and has chosen to rely on the current IRS prototype plan opinion</w:t>
      </w:r>
    </w:p>
    <w:p>
      <w:pPr>
        <w:ind w:right="160"/>
        <w:spacing w:after="0" w:line="255" w:lineRule="auto"/>
        <w:rPr>
          <w:sz w:val="20"/>
          <w:szCs w:val="20"/>
          <w:color w:val="auto"/>
        </w:rPr>
      </w:pPr>
      <w:r>
        <w:rPr>
          <w:rFonts w:ascii="Arial" w:cs="Arial" w:eastAsia="Arial" w:hAnsi="Arial"/>
          <w:sz w:val="18"/>
          <w:szCs w:val="18"/>
          <w:color w:val="auto"/>
        </w:rPr>
        <w:t>letter. Once qualified, the Plan is required to operate in conformity with the Code to maintain its qualification. The Plan has been amended since receiving the opinion letter. However, the Plan Administrator believes the Plan is being operated in compliance with the applicable requirements of the Code and, therefore, believes that the Plan is qualified and the related trust is tax-exempt.</w:t>
      </w:r>
    </w:p>
    <w:p>
      <w:pPr>
        <w:spacing w:after="0" w:line="1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Accounting principles generally accepted in the United States of America require plan management to evaluate tax positions taken by the Plan and recognize a tax liability (or asset) if the Plan has taken an uncertain tax position that more likely than not would not be sustained upon examination by the taxing authorities. The Plan Administrator has analyzed the tax positions taken by the Plan, and has concluded that as of December 31, 2014, there are no uncertain positions taken or expected to be taken that would require recognition of a liability (or asset) or disclosure in the financial statements. The Plan is subject to routine audits by taxing jurisdictions. There are currently no audits for any tax periods in progress. The Plan Administrator believes it is no longer subject to income tax examinations for years prior to 2011.</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25" w:right="29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color w:val="auto"/>
        </w:rPr>
        <w:t>Destination XL Group, Inc. 401(k) Hourly Savings Plan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10 – </w:t>
      </w:r>
      <w:r>
        <w:rPr>
          <w:rFonts w:ascii="Arial" w:cs="Arial" w:eastAsia="Arial" w:hAnsi="Arial"/>
          <w:sz w:val="18"/>
          <w:szCs w:val="18"/>
          <w:u w:val="single" w:color="auto"/>
          <w:color w:val="auto"/>
        </w:rPr>
        <w:t>Reconciliation of Financial Statement to Form 5500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assets available for benefits according to the financial statements to Form 5500 as of December 31, 2014 and 2013:</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55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2014</w:t>
            </w: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2013</w:t>
            </w:r>
          </w:p>
        </w:tc>
        <w:tc>
          <w:tcPr>
            <w:tcW w:w="80" w:type="dxa"/>
            <w:vAlign w:val="bottom"/>
            <w:tcBorders>
              <w:bottom w:val="single" w:sz="8" w:color="CFF0FC"/>
            </w:tcBorders>
          </w:tcPr>
          <w:p>
            <w:pPr>
              <w:spacing w:after="0"/>
              <w:rPr>
                <w:sz w:val="14"/>
                <w:szCs w:val="14"/>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13,782,064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13,181,495</w:t>
            </w:r>
          </w:p>
        </w:tc>
        <w:tc>
          <w:tcPr>
            <w:tcW w:w="80" w:type="dxa"/>
            <w:vAlign w:val="bottom"/>
            <w:shd w:val="clear" w:color="auto" w:fill="CFF0FC"/>
          </w:tcPr>
          <w:p>
            <w:pPr>
              <w:spacing w:after="0"/>
              <w:rPr>
                <w:sz w:val="19"/>
                <w:szCs w:val="19"/>
                <w:color w:val="auto"/>
              </w:rPr>
            </w:pPr>
          </w:p>
        </w:tc>
      </w:tr>
      <w:tr>
        <w:trPr>
          <w:trHeight w:val="215"/>
        </w:trPr>
        <w:tc>
          <w:tcPr>
            <w:tcW w:w="5560" w:type="dxa"/>
            <w:vAlign w:val="bottom"/>
          </w:tcPr>
          <w:p>
            <w:pPr>
              <w:spacing w:after="0"/>
              <w:rPr>
                <w:sz w:val="20"/>
                <w:szCs w:val="20"/>
                <w:color w:val="auto"/>
              </w:rPr>
            </w:pPr>
            <w:r>
              <w:rPr>
                <w:rFonts w:ascii="Arial" w:cs="Arial" w:eastAsia="Arial" w:hAnsi="Arial"/>
                <w:sz w:val="18"/>
                <w:szCs w:val="18"/>
                <w:color w:val="auto"/>
              </w:rPr>
              <w:t>Adjustment from fair value to contract value for fully</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5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benefit-responsive investment contract</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70,561</w:t>
            </w:r>
          </w:p>
        </w:tc>
        <w:tc>
          <w:tcPr>
            <w:tcW w:w="1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76,094</w:t>
            </w:r>
          </w:p>
        </w:tc>
        <w:tc>
          <w:tcPr>
            <w:tcW w:w="80" w:type="dxa"/>
            <w:vAlign w:val="bottom"/>
            <w:tcBorders>
              <w:bottom w:val="single" w:sz="8" w:color="CFF0FC"/>
            </w:tcBorders>
          </w:tcPr>
          <w:p>
            <w:pPr>
              <w:spacing w:after="0"/>
              <w:rPr>
                <w:sz w:val="20"/>
                <w:szCs w:val="20"/>
                <w:color w:val="auto"/>
              </w:rPr>
            </w:pPr>
          </w:p>
        </w:tc>
      </w:tr>
      <w:tr>
        <w:trPr>
          <w:trHeight w:val="223"/>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available for benefits per Form 5500</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13,852,625</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13,257,589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is a reconciliation of net depreciation in fair value of investments, dividend income, and interest on notes receivable from participants for the year ended December 31, 2014 per the financial statements to Form 5500:</w:t>
      </w:r>
    </w:p>
    <w:p>
      <w:pPr>
        <w:spacing w:after="0" w:line="185" w:lineRule="exact"/>
        <w:rPr>
          <w:sz w:val="20"/>
          <w:szCs w:val="20"/>
          <w:color w:val="auto"/>
        </w:rPr>
      </w:pPr>
    </w:p>
    <w:tbl>
      <w:tblPr>
        <w:tblLayout w:type="fixed"/>
        <w:tblInd w:w="2040" w:type="dxa"/>
        <w:tblCellMar>
          <w:top w:w="0" w:type="dxa"/>
          <w:left w:w="0" w:type="dxa"/>
          <w:bottom w:w="0" w:type="dxa"/>
          <w:right w:w="0" w:type="dxa"/>
        </w:tblCellMar>
      </w:tblPr>
      <w:tr>
        <w:trPr>
          <w:trHeight w:val="215"/>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w w:val="92"/>
              </w:rPr>
              <w:t>Net depreciation in fair value of investments, dividend income, and interest income</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on notes</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6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receivable from participants per the financial statements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556,090</w:t>
            </w:r>
          </w:p>
        </w:tc>
        <w:tc>
          <w:tcPr>
            <w:tcW w:w="80" w:type="dxa"/>
            <w:vAlign w:val="bottom"/>
            <w:shd w:val="clear" w:color="auto" w:fill="CFF0FC"/>
          </w:tcPr>
          <w:p>
            <w:pPr>
              <w:spacing w:after="0"/>
              <w:rPr>
                <w:sz w:val="20"/>
                <w:szCs w:val="20"/>
                <w:color w:val="auto"/>
              </w:rPr>
            </w:pPr>
          </w:p>
        </w:tc>
      </w:tr>
      <w:tr>
        <w:trPr>
          <w:trHeight w:val="445"/>
        </w:trPr>
        <w:tc>
          <w:tcPr>
            <w:tcW w:w="6120" w:type="dxa"/>
            <w:vAlign w:val="bottom"/>
          </w:tcPr>
          <w:p>
            <w:pPr>
              <w:spacing w:after="0"/>
              <w:rPr>
                <w:sz w:val="20"/>
                <w:szCs w:val="20"/>
                <w:color w:val="auto"/>
              </w:rPr>
            </w:pPr>
            <w:r>
              <w:rPr>
                <w:rFonts w:ascii="Arial" w:cs="Arial" w:eastAsia="Arial" w:hAnsi="Arial"/>
                <w:sz w:val="18"/>
                <w:szCs w:val="18"/>
                <w:color w:val="auto"/>
              </w:rPr>
              <w:t>Add: Adjustment from fair value to contract value for fully benefit-responsive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investment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120" w:type="dxa"/>
            <w:vAlign w:val="bottom"/>
          </w:tcPr>
          <w:p>
            <w:pPr>
              <w:ind w:left="140"/>
              <w:spacing w:after="0"/>
              <w:rPr>
                <w:sz w:val="20"/>
                <w:szCs w:val="20"/>
                <w:color w:val="auto"/>
              </w:rPr>
            </w:pPr>
            <w:r>
              <w:rPr>
                <w:rFonts w:ascii="Arial" w:cs="Arial" w:eastAsia="Arial" w:hAnsi="Arial"/>
                <w:sz w:val="18"/>
                <w:szCs w:val="18"/>
                <w:color w:val="auto"/>
              </w:rPr>
              <w:t>contracts in 2014</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70,561</w:t>
            </w:r>
          </w:p>
        </w:tc>
        <w:tc>
          <w:tcPr>
            <w:tcW w:w="80" w:type="dxa"/>
            <w:vAlign w:val="bottom"/>
          </w:tcPr>
          <w:p>
            <w:pPr>
              <w:spacing w:after="0"/>
              <w:rPr>
                <w:sz w:val="20"/>
                <w:szCs w:val="20"/>
                <w:color w:val="auto"/>
              </w:rPr>
            </w:pPr>
          </w:p>
        </w:tc>
      </w:tr>
      <w:tr>
        <w:trPr>
          <w:trHeight w:val="230"/>
        </w:trPr>
        <w:tc>
          <w:tcPr>
            <w:tcW w:w="6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Less: Adjustment from fair value to contract value for fully benefit-responsive</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investment</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6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contracts in 2013</w:t>
            </w:r>
          </w:p>
        </w:tc>
        <w:tc>
          <w:tcPr>
            <w:tcW w:w="3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(76,094)</w:t>
            </w:r>
          </w:p>
        </w:tc>
      </w:tr>
      <w:tr>
        <w:trPr>
          <w:trHeight w:val="438"/>
        </w:trPr>
        <w:tc>
          <w:tcPr>
            <w:tcW w:w="6120" w:type="dxa"/>
            <w:vAlign w:val="bottom"/>
          </w:tcPr>
          <w:p>
            <w:pPr>
              <w:spacing w:after="0"/>
              <w:rPr>
                <w:sz w:val="20"/>
                <w:szCs w:val="20"/>
                <w:color w:val="auto"/>
              </w:rPr>
            </w:pPr>
            <w:r>
              <w:rPr>
                <w:rFonts w:ascii="Arial" w:cs="Arial" w:eastAsia="Arial" w:hAnsi="Arial"/>
                <w:sz w:val="18"/>
                <w:szCs w:val="18"/>
                <w:color w:val="auto"/>
                <w:w w:val="92"/>
              </w:rPr>
              <w:t>Net depreciation in fair value of investments, dividend income, and interest income</w:t>
            </w: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on notes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120" w:type="dxa"/>
            <w:vAlign w:val="bottom"/>
          </w:tcPr>
          <w:p>
            <w:pPr>
              <w:ind w:left="140"/>
              <w:spacing w:after="0"/>
              <w:rPr>
                <w:sz w:val="20"/>
                <w:szCs w:val="20"/>
                <w:color w:val="auto"/>
              </w:rPr>
            </w:pPr>
            <w:r>
              <w:rPr>
                <w:rFonts w:ascii="Arial" w:cs="Arial" w:eastAsia="Arial" w:hAnsi="Arial"/>
                <w:sz w:val="18"/>
                <w:szCs w:val="18"/>
                <w:color w:val="auto"/>
              </w:rPr>
              <w:t>receivable from participants per Form 5500</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550,557</w:t>
            </w:r>
          </w:p>
        </w:tc>
        <w:tc>
          <w:tcPr>
            <w:tcW w:w="80" w:type="dxa"/>
            <w:vAlign w:val="bottom"/>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11 – </w:t>
      </w:r>
      <w:r>
        <w:rPr>
          <w:rFonts w:ascii="Arial" w:cs="Arial" w:eastAsia="Arial" w:hAnsi="Arial"/>
          <w:sz w:val="18"/>
          <w:szCs w:val="18"/>
          <w:u w:val="single" w:color="auto"/>
          <w:color w:val="auto"/>
        </w:rPr>
        <w:t>Subsequent Event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January 1, 2015, the Plan merged into the Destination XL Group, Inc. 401(k) Salaried Savings Plan which was renamed to the Destination XL Group,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401(k) Savings Plan.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5" w:right="27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SUPPLEMENTAL SCHEDULE</w:t>
      </w:r>
    </w:p>
    <w:p>
      <w:pPr>
        <w:sectPr>
          <w:pgSz w:w="11900" w:h="16838" w:orient="portrait"/>
          <w:cols w:equalWidth="0" w:num="1">
            <w:col w:w="9019"/>
          </w:cols>
          <w:pgMar w:left="1440" w:top="1440"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019"/>
          </w:cols>
          <w:pgMar w:left="1440" w:top="1440" w:right="1440"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color w:val="auto"/>
        </w:rPr>
        <w:t>Destination XL Group, Inc. 401(k) Hourly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04-2623104/Plan Number: 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ind w:left="140"/>
              <w:spacing w:after="0"/>
              <w:rPr>
                <w:sz w:val="20"/>
                <w:szCs w:val="20"/>
                <w:color w:val="auto"/>
              </w:rPr>
            </w:pPr>
            <w:r>
              <w:rPr>
                <w:rFonts w:ascii="Arial" w:cs="Arial" w:eastAsia="Arial" w:hAnsi="Arial"/>
                <w:sz w:val="14"/>
                <w:szCs w:val="14"/>
                <w:b w:val="1"/>
                <w:bCs w:val="1"/>
                <w:color w:val="auto"/>
                <w:w w:val="95"/>
              </w:rPr>
              <w:t>Identity of Issue, Borrower,</w:t>
            </w:r>
          </w:p>
        </w:tc>
        <w:tc>
          <w:tcPr>
            <w:tcW w:w="5200" w:type="dxa"/>
            <w:vAlign w:val="bottom"/>
            <w:gridSpan w:val="2"/>
          </w:tcPr>
          <w:p>
            <w:pPr>
              <w:ind w:left="800"/>
              <w:spacing w:after="0"/>
              <w:rPr>
                <w:sz w:val="20"/>
                <w:szCs w:val="20"/>
                <w:color w:val="auto"/>
              </w:rPr>
            </w:pPr>
            <w:r>
              <w:rPr>
                <w:rFonts w:ascii="Arial" w:cs="Arial" w:eastAsia="Arial" w:hAnsi="Arial"/>
                <w:sz w:val="14"/>
                <w:szCs w:val="14"/>
                <w:b w:val="1"/>
                <w:bCs w:val="1"/>
                <w:color w:val="auto"/>
              </w:rPr>
              <w:t>Description of investment including maturity date, rate of</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Cost</w:t>
            </w:r>
          </w:p>
        </w:tc>
        <w:tc>
          <w:tcPr>
            <w:tcW w:w="17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Shares/Units</w:t>
            </w:r>
          </w:p>
        </w:tc>
        <w:tc>
          <w:tcPr>
            <w:tcW w:w="240" w:type="dxa"/>
            <w:vAlign w:val="bottom"/>
          </w:tcPr>
          <w:p>
            <w:pPr>
              <w:spacing w:after="0"/>
              <w:rPr>
                <w:sz w:val="14"/>
                <w:szCs w:val="14"/>
                <w:color w:val="auto"/>
              </w:rPr>
            </w:pPr>
          </w:p>
        </w:tc>
        <w:tc>
          <w:tcPr>
            <w:tcW w:w="15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Current Value</w:t>
            </w:r>
          </w:p>
        </w:tc>
        <w:tc>
          <w:tcPr>
            <w:tcW w:w="0" w:type="dxa"/>
            <w:vAlign w:val="bottom"/>
          </w:tcPr>
          <w:p>
            <w:pPr>
              <w:spacing w:after="0"/>
              <w:rPr>
                <w:sz w:val="1"/>
                <w:szCs w:val="1"/>
                <w:color w:val="auto"/>
              </w:rPr>
            </w:pPr>
          </w:p>
        </w:tc>
      </w:tr>
      <w:tr>
        <w:trPr>
          <w:trHeight w:val="171"/>
        </w:trPr>
        <w:tc>
          <w:tcPr>
            <w:tcW w:w="1880" w:type="dxa"/>
            <w:vAlign w:val="bottom"/>
          </w:tcPr>
          <w:p>
            <w:pPr>
              <w:ind w:left="240"/>
              <w:spacing w:after="0"/>
              <w:rPr>
                <w:sz w:val="20"/>
                <w:szCs w:val="20"/>
                <w:color w:val="auto"/>
              </w:rPr>
            </w:pPr>
            <w:r>
              <w:rPr>
                <w:rFonts w:ascii="Arial" w:cs="Arial" w:eastAsia="Arial" w:hAnsi="Arial"/>
                <w:sz w:val="14"/>
                <w:szCs w:val="14"/>
                <w:b w:val="1"/>
                <w:bCs w:val="1"/>
                <w:color w:val="auto"/>
              </w:rPr>
              <w:t>Lessor, or Similar Party</w:t>
            </w:r>
          </w:p>
        </w:tc>
        <w:tc>
          <w:tcPr>
            <w:tcW w:w="5200" w:type="dxa"/>
            <w:vAlign w:val="bottom"/>
            <w:gridSpan w:val="2"/>
          </w:tcPr>
          <w:p>
            <w:pPr>
              <w:ind w:left="1300"/>
              <w:spacing w:after="0"/>
              <w:rPr>
                <w:sz w:val="20"/>
                <w:szCs w:val="20"/>
                <w:color w:val="auto"/>
              </w:rPr>
            </w:pPr>
            <w:r>
              <w:rPr>
                <w:rFonts w:ascii="Arial" w:cs="Arial" w:eastAsia="Arial" w:hAnsi="Arial"/>
                <w:sz w:val="14"/>
                <w:szCs w:val="14"/>
                <w:b w:val="1"/>
                <w:bCs w:val="1"/>
                <w:color w:val="auto"/>
              </w:rPr>
              <w:t>interest, collateral, par, or maturity value</w:t>
            </w:r>
          </w:p>
        </w:tc>
        <w:tc>
          <w:tcPr>
            <w:tcW w:w="88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880" w:type="dxa"/>
            <w:vAlign w:val="bottom"/>
            <w:tcBorders>
              <w:top w:val="single" w:sz="8" w:color="auto"/>
            </w:tcBorders>
          </w:tcPr>
          <w:p>
            <w:pPr>
              <w:spacing w:after="0"/>
              <w:rPr>
                <w:sz w:val="19"/>
                <w:szCs w:val="19"/>
                <w:color w:val="auto"/>
              </w:rPr>
            </w:pPr>
          </w:p>
        </w:tc>
        <w:tc>
          <w:tcPr>
            <w:tcW w:w="5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tcBorders>
          </w:tcPr>
          <w:p>
            <w:pPr>
              <w:jc w:val="right"/>
              <w:ind w:right="219"/>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w w:val="98"/>
              </w:rPr>
              <w:t>Commingled funds held</w:t>
            </w:r>
          </w:p>
        </w:tc>
        <w:tc>
          <w:tcPr>
            <w:tcW w:w="5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through Fidelity</w:t>
            </w:r>
          </w:p>
        </w:tc>
        <w:tc>
          <w:tcPr>
            <w:tcW w:w="5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5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5200" w:type="dxa"/>
            <w:vAlign w:val="bottom"/>
            <w:gridSpan w:val="2"/>
          </w:tcPr>
          <w:p>
            <w:pPr>
              <w:ind w:left="80"/>
              <w:spacing w:after="0"/>
              <w:rPr>
                <w:sz w:val="20"/>
                <w:szCs w:val="20"/>
                <w:color w:val="auto"/>
              </w:rPr>
            </w:pPr>
            <w:r>
              <w:rPr>
                <w:rFonts w:ascii="Arial" w:cs="Arial" w:eastAsia="Arial" w:hAnsi="Arial"/>
                <w:sz w:val="18"/>
                <w:szCs w:val="18"/>
                <w:color w:val="auto"/>
              </w:rPr>
              <w:t>*Fidelity Advisor Stable Value Fund (2)</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3,975,320</w:t>
            </w:r>
          </w:p>
        </w:tc>
        <w:tc>
          <w:tcPr>
            <w:tcW w:w="220" w:type="dxa"/>
            <w:vAlign w:val="bottom"/>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4,045,881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Mutual Funds held</w:t>
            </w:r>
          </w:p>
        </w:tc>
        <w:tc>
          <w:tcPr>
            <w:tcW w:w="5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through Fidelity</w:t>
            </w:r>
          </w:p>
        </w:tc>
        <w:tc>
          <w:tcPr>
            <w:tcW w:w="5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5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5200" w:type="dxa"/>
            <w:vAlign w:val="bottom"/>
            <w:gridSpan w:val="2"/>
          </w:tcPr>
          <w:p>
            <w:pPr>
              <w:ind w:left="80"/>
              <w:spacing w:after="0"/>
              <w:rPr>
                <w:sz w:val="20"/>
                <w:szCs w:val="20"/>
                <w:color w:val="auto"/>
              </w:rPr>
            </w:pPr>
            <w:r>
              <w:rPr>
                <w:rFonts w:ascii="Arial" w:cs="Arial" w:eastAsia="Arial" w:hAnsi="Arial"/>
                <w:sz w:val="18"/>
                <w:szCs w:val="18"/>
                <w:color w:val="auto"/>
              </w:rPr>
              <w:t>Cash - interest bearing</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880" w:type="dxa"/>
            <w:vAlign w:val="bottom"/>
            <w:shd w:val="clear" w:color="auto" w:fill="CFF0FC"/>
          </w:tcPr>
          <w:p>
            <w:pPr>
              <w:spacing w:after="0"/>
              <w:rPr>
                <w:sz w:val="21"/>
                <w:szCs w:val="21"/>
                <w:color w:val="auto"/>
              </w:rPr>
            </w:pPr>
          </w:p>
        </w:tc>
        <w:tc>
          <w:tcPr>
            <w:tcW w:w="5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*Fidelity Advisor Freedom 2010 I</w:t>
            </w: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64,370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805,913</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5200" w:type="dxa"/>
            <w:vAlign w:val="bottom"/>
            <w:gridSpan w:val="2"/>
          </w:tcPr>
          <w:p>
            <w:pPr>
              <w:ind w:left="80"/>
              <w:spacing w:after="0"/>
              <w:rPr>
                <w:sz w:val="20"/>
                <w:szCs w:val="20"/>
                <w:color w:val="auto"/>
              </w:rPr>
            </w:pPr>
            <w:r>
              <w:rPr>
                <w:rFonts w:ascii="Arial" w:cs="Arial" w:eastAsia="Arial" w:hAnsi="Arial"/>
                <w:sz w:val="18"/>
                <w:szCs w:val="18"/>
                <w:color w:val="auto"/>
              </w:rPr>
              <w:t>*Fidelity Advisor Freedom 2020 I</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48,777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645,317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880" w:type="dxa"/>
            <w:vAlign w:val="bottom"/>
            <w:shd w:val="clear" w:color="auto" w:fill="CFF0FC"/>
          </w:tcPr>
          <w:p>
            <w:pPr>
              <w:spacing w:after="0"/>
              <w:rPr>
                <w:sz w:val="21"/>
                <w:szCs w:val="21"/>
                <w:color w:val="auto"/>
              </w:rPr>
            </w:pPr>
          </w:p>
        </w:tc>
        <w:tc>
          <w:tcPr>
            <w:tcW w:w="5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*Fidelity Advisor Freedom 2030 I</w:t>
            </w: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94,475</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5200" w:type="dxa"/>
            <w:vAlign w:val="bottom"/>
            <w:gridSpan w:val="2"/>
          </w:tcPr>
          <w:p>
            <w:pPr>
              <w:ind w:left="80"/>
              <w:spacing w:after="0"/>
              <w:rPr>
                <w:sz w:val="20"/>
                <w:szCs w:val="20"/>
                <w:color w:val="auto"/>
              </w:rPr>
            </w:pPr>
            <w:r>
              <w:rPr>
                <w:rFonts w:ascii="Arial" w:cs="Arial" w:eastAsia="Arial" w:hAnsi="Arial"/>
                <w:sz w:val="18"/>
                <w:szCs w:val="18"/>
                <w:color w:val="auto"/>
              </w:rPr>
              <w:t>*Fidelity Advisor Freedom 2040 I</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24,770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351,481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880" w:type="dxa"/>
            <w:vAlign w:val="bottom"/>
            <w:shd w:val="clear" w:color="auto" w:fill="CFF0FC"/>
          </w:tcPr>
          <w:p>
            <w:pPr>
              <w:spacing w:after="0"/>
              <w:rPr>
                <w:sz w:val="21"/>
                <w:szCs w:val="21"/>
                <w:color w:val="auto"/>
              </w:rPr>
            </w:pPr>
          </w:p>
        </w:tc>
        <w:tc>
          <w:tcPr>
            <w:tcW w:w="5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 Fidelity Advisor Freedom Income I</w:t>
            </w: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2,392</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5200" w:type="dxa"/>
            <w:vAlign w:val="bottom"/>
            <w:gridSpan w:val="2"/>
          </w:tcPr>
          <w:p>
            <w:pPr>
              <w:ind w:left="80"/>
              <w:spacing w:after="0"/>
              <w:rPr>
                <w:sz w:val="20"/>
                <w:szCs w:val="20"/>
                <w:color w:val="auto"/>
              </w:rPr>
            </w:pPr>
            <w:r>
              <w:rPr>
                <w:rFonts w:ascii="Arial" w:cs="Arial" w:eastAsia="Arial" w:hAnsi="Arial"/>
                <w:sz w:val="18"/>
                <w:szCs w:val="18"/>
                <w:color w:val="auto"/>
              </w:rPr>
              <w:t>* Fidelity Advisor New Insights I</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23,901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648,921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880" w:type="dxa"/>
            <w:vAlign w:val="bottom"/>
            <w:shd w:val="clear" w:color="auto" w:fill="CFF0FC"/>
          </w:tcPr>
          <w:p>
            <w:pPr>
              <w:spacing w:after="0"/>
              <w:rPr>
                <w:sz w:val="21"/>
                <w:szCs w:val="21"/>
                <w:color w:val="auto"/>
              </w:rPr>
            </w:pPr>
          </w:p>
        </w:tc>
        <w:tc>
          <w:tcPr>
            <w:tcW w:w="5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*Fidelity Advisor Freedom 2005 I</w:t>
            </w: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70,769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846,395</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5200" w:type="dxa"/>
            <w:vAlign w:val="bottom"/>
            <w:gridSpan w:val="2"/>
          </w:tcPr>
          <w:p>
            <w:pPr>
              <w:ind w:left="80"/>
              <w:spacing w:after="0"/>
              <w:rPr>
                <w:sz w:val="20"/>
                <w:szCs w:val="20"/>
                <w:color w:val="auto"/>
              </w:rPr>
            </w:pPr>
            <w:r>
              <w:rPr>
                <w:rFonts w:ascii="Arial" w:cs="Arial" w:eastAsia="Arial" w:hAnsi="Arial"/>
                <w:sz w:val="18"/>
                <w:szCs w:val="18"/>
                <w:color w:val="auto"/>
              </w:rPr>
              <w:t>*Fidelity Advisor Freedom 2015 I</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47,982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600,739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880" w:type="dxa"/>
            <w:vAlign w:val="bottom"/>
            <w:shd w:val="clear" w:color="auto" w:fill="CFF0FC"/>
          </w:tcPr>
          <w:p>
            <w:pPr>
              <w:spacing w:after="0"/>
              <w:rPr>
                <w:sz w:val="21"/>
                <w:szCs w:val="21"/>
                <w:color w:val="auto"/>
              </w:rPr>
            </w:pPr>
          </w:p>
        </w:tc>
        <w:tc>
          <w:tcPr>
            <w:tcW w:w="5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*Fidelity Advisor Freedom 2025 I</w:t>
            </w: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38,446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501,341</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5200" w:type="dxa"/>
            <w:vAlign w:val="bottom"/>
            <w:gridSpan w:val="2"/>
          </w:tcPr>
          <w:p>
            <w:pPr>
              <w:ind w:left="80"/>
              <w:spacing w:after="0"/>
              <w:rPr>
                <w:sz w:val="20"/>
                <w:szCs w:val="20"/>
                <w:color w:val="auto"/>
              </w:rPr>
            </w:pPr>
            <w:r>
              <w:rPr>
                <w:rFonts w:ascii="Arial" w:cs="Arial" w:eastAsia="Arial" w:hAnsi="Arial"/>
                <w:sz w:val="18"/>
                <w:szCs w:val="18"/>
                <w:color w:val="auto"/>
              </w:rPr>
              <w:t>*Fidelity Advisor Freedom 2035 I</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17,910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236,950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880" w:type="dxa"/>
            <w:vAlign w:val="bottom"/>
            <w:shd w:val="clear" w:color="auto" w:fill="CFF0FC"/>
          </w:tcPr>
          <w:p>
            <w:pPr>
              <w:spacing w:after="0"/>
              <w:rPr>
                <w:sz w:val="21"/>
                <w:szCs w:val="21"/>
                <w:color w:val="auto"/>
              </w:rPr>
            </w:pPr>
          </w:p>
        </w:tc>
        <w:tc>
          <w:tcPr>
            <w:tcW w:w="5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*Fidelity Advisor Freedom 2045 I</w:t>
            </w: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149,275</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5200" w:type="dxa"/>
            <w:vAlign w:val="bottom"/>
            <w:gridSpan w:val="2"/>
          </w:tcPr>
          <w:p>
            <w:pPr>
              <w:ind w:left="80"/>
              <w:spacing w:after="0"/>
              <w:rPr>
                <w:sz w:val="20"/>
                <w:szCs w:val="20"/>
                <w:color w:val="auto"/>
              </w:rPr>
            </w:pPr>
            <w:r>
              <w:rPr>
                <w:rFonts w:ascii="Arial" w:cs="Arial" w:eastAsia="Arial" w:hAnsi="Arial"/>
                <w:sz w:val="18"/>
                <w:szCs w:val="18"/>
                <w:color w:val="auto"/>
              </w:rPr>
              <w:t>*Fidelity Advisor Freedom 2050 I</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27,042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292,861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880" w:type="dxa"/>
            <w:vAlign w:val="bottom"/>
            <w:shd w:val="clear" w:color="auto" w:fill="CFF0FC"/>
          </w:tcPr>
          <w:p>
            <w:pPr>
              <w:spacing w:after="0"/>
              <w:rPr>
                <w:sz w:val="21"/>
                <w:szCs w:val="21"/>
                <w:color w:val="auto"/>
              </w:rPr>
            </w:pPr>
          </w:p>
        </w:tc>
        <w:tc>
          <w:tcPr>
            <w:tcW w:w="5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*Fidelity Advisor Freedom 2055 I</w:t>
            </w: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132,905</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5200" w:type="dxa"/>
            <w:vAlign w:val="bottom"/>
            <w:gridSpan w:val="2"/>
          </w:tcPr>
          <w:p>
            <w:pPr>
              <w:ind w:left="80"/>
              <w:spacing w:after="0"/>
              <w:rPr>
                <w:sz w:val="20"/>
                <w:szCs w:val="20"/>
                <w:color w:val="auto"/>
              </w:rPr>
            </w:pPr>
            <w:r>
              <w:rPr>
                <w:rFonts w:ascii="Arial" w:cs="Arial" w:eastAsia="Arial" w:hAnsi="Arial"/>
                <w:sz w:val="18"/>
                <w:szCs w:val="18"/>
                <w:color w:val="auto"/>
              </w:rPr>
              <w:t>Prudential Jennison Mid Cap Growth Fund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9,712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388,767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880" w:type="dxa"/>
            <w:vAlign w:val="bottom"/>
            <w:shd w:val="clear" w:color="auto" w:fill="CFF0FC"/>
          </w:tcPr>
          <w:p>
            <w:pPr>
              <w:spacing w:after="0"/>
              <w:rPr>
                <w:sz w:val="21"/>
                <w:szCs w:val="21"/>
                <w:color w:val="auto"/>
              </w:rPr>
            </w:pPr>
          </w:p>
        </w:tc>
        <w:tc>
          <w:tcPr>
            <w:tcW w:w="5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MFS International Value Fund</w:t>
            </w: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113,142</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5200" w:type="dxa"/>
            <w:vAlign w:val="bottom"/>
            <w:gridSpan w:val="2"/>
          </w:tcPr>
          <w:p>
            <w:pPr>
              <w:ind w:left="80"/>
              <w:spacing w:after="0"/>
              <w:rPr>
                <w:sz w:val="20"/>
                <w:szCs w:val="20"/>
                <w:color w:val="auto"/>
              </w:rPr>
            </w:pPr>
            <w:r>
              <w:rPr>
                <w:rFonts w:ascii="Arial" w:cs="Arial" w:eastAsia="Arial" w:hAnsi="Arial"/>
                <w:sz w:val="18"/>
                <w:szCs w:val="18"/>
                <w:color w:val="auto"/>
              </w:rPr>
              <w:t>Invesco International Growth Fund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13,913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449,115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880" w:type="dxa"/>
            <w:vAlign w:val="bottom"/>
            <w:shd w:val="clear" w:color="auto" w:fill="CFF0FC"/>
          </w:tcPr>
          <w:p>
            <w:pPr>
              <w:spacing w:after="0"/>
              <w:rPr>
                <w:sz w:val="21"/>
                <w:szCs w:val="21"/>
                <w:color w:val="auto"/>
              </w:rPr>
            </w:pPr>
          </w:p>
        </w:tc>
        <w:tc>
          <w:tcPr>
            <w:tcW w:w="5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Metropolitan West Total Return Bond Fund</w:t>
            </w: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45,850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500,225</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5200" w:type="dxa"/>
            <w:vAlign w:val="bottom"/>
            <w:gridSpan w:val="2"/>
          </w:tcPr>
          <w:p>
            <w:pPr>
              <w:ind w:left="80"/>
              <w:spacing w:after="0"/>
              <w:rPr>
                <w:sz w:val="20"/>
                <w:szCs w:val="20"/>
                <w:color w:val="auto"/>
              </w:rPr>
            </w:pPr>
            <w:r>
              <w:rPr>
                <w:rFonts w:ascii="Arial" w:cs="Arial" w:eastAsia="Arial" w:hAnsi="Arial"/>
                <w:sz w:val="18"/>
                <w:szCs w:val="18"/>
                <w:color w:val="auto"/>
              </w:rPr>
              <w:t>American Century Mid Cap Value Fund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15,587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256,408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880" w:type="dxa"/>
            <w:vAlign w:val="bottom"/>
            <w:shd w:val="clear" w:color="auto" w:fill="CFF0FC"/>
          </w:tcPr>
          <w:p>
            <w:pPr>
              <w:spacing w:after="0"/>
              <w:rPr>
                <w:sz w:val="21"/>
                <w:szCs w:val="21"/>
                <w:color w:val="auto"/>
              </w:rPr>
            </w:pPr>
          </w:p>
        </w:tc>
        <w:tc>
          <w:tcPr>
            <w:tcW w:w="5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JP Morgan Equity Index Select</w:t>
            </w: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1,123,820</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5200" w:type="dxa"/>
            <w:vAlign w:val="bottom"/>
            <w:gridSpan w:val="2"/>
          </w:tcPr>
          <w:p>
            <w:pPr>
              <w:ind w:left="80"/>
              <w:spacing w:after="0"/>
              <w:rPr>
                <w:sz w:val="20"/>
                <w:szCs w:val="20"/>
                <w:color w:val="auto"/>
              </w:rPr>
            </w:pPr>
            <w:r>
              <w:rPr>
                <w:rFonts w:ascii="Arial" w:cs="Arial" w:eastAsia="Arial" w:hAnsi="Arial"/>
                <w:sz w:val="18"/>
                <w:szCs w:val="18"/>
                <w:color w:val="auto"/>
              </w:rPr>
              <w:t>Templeton Global Bond Fund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124,122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880" w:type="dxa"/>
            <w:vAlign w:val="bottom"/>
            <w:shd w:val="clear" w:color="auto" w:fill="CFF0FC"/>
          </w:tcPr>
          <w:p>
            <w:pPr>
              <w:spacing w:after="0"/>
              <w:rPr>
                <w:sz w:val="21"/>
                <w:szCs w:val="21"/>
                <w:color w:val="auto"/>
              </w:rPr>
            </w:pPr>
          </w:p>
        </w:tc>
        <w:tc>
          <w:tcPr>
            <w:tcW w:w="5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Goldman Sachs Small Cap Value Fund</w:t>
            </w: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154,129</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5200" w:type="dxa"/>
            <w:vAlign w:val="bottom"/>
            <w:gridSpan w:val="2"/>
          </w:tcPr>
          <w:p>
            <w:pPr>
              <w:ind w:left="80"/>
              <w:spacing w:after="0"/>
              <w:rPr>
                <w:sz w:val="20"/>
                <w:szCs w:val="20"/>
                <w:color w:val="auto"/>
              </w:rPr>
            </w:pPr>
            <w:r>
              <w:rPr>
                <w:rFonts w:ascii="Arial" w:cs="Arial" w:eastAsia="Arial" w:hAnsi="Arial"/>
                <w:sz w:val="18"/>
                <w:szCs w:val="18"/>
                <w:color w:val="auto"/>
              </w:rPr>
              <w:t>American Beacon Bridgeway Large Cap Value Fund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16,755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398,257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880" w:type="dxa"/>
            <w:vAlign w:val="bottom"/>
            <w:shd w:val="clear" w:color="auto" w:fill="CFF0FC"/>
          </w:tcPr>
          <w:p>
            <w:pPr>
              <w:spacing w:after="0"/>
              <w:rPr>
                <w:sz w:val="21"/>
                <w:szCs w:val="21"/>
                <w:color w:val="auto"/>
              </w:rPr>
            </w:pPr>
          </w:p>
        </w:tc>
        <w:tc>
          <w:tcPr>
            <w:tcW w:w="5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Blackrock Inflation Protected Bond Fund</w:t>
            </w: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5,265</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5200" w:type="dxa"/>
            <w:vAlign w:val="bottom"/>
            <w:gridSpan w:val="2"/>
          </w:tcPr>
          <w:p>
            <w:pPr>
              <w:ind w:left="80"/>
              <w:spacing w:after="0"/>
              <w:rPr>
                <w:sz w:val="20"/>
                <w:szCs w:val="20"/>
                <w:color w:val="auto"/>
              </w:rPr>
            </w:pPr>
            <w:r>
              <w:rPr>
                <w:rFonts w:ascii="Arial" w:cs="Arial" w:eastAsia="Arial" w:hAnsi="Arial"/>
                <w:sz w:val="18"/>
                <w:szCs w:val="18"/>
                <w:color w:val="auto"/>
              </w:rPr>
              <w:t>Pimco Income Fund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7,873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97,077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880" w:type="dxa"/>
            <w:vAlign w:val="bottom"/>
            <w:shd w:val="clear" w:color="auto" w:fill="CFF0FC"/>
          </w:tcPr>
          <w:p>
            <w:pPr>
              <w:spacing w:after="0"/>
              <w:rPr>
                <w:sz w:val="21"/>
                <w:szCs w:val="21"/>
                <w:color w:val="auto"/>
              </w:rPr>
            </w:pPr>
          </w:p>
        </w:tc>
        <w:tc>
          <w:tcPr>
            <w:tcW w:w="5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Calamos Evolving World Growth Fund</w:t>
            </w: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15,174</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880" w:type="dxa"/>
            <w:vAlign w:val="bottom"/>
          </w:tcPr>
          <w:p>
            <w:pPr>
              <w:spacing w:after="0"/>
              <w:rPr>
                <w:sz w:val="20"/>
                <w:szCs w:val="20"/>
                <w:color w:val="auto"/>
              </w:rPr>
            </w:pPr>
            <w:r>
              <w:rPr>
                <w:rFonts w:ascii="Arial" w:cs="Arial" w:eastAsia="Arial" w:hAnsi="Arial"/>
                <w:sz w:val="18"/>
                <w:szCs w:val="18"/>
                <w:color w:val="auto"/>
              </w:rPr>
              <w:t>Common Stock held</w:t>
            </w: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through Fidelity</w:t>
            </w: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Investments:</w:t>
            </w: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80" w:type="dxa"/>
            <w:vAlign w:val="bottom"/>
            <w:shd w:val="clear" w:color="auto" w:fill="CFF0FC"/>
          </w:tcPr>
          <w:p>
            <w:pPr>
              <w:spacing w:after="0"/>
              <w:rPr>
                <w:sz w:val="20"/>
                <w:szCs w:val="20"/>
                <w:color w:val="auto"/>
              </w:rPr>
            </w:pPr>
          </w:p>
        </w:tc>
        <w:tc>
          <w:tcPr>
            <w:tcW w:w="5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 Destination XL Group, Inc.</w:t>
            </w: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24,461</w:t>
            </w:r>
          </w:p>
        </w:tc>
        <w:tc>
          <w:tcPr>
            <w:tcW w:w="2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133,555</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13,115,177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w w:val="99"/>
              </w:rPr>
              <w:t>* Notes receivable from</w:t>
            </w:r>
          </w:p>
        </w:tc>
        <w:tc>
          <w:tcPr>
            <w:tcW w:w="5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317,774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8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participants: 4.75%</w:t>
            </w:r>
          </w:p>
        </w:tc>
        <w:tc>
          <w:tcPr>
            <w:tcW w:w="5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6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80" w:type="dxa"/>
            <w:vAlign w:val="bottom"/>
            <w:vMerge w:val="continue"/>
            <w:shd w:val="clear" w:color="auto" w:fill="CFF0FC"/>
          </w:tcPr>
          <w:p>
            <w:pPr>
              <w:spacing w:after="0"/>
              <w:rPr>
                <w:sz w:val="9"/>
                <w:szCs w:val="9"/>
                <w:color w:val="auto"/>
              </w:rPr>
            </w:pPr>
          </w:p>
        </w:tc>
        <w:tc>
          <w:tcPr>
            <w:tcW w:w="5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tcBorders>
              <w:bottom w:val="single" w:sz="8" w:color="auto"/>
            </w:tcBorders>
            <w:shd w:val="clear" w:color="auto" w:fill="CFF0FC"/>
          </w:tcPr>
          <w:p>
            <w:pPr>
              <w:spacing w:after="0"/>
              <w:rPr>
                <w:sz w:val="9"/>
                <w:szCs w:val="9"/>
                <w:color w:val="auto"/>
              </w:rPr>
            </w:pPr>
          </w:p>
        </w:tc>
        <w:tc>
          <w:tcPr>
            <w:tcW w:w="1460" w:type="dxa"/>
            <w:vAlign w:val="bottom"/>
            <w:tcBorders>
              <w:bottom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18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13,432,951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8255</wp:posOffset>
            </wp:positionV>
            <wp:extent cx="1080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25400</wp:posOffset>
            </wp:positionV>
            <wp:extent cx="1080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*Indicates party-in-interest to the Plan.</w:t>
      </w:r>
    </w:p>
    <w:p>
      <w:pPr>
        <w:spacing w:after="0" w:line="279"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information may be omitted for plan assets which are participant-directed.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$28,127 of non participant-directed, unallocated forfeitures for which historical cost approximates current value.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ind w:left="5060"/>
        <w:spacing w:after="0"/>
        <w:rPr>
          <w:sz w:val="20"/>
          <w:szCs w:val="20"/>
          <w:color w:val="auto"/>
        </w:rPr>
      </w:pPr>
      <w:r>
        <w:rPr>
          <w:rFonts w:ascii="Arial" w:cs="Arial" w:eastAsia="Arial" w:hAnsi="Arial"/>
          <w:sz w:val="16"/>
          <w:szCs w:val="16"/>
          <w:b w:val="1"/>
          <w:bCs w:val="1"/>
          <w:color w:val="auto"/>
        </w:rPr>
        <w:t>Index to Exhibits</w:t>
      </w:r>
    </w:p>
    <w:p>
      <w:pPr>
        <w:spacing w:after="0" w:line="252"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121"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1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Destination XL Group, Inc. 401(k) Hourly Savings plan</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Peter H. Stratton, Jr.</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Peter H. Stratton, Jr., Senior Vice President and Chief</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Financial Officer of Destination XL Group, Inc., the Plan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Administrator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25,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0"/>
          <w:szCs w:val="20"/>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consent to the incorporation by reference in the Registration Statement (No. 333-112218) on Form S-8 of our report dated June 25, 2015, relating to the statements of net assets available for benefits of Destination XL Group, Inc. 401(k) Hourly Savings Plan as of December 31, 2014, and 2013, the related statement of changes in net assets available for benefits for the year ended December 31, 2014, and the related supplemental schedule as of December 31, 2014, which report appears in the December 31, 2014 annual report on Form 11-K of Destination XL Group, Inc. 401(k) Hourly Savings Plan.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CPAs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(The New York Practice of Mayer Hoffman McCann P.C.)</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June 25, 2015</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2019-12-06T01:22:30Z</dcterms:created>
  <dcterms:modified xsi:type="dcterms:W3CDTF">2019-12-06T01:22:30Z</dcterms:modified>
</cp:coreProperties>
</file>