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Material Definitive Agreement</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On September 4, 2018, Destination XL Group, Inc. (the “Company”) entered into the Second Amendment to Employment and Chairman Compensation Agreement (the “Amendment”) with Seymour Holtzman, the Company’s Executive Chairman of the Board of Directors (the “Board”). The Amendment amends the Employment and Chairman Compensation Agreement dated as of August 7, 2014, as amended on May 25, 2017 (the “Agreement”).</w:t>
      </w:r>
    </w:p>
    <w:p>
      <w:pPr>
        <w:spacing w:after="0" w:line="18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Pursuant to the terms of the Amendment, Mr. Holtzman’s annual compensation for his services as Chairman of the Board, with the title “Executive Chairman”, was reduced from $200,000 to $176,000. Mr. Holtzman will continue to receive an annual base salary of $24,000 for his service as an employee of the Company, reporting to the Board. No other changes to the Agreement were made.</w:t>
      </w:r>
    </w:p>
    <w:p>
      <w:pPr>
        <w:spacing w:after="0" w:line="18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foregoing description is qualified in its entirety by reference to the Amendment, which is attached hereto as Exhibit 10.1 to this Current Report on Form 8-K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Termination of a Material Definitive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Concurrently with the Amendment, on September 4, 2018, the Board, pursuant to Section 2 of the Agreement, provided written notification to Mr. Holtzman that the Company will not be extending the term of the Agreement and, as a result, the Agreement will terminate on August 7, 2020.</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40" w:type="dxa"/>
            <w:vAlign w:val="bottom"/>
            <w:gridSpan w:val="2"/>
          </w:tcPr>
          <w:p>
            <w:pPr>
              <w:spacing w:after="0"/>
              <w:rPr>
                <w:sz w:val="20"/>
                <w:szCs w:val="20"/>
                <w:color w:val="auto"/>
              </w:rPr>
            </w:pPr>
            <w:r>
              <w:rPr>
                <w:rFonts w:ascii="Arial" w:cs="Arial" w:eastAsia="Arial" w:hAnsi="Arial"/>
                <w:sz w:val="22"/>
                <w:szCs w:val="22"/>
                <w:color w:val="auto"/>
              </w:rPr>
              <w:t>(d) Exhibits</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40" w:type="dxa"/>
            <w:vAlign w:val="bottom"/>
          </w:tcPr>
          <w:p>
            <w:pPr>
              <w:spacing w:after="0"/>
              <w:rPr>
                <w:sz w:val="23"/>
                <w:szCs w:val="23"/>
                <w:color w:val="auto"/>
              </w:rPr>
            </w:pPr>
          </w:p>
        </w:tc>
      </w:tr>
      <w:tr>
        <w:trPr>
          <w:trHeight w:val="436"/>
        </w:trPr>
        <w:tc>
          <w:tcPr>
            <w:tcW w:w="164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20" w:type="dxa"/>
            <w:vAlign w:val="bottom"/>
            <w:gridSpan w:val="5"/>
          </w:tcPr>
          <w:p>
            <w:pPr>
              <w:ind w:left="260"/>
              <w:spacing w:after="0"/>
              <w:rPr>
                <w:sz w:val="20"/>
                <w:szCs w:val="20"/>
                <w:color w:val="auto"/>
              </w:rPr>
            </w:pPr>
            <w:r>
              <w:rPr>
                <w:rFonts w:ascii="Arial" w:cs="Arial" w:eastAsia="Arial" w:hAnsi="Arial"/>
                <w:sz w:val="22"/>
                <w:szCs w:val="22"/>
                <w:color w:val="auto"/>
              </w:rPr>
              <w:t>Description</w:t>
            </w:r>
          </w:p>
        </w:tc>
      </w:tr>
      <w:tr>
        <w:trPr>
          <w:trHeight w:val="20"/>
        </w:trPr>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66"/>
        </w:trPr>
        <w:tc>
          <w:tcPr>
            <w:tcW w:w="1400" w:type="dxa"/>
            <w:vAlign w:val="bottom"/>
          </w:tcPr>
          <w:p>
            <w:pPr>
              <w:jc w:val="right"/>
              <w:ind w:right="832"/>
              <w:spacing w:after="0"/>
              <w:rPr>
                <w:sz w:val="20"/>
                <w:szCs w:val="20"/>
                <w:color w:val="auto"/>
              </w:rPr>
            </w:pPr>
            <w:r>
              <w:rPr>
                <w:rFonts w:ascii="Arial" w:cs="Arial" w:eastAsia="Arial" w:hAnsi="Arial"/>
                <w:sz w:val="22"/>
                <w:szCs w:val="22"/>
                <w:color w:val="auto"/>
              </w:rPr>
              <w:t>10.1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tcBorders>
              <w:bottom w:val="single" w:sz="8" w:color="0000EE"/>
            </w:tcBorders>
            <w:gridSpan w:val="3"/>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Second Amendment to Employment and Chairman Compensation Agreement between the Company and</w:t>
              </w:r>
            </w:hyperlink>
          </w:p>
        </w:tc>
      </w:tr>
      <w:tr>
        <w:trPr>
          <w:trHeight w:val="223"/>
        </w:trPr>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10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Seymour Holtzman</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September 7,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7620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Robert S. Molloy</w:t>
      </w:r>
    </w:p>
    <w:p>
      <w:pPr>
        <w:jc w:val="center"/>
        <w:ind w:left="670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70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20"/>
          </w:cols>
          <w:pgMar w:left="240" w:top="111" w:right="339" w:bottom="1440" w:gutter="0" w:footer="0" w:header="0"/>
        </w:sectPr>
      </w:pPr>
    </w:p>
    <w:bookmarkStart w:id="3" w:name="page4"/>
    <w:bookmarkEnd w:id="3"/>
    <w:p>
      <w:pPr>
        <w:ind w:left="9980"/>
        <w:spacing w:after="0"/>
        <w:rPr>
          <w:sz w:val="20"/>
          <w:szCs w:val="20"/>
          <w:color w:val="auto"/>
        </w:rPr>
      </w:pPr>
      <w:r>
        <w:rPr>
          <w:rFonts w:ascii="Arial" w:cs="Arial" w:eastAsia="Arial" w:hAnsi="Arial"/>
          <w:sz w:val="20"/>
          <w:szCs w:val="20"/>
          <w:b w:val="1"/>
          <w:bCs w:val="1"/>
          <w:u w:val="single" w:color="auto"/>
          <w:color w:val="auto"/>
        </w:rPr>
        <w:t>Exhibit 10.1</w:t>
      </w:r>
    </w:p>
    <w:p>
      <w:pPr>
        <w:spacing w:after="0" w:line="379" w:lineRule="exact"/>
        <w:rPr>
          <w:sz w:val="20"/>
          <w:szCs w:val="20"/>
          <w:color w:val="auto"/>
        </w:rPr>
      </w:pPr>
    </w:p>
    <w:p>
      <w:pPr>
        <w:ind w:left="1120"/>
        <w:spacing w:after="0"/>
        <w:rPr>
          <w:sz w:val="20"/>
          <w:szCs w:val="20"/>
          <w:color w:val="auto"/>
        </w:rPr>
      </w:pPr>
      <w:r>
        <w:rPr>
          <w:rFonts w:ascii="Arial" w:cs="Arial" w:eastAsia="Arial" w:hAnsi="Arial"/>
          <w:sz w:val="20"/>
          <w:szCs w:val="20"/>
          <w:b w:val="1"/>
          <w:bCs w:val="1"/>
          <w:u w:val="single" w:color="auto"/>
          <w:color w:val="auto"/>
        </w:rPr>
        <w:t>SECOND AMENDMENT TO EMPLOYMENT AND CHAIRMAN COMPENSATION AGREEMENT</w:t>
      </w:r>
    </w:p>
    <w:p>
      <w:pPr>
        <w:spacing w:after="0" w:line="249" w:lineRule="exact"/>
        <w:rPr>
          <w:sz w:val="20"/>
          <w:szCs w:val="20"/>
          <w:color w:val="auto"/>
        </w:rPr>
      </w:pPr>
    </w:p>
    <w:p>
      <w:pPr>
        <w:jc w:val="both"/>
        <w:ind w:left="20" w:firstLine="2"/>
        <w:spacing w:after="0" w:line="272" w:lineRule="auto"/>
        <w:rPr>
          <w:sz w:val="20"/>
          <w:szCs w:val="20"/>
          <w:color w:val="auto"/>
        </w:rPr>
      </w:pPr>
      <w:r>
        <w:rPr>
          <w:rFonts w:ascii="Arial" w:cs="Arial" w:eastAsia="Arial" w:hAnsi="Arial"/>
          <w:sz w:val="18"/>
          <w:szCs w:val="18"/>
          <w:color w:val="auto"/>
        </w:rPr>
        <w:t>This Second Amendment to Employment and Chairman Compensation Agreement ("Amendment") is made as of August 9, 2018 between DESTINATION XL GROUP, INC., a Delaware corporation with an office at 555 Turnpike Street, Canton, Massachusetts, 02021 (the "Company"), and SEYMOUR HOLTZMAN ("Mr. Holtzman") having an address at 306 Chilean, Palm Beach, FL 33480-4632.</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240" w:lineRule="exact"/>
        <w:rPr>
          <w:sz w:val="20"/>
          <w:szCs w:val="20"/>
          <w:color w:val="auto"/>
        </w:rPr>
      </w:pPr>
    </w:p>
    <w:p>
      <w:pPr>
        <w:jc w:val="both"/>
        <w:ind w:left="20" w:right="20" w:firstLine="509"/>
        <w:spacing w:after="0" w:line="260" w:lineRule="auto"/>
        <w:rPr>
          <w:sz w:val="20"/>
          <w:szCs w:val="20"/>
          <w:color w:val="auto"/>
        </w:rPr>
      </w:pPr>
      <w:r>
        <w:rPr>
          <w:rFonts w:ascii="Arial" w:cs="Arial" w:eastAsia="Arial" w:hAnsi="Arial"/>
          <w:sz w:val="20"/>
          <w:szCs w:val="20"/>
          <w:color w:val="auto"/>
        </w:rPr>
        <w:t>WHEREAS, the Company and Mr. Holtzman are parties to that certain Employment and Chairman Compensation Agreement dated as of August 7, 2014, which was amended effective as of May 25, 2017 (as amended, the "Agreement");</w:t>
      </w:r>
    </w:p>
    <w:p>
      <w:pPr>
        <w:spacing w:after="0" w:line="190" w:lineRule="exact"/>
        <w:rPr>
          <w:sz w:val="20"/>
          <w:szCs w:val="20"/>
          <w:color w:val="auto"/>
        </w:rPr>
      </w:pPr>
    </w:p>
    <w:p>
      <w:pPr>
        <w:jc w:val="both"/>
        <w:ind w:left="20" w:firstLine="509"/>
        <w:spacing w:after="0" w:line="260" w:lineRule="auto"/>
        <w:rPr>
          <w:sz w:val="20"/>
          <w:szCs w:val="20"/>
          <w:color w:val="auto"/>
        </w:rPr>
      </w:pPr>
      <w:r>
        <w:rPr>
          <w:rFonts w:ascii="Arial" w:cs="Arial" w:eastAsia="Arial" w:hAnsi="Arial"/>
          <w:sz w:val="20"/>
          <w:szCs w:val="20"/>
          <w:color w:val="auto"/>
        </w:rPr>
        <w:t>WHEREAS, concurrent herewith, the Company is giving Mr. Holtzman written notice of non-extension of the Agreement, meaning the Term will not extend beyond August 7, 2020; and</w:t>
      </w:r>
    </w:p>
    <w:p>
      <w:pPr>
        <w:spacing w:after="0" w:line="204" w:lineRule="exact"/>
        <w:rPr>
          <w:sz w:val="20"/>
          <w:szCs w:val="20"/>
          <w:color w:val="auto"/>
        </w:rPr>
      </w:pPr>
    </w:p>
    <w:p>
      <w:pPr>
        <w:jc w:val="both"/>
        <w:ind w:left="20" w:right="20" w:firstLine="502"/>
        <w:spacing w:after="0" w:line="260" w:lineRule="auto"/>
        <w:rPr>
          <w:sz w:val="20"/>
          <w:szCs w:val="20"/>
          <w:color w:val="auto"/>
        </w:rPr>
      </w:pPr>
      <w:r>
        <w:rPr>
          <w:rFonts w:ascii="Arial" w:cs="Arial" w:eastAsia="Arial" w:hAnsi="Arial"/>
          <w:sz w:val="20"/>
          <w:szCs w:val="20"/>
          <w:color w:val="auto"/>
        </w:rPr>
        <w:t>WHEREAS, the parties have agreed to adjust the compensation to be paid to Mr. Holtzman in his role as the Executive Chairman of the Company under the Agreement.</w:t>
      </w:r>
    </w:p>
    <w:p>
      <w:pPr>
        <w:spacing w:after="0" w:line="190" w:lineRule="exact"/>
        <w:rPr>
          <w:sz w:val="20"/>
          <w:szCs w:val="20"/>
          <w:color w:val="auto"/>
        </w:rPr>
      </w:pPr>
    </w:p>
    <w:p>
      <w:pPr>
        <w:jc w:val="both"/>
        <w:ind w:left="20" w:firstLine="497"/>
        <w:spacing w:after="0" w:line="260" w:lineRule="auto"/>
        <w:rPr>
          <w:sz w:val="20"/>
          <w:szCs w:val="20"/>
          <w:color w:val="auto"/>
        </w:rPr>
      </w:pPr>
      <w:r>
        <w:rPr>
          <w:rFonts w:ascii="Arial" w:cs="Arial" w:eastAsia="Arial" w:hAnsi="Arial"/>
          <w:sz w:val="20"/>
          <w:szCs w:val="20"/>
          <w:color w:val="auto"/>
        </w:rPr>
        <w:t>NOW, THEREFORE, in consideration of the promises and the mutual promises, representations and covenants herein contained, the parties hereto agree as follows:</w:t>
      </w:r>
    </w:p>
    <w:p>
      <w:pPr>
        <w:spacing w:after="0" w:line="204" w:lineRule="exact"/>
        <w:rPr>
          <w:sz w:val="20"/>
          <w:szCs w:val="20"/>
          <w:color w:val="auto"/>
        </w:rPr>
      </w:pPr>
    </w:p>
    <w:p>
      <w:pPr>
        <w:ind w:left="20" w:right="140" w:firstLine="838"/>
        <w:spacing w:after="0" w:line="260" w:lineRule="auto"/>
        <w:tabs>
          <w:tab w:leader="none" w:pos="2251" w:val="left"/>
        </w:tabs>
        <w:numPr>
          <w:ilvl w:val="0"/>
          <w:numId w:val="2"/>
        </w:numPr>
        <w:rPr>
          <w:rFonts w:ascii="Arial" w:cs="Arial" w:eastAsia="Arial" w:hAnsi="Arial"/>
          <w:sz w:val="20"/>
          <w:szCs w:val="20"/>
          <w:color w:val="auto"/>
        </w:rPr>
      </w:pPr>
      <w:r>
        <w:rPr>
          <w:rFonts w:ascii="Arial" w:cs="Arial" w:eastAsia="Arial" w:hAnsi="Arial"/>
          <w:sz w:val="20"/>
          <w:szCs w:val="20"/>
          <w:color w:val="auto"/>
        </w:rPr>
        <w:t>Effective as of August 9, 2018, paragraph 4(a) of the Agreement is hereby deleted in its entirety and the following is hereby substituted in place thereof:</w:t>
      </w:r>
    </w:p>
    <w:p>
      <w:pPr>
        <w:spacing w:after="0" w:line="204" w:lineRule="exact"/>
        <w:rPr>
          <w:sz w:val="20"/>
          <w:szCs w:val="20"/>
          <w:color w:val="auto"/>
        </w:rPr>
      </w:pPr>
    </w:p>
    <w:p>
      <w:pPr>
        <w:jc w:val="both"/>
        <w:ind w:firstLine="843"/>
        <w:spacing w:after="0" w:line="246" w:lineRule="auto"/>
        <w:rPr>
          <w:sz w:val="20"/>
          <w:szCs w:val="20"/>
          <w:color w:val="auto"/>
        </w:rPr>
      </w:pPr>
      <w:r>
        <w:rPr>
          <w:rFonts w:ascii="Arial" w:cs="Arial" w:eastAsia="Arial" w:hAnsi="Arial"/>
          <w:sz w:val="20"/>
          <w:szCs w:val="20"/>
          <w:color w:val="auto"/>
        </w:rPr>
        <w:t>(a) During the Term, as compensation for the services to be rendered by Mr. Holtzman in his capacity as Chairman of the Board, with the title "Executive Chairman", the Company agrees to pay to Mr. Holtzman, and Mr. Holtzman agrees to accept, director compensation of One Hundred and Seventy-Six Thousand and 00/100 Dollars ($176,000.00), payable in equal monthly installments.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ind w:left="860"/>
              <w:spacing w:after="0"/>
              <w:rPr>
                <w:sz w:val="20"/>
                <w:szCs w:val="20"/>
                <w:color w:val="auto"/>
              </w:rPr>
            </w:pPr>
            <w:r>
              <w:rPr>
                <w:rFonts w:ascii="Arial" w:cs="Arial" w:eastAsia="Arial" w:hAnsi="Arial"/>
                <w:sz w:val="20"/>
                <w:szCs w:val="20"/>
                <w:color w:val="auto"/>
              </w:rPr>
              <w:t>2.</w:t>
            </w:r>
          </w:p>
        </w:tc>
        <w:tc>
          <w:tcPr>
            <w:tcW w:w="9440" w:type="dxa"/>
            <w:vAlign w:val="bottom"/>
          </w:tcPr>
          <w:p>
            <w:pPr>
              <w:ind w:left="700"/>
              <w:spacing w:after="0"/>
              <w:rPr>
                <w:sz w:val="20"/>
                <w:szCs w:val="20"/>
                <w:color w:val="auto"/>
              </w:rPr>
            </w:pPr>
            <w:r>
              <w:rPr>
                <w:rFonts w:ascii="Arial" w:cs="Arial" w:eastAsia="Arial" w:hAnsi="Arial"/>
                <w:sz w:val="20"/>
                <w:szCs w:val="20"/>
                <w:color w:val="auto"/>
                <w:w w:val="89"/>
              </w:rPr>
              <w:t>Except as otherwise modified hereby, the terms and conditions of the Agreement are hereby ratified, approved</w:t>
            </w:r>
          </w:p>
        </w:tc>
      </w:tr>
      <w:tr>
        <w:trPr>
          <w:trHeight w:val="250"/>
        </w:trPr>
        <w:tc>
          <w:tcPr>
            <w:tcW w:w="11100" w:type="dxa"/>
            <w:vAlign w:val="bottom"/>
            <w:gridSpan w:val="2"/>
          </w:tcPr>
          <w:p>
            <w:pPr>
              <w:spacing w:after="0"/>
              <w:rPr>
                <w:sz w:val="20"/>
                <w:szCs w:val="20"/>
                <w:color w:val="auto"/>
              </w:rPr>
            </w:pPr>
            <w:r>
              <w:rPr>
                <w:rFonts w:ascii="Arial" w:cs="Arial" w:eastAsia="Arial" w:hAnsi="Arial"/>
                <w:sz w:val="20"/>
                <w:szCs w:val="20"/>
                <w:color w:val="auto"/>
              </w:rPr>
              <w:t>and confirmed as of the date hereof and shall remain in full force and effect.</w:t>
            </w:r>
          </w:p>
        </w:tc>
      </w:tr>
      <w:tr>
        <w:trPr>
          <w:trHeight w:val="452"/>
        </w:trPr>
        <w:tc>
          <w:tcPr>
            <w:tcW w:w="1660" w:type="dxa"/>
            <w:vAlign w:val="bottom"/>
          </w:tcPr>
          <w:p>
            <w:pPr>
              <w:ind w:left="840"/>
              <w:spacing w:after="0"/>
              <w:rPr>
                <w:sz w:val="20"/>
                <w:szCs w:val="20"/>
                <w:color w:val="auto"/>
              </w:rPr>
            </w:pPr>
            <w:r>
              <w:rPr>
                <w:rFonts w:ascii="Arial" w:cs="Arial" w:eastAsia="Arial" w:hAnsi="Arial"/>
                <w:sz w:val="20"/>
                <w:szCs w:val="20"/>
                <w:color w:val="auto"/>
              </w:rPr>
              <w:t>3.</w:t>
            </w:r>
          </w:p>
        </w:tc>
        <w:tc>
          <w:tcPr>
            <w:tcW w:w="9440" w:type="dxa"/>
            <w:vAlign w:val="bottom"/>
          </w:tcPr>
          <w:p>
            <w:pPr>
              <w:ind w:left="660"/>
              <w:spacing w:after="0"/>
              <w:rPr>
                <w:sz w:val="20"/>
                <w:szCs w:val="20"/>
                <w:color w:val="auto"/>
              </w:rPr>
            </w:pPr>
            <w:r>
              <w:rPr>
                <w:rFonts w:ascii="Arial" w:cs="Arial" w:eastAsia="Arial" w:hAnsi="Arial"/>
                <w:sz w:val="20"/>
                <w:szCs w:val="20"/>
                <w:color w:val="auto"/>
                <w:w w:val="91"/>
              </w:rPr>
              <w:t>This Amendment supersedes all prior communications between the parties hereto with respect to the subject</w:t>
            </w:r>
          </w:p>
        </w:tc>
      </w:tr>
      <w:tr>
        <w:trPr>
          <w:trHeight w:val="250"/>
        </w:trPr>
        <w:tc>
          <w:tcPr>
            <w:tcW w:w="11100" w:type="dxa"/>
            <w:vAlign w:val="bottom"/>
            <w:gridSpan w:val="2"/>
          </w:tcPr>
          <w:p>
            <w:pPr>
              <w:ind w:left="20"/>
              <w:spacing w:after="0"/>
              <w:rPr>
                <w:sz w:val="20"/>
                <w:szCs w:val="20"/>
                <w:color w:val="auto"/>
              </w:rPr>
            </w:pPr>
            <w:r>
              <w:rPr>
                <w:rFonts w:ascii="Arial" w:cs="Arial" w:eastAsia="Arial" w:hAnsi="Arial"/>
                <w:sz w:val="20"/>
                <w:szCs w:val="20"/>
                <w:color w:val="auto"/>
              </w:rPr>
              <w:t>matter hereof and shall be binding upon and inure to the benefit of the parties, their respective successors and assigns.</w:t>
            </w:r>
          </w:p>
        </w:tc>
      </w:tr>
      <w:tr>
        <w:trPr>
          <w:trHeight w:val="468"/>
        </w:trPr>
        <w:tc>
          <w:tcPr>
            <w:tcW w:w="1660" w:type="dxa"/>
            <w:vAlign w:val="bottom"/>
          </w:tcPr>
          <w:p>
            <w:pPr>
              <w:ind w:left="840"/>
              <w:spacing w:after="0"/>
              <w:rPr>
                <w:sz w:val="20"/>
                <w:szCs w:val="20"/>
                <w:color w:val="auto"/>
              </w:rPr>
            </w:pPr>
            <w:r>
              <w:rPr>
                <w:rFonts w:ascii="Arial" w:cs="Arial" w:eastAsia="Arial" w:hAnsi="Arial"/>
                <w:sz w:val="20"/>
                <w:szCs w:val="20"/>
                <w:color w:val="auto"/>
              </w:rPr>
              <w:t>4.</w:t>
            </w:r>
          </w:p>
        </w:tc>
        <w:tc>
          <w:tcPr>
            <w:tcW w:w="9440" w:type="dxa"/>
            <w:vAlign w:val="bottom"/>
          </w:tcPr>
          <w:p>
            <w:pPr>
              <w:ind w:left="680"/>
              <w:spacing w:after="0"/>
              <w:rPr>
                <w:sz w:val="20"/>
                <w:szCs w:val="20"/>
                <w:color w:val="auto"/>
              </w:rPr>
            </w:pPr>
            <w:r>
              <w:rPr>
                <w:rFonts w:ascii="Arial" w:cs="Arial" w:eastAsia="Arial" w:hAnsi="Arial"/>
                <w:sz w:val="20"/>
                <w:szCs w:val="20"/>
                <w:color w:val="auto"/>
                <w:w w:val="88"/>
              </w:rPr>
              <w:t>This Amendment may be executed in one or more counterparts, each of which shall be deemed an original and</w:t>
            </w:r>
          </w:p>
        </w:tc>
      </w:tr>
    </w:tbl>
    <w:p>
      <w:pPr>
        <w:spacing w:after="0"/>
        <w:rPr>
          <w:sz w:val="20"/>
          <w:szCs w:val="20"/>
          <w:color w:val="auto"/>
        </w:rPr>
      </w:pPr>
      <w:r>
        <w:rPr>
          <w:rFonts w:ascii="Arial" w:cs="Arial" w:eastAsia="Arial" w:hAnsi="Arial"/>
          <w:sz w:val="20"/>
          <w:szCs w:val="20"/>
          <w:color w:val="auto"/>
        </w:rPr>
        <w:t>all of which shall constitute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793750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400" w:top="116"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IN WITNESS WHEREOF, the parties hereto have executed this Amendment, under seal, as of the date and year first above written.</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gridSpan w:val="4"/>
          </w:tcPr>
          <w:p>
            <w:pPr>
              <w:spacing w:after="0"/>
              <w:rPr>
                <w:sz w:val="20"/>
                <w:szCs w:val="20"/>
                <w:color w:val="auto"/>
              </w:rPr>
            </w:pPr>
            <w:r>
              <w:rPr>
                <w:rFonts w:ascii="Arial" w:cs="Arial" w:eastAsia="Arial" w:hAnsi="Arial"/>
                <w:sz w:val="20"/>
                <w:szCs w:val="20"/>
                <w:color w:val="auto"/>
              </w:rPr>
              <w:t>DESTINATION XL GROUP, INC.</w:t>
            </w: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15"/>
        </w:trPr>
        <w:tc>
          <w:tcPr>
            <w:tcW w:w="2980" w:type="dxa"/>
            <w:vAlign w:val="bottom"/>
            <w:gridSpan w:val="4"/>
          </w:tcPr>
          <w:p>
            <w:pPr>
              <w:spacing w:after="0"/>
              <w:rPr>
                <w:sz w:val="20"/>
                <w:szCs w:val="20"/>
                <w:color w:val="auto"/>
              </w:rPr>
            </w:pPr>
            <w:r>
              <w:rPr>
                <w:rFonts w:ascii="Arial" w:cs="Arial" w:eastAsia="Arial" w:hAnsi="Arial"/>
                <w:sz w:val="20"/>
                <w:szCs w:val="20"/>
                <w:color w:val="auto"/>
              </w:rPr>
              <w:t>By: /s/ Willem Mesdag</w:t>
            </w:r>
          </w:p>
        </w:tc>
        <w:tc>
          <w:tcPr>
            <w:tcW w:w="2120" w:type="dxa"/>
            <w:vAlign w:val="bottom"/>
            <w:gridSpan w:val="2"/>
          </w:tcPr>
          <w:p>
            <w:pPr>
              <w:ind w:left="160"/>
              <w:spacing w:after="0"/>
              <w:rPr>
                <w:sz w:val="20"/>
                <w:szCs w:val="20"/>
                <w:color w:val="auto"/>
              </w:rPr>
            </w:pPr>
            <w:r>
              <w:rPr>
                <w:rFonts w:ascii="Arial" w:cs="Arial" w:eastAsia="Arial" w:hAnsi="Arial"/>
                <w:sz w:val="20"/>
                <w:szCs w:val="20"/>
                <w:color w:val="auto"/>
                <w:w w:val="86"/>
              </w:rPr>
              <w:t>Date: September 4, 2018</w:t>
            </w:r>
          </w:p>
        </w:tc>
      </w:tr>
      <w:tr>
        <w:trPr>
          <w:trHeight w:val="20"/>
        </w:trPr>
        <w:tc>
          <w:tcPr>
            <w:tcW w:w="24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33"/>
        </w:trPr>
        <w:tc>
          <w:tcPr>
            <w:tcW w:w="2980" w:type="dxa"/>
            <w:vAlign w:val="bottom"/>
            <w:gridSpan w:val="4"/>
          </w:tcPr>
          <w:p>
            <w:pPr>
              <w:spacing w:after="0"/>
              <w:rPr>
                <w:sz w:val="20"/>
                <w:szCs w:val="20"/>
                <w:color w:val="auto"/>
              </w:rPr>
            </w:pPr>
            <w:r>
              <w:rPr>
                <w:rFonts w:ascii="Arial" w:cs="Arial" w:eastAsia="Arial" w:hAnsi="Arial"/>
                <w:sz w:val="20"/>
                <w:szCs w:val="20"/>
                <w:color w:val="auto"/>
              </w:rPr>
              <w:t>Name: Willem Mesdag</w:t>
            </w:r>
          </w:p>
        </w:tc>
        <w:tc>
          <w:tcPr>
            <w:tcW w:w="6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0"/>
        </w:trPr>
        <w:tc>
          <w:tcPr>
            <w:tcW w:w="600" w:type="dxa"/>
            <w:vAlign w:val="bottom"/>
            <w:gridSpan w:val="2"/>
          </w:tcPr>
          <w:p>
            <w:pPr>
              <w:spacing w:after="0"/>
              <w:rPr>
                <w:sz w:val="20"/>
                <w:szCs w:val="20"/>
                <w:color w:val="auto"/>
              </w:rPr>
            </w:pPr>
            <w:r>
              <w:rPr>
                <w:rFonts w:ascii="Arial" w:cs="Arial" w:eastAsia="Arial" w:hAnsi="Arial"/>
                <w:sz w:val="20"/>
                <w:szCs w:val="20"/>
                <w:color w:val="auto"/>
              </w:rPr>
              <w:t>Its:</w:t>
            </w:r>
          </w:p>
        </w:tc>
        <w:tc>
          <w:tcPr>
            <w:tcW w:w="4500" w:type="dxa"/>
            <w:vAlign w:val="bottom"/>
            <w:gridSpan w:val="4"/>
          </w:tcPr>
          <w:p>
            <w:pPr>
              <w:ind w:left="360"/>
              <w:spacing w:after="0"/>
              <w:rPr>
                <w:sz w:val="20"/>
                <w:szCs w:val="20"/>
                <w:color w:val="auto"/>
              </w:rPr>
            </w:pPr>
            <w:r>
              <w:rPr>
                <w:rFonts w:ascii="Arial" w:cs="Arial" w:eastAsia="Arial" w:hAnsi="Arial"/>
                <w:sz w:val="20"/>
                <w:szCs w:val="20"/>
                <w:color w:val="auto"/>
              </w:rPr>
              <w:t>Chairman of the Compensation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gridSpan w:val="3"/>
          </w:tcPr>
          <w:p>
            <w:pPr>
              <w:spacing w:after="0"/>
              <w:rPr>
                <w:sz w:val="20"/>
                <w:szCs w:val="20"/>
                <w:color w:val="auto"/>
              </w:rPr>
            </w:pPr>
            <w:r>
              <w:rPr>
                <w:rFonts w:ascii="Arial" w:cs="Arial" w:eastAsia="Arial" w:hAnsi="Arial"/>
                <w:sz w:val="20"/>
                <w:szCs w:val="20"/>
                <w:color w:val="auto"/>
              </w:rPr>
              <w:t>By: /s/ Seymour Holtzman</w:t>
            </w:r>
          </w:p>
        </w:tc>
        <w:tc>
          <w:tcPr>
            <w:tcW w:w="2100" w:type="dxa"/>
            <w:vAlign w:val="bottom"/>
            <w:gridSpan w:val="2"/>
          </w:tcPr>
          <w:p>
            <w:pPr>
              <w:ind w:left="320"/>
              <w:spacing w:after="0"/>
              <w:rPr>
                <w:sz w:val="20"/>
                <w:szCs w:val="20"/>
                <w:color w:val="auto"/>
              </w:rPr>
            </w:pPr>
            <w:r>
              <w:rPr>
                <w:rFonts w:ascii="Arial" w:cs="Arial" w:eastAsia="Arial" w:hAnsi="Arial"/>
                <w:sz w:val="20"/>
                <w:szCs w:val="20"/>
                <w:color w:val="auto"/>
                <w:w w:val="88"/>
              </w:rPr>
              <w:t>Date: August 31, 2018</w:t>
            </w:r>
          </w:p>
        </w:tc>
      </w:tr>
      <w:tr>
        <w:trPr>
          <w:trHeight w:val="20"/>
        </w:trPr>
        <w:tc>
          <w:tcPr>
            <w:tcW w:w="3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54"/>
        </w:trPr>
        <w:tc>
          <w:tcPr>
            <w:tcW w:w="2460" w:type="dxa"/>
            <w:vAlign w:val="bottom"/>
            <w:gridSpan w:val="3"/>
          </w:tcPr>
          <w:p>
            <w:pPr>
              <w:spacing w:after="0"/>
              <w:rPr>
                <w:sz w:val="20"/>
                <w:szCs w:val="20"/>
                <w:color w:val="auto"/>
              </w:rPr>
            </w:pPr>
            <w:r>
              <w:rPr>
                <w:rFonts w:ascii="Arial" w:cs="Arial" w:eastAsia="Arial" w:hAnsi="Arial"/>
                <w:sz w:val="20"/>
                <w:szCs w:val="20"/>
                <w:color w:val="auto"/>
              </w:rPr>
              <w:t>Name: Seymour Holtzman</w:t>
            </w:r>
          </w:p>
        </w:tc>
        <w:tc>
          <w:tcPr>
            <w:tcW w:w="80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0440"/>
      </w:cols>
      <w:pgMar w:left="400" w:top="122"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2019-12-28T19:42:02Z</dcterms:created>
  <dcterms:modified xsi:type="dcterms:W3CDTF">2019-12-28T19:42:02Z</dcterms:modified>
</cp:coreProperties>
</file>