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215265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231775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126365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137795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 w:lineRule="exact"/>
        <w:rPr>
          <w:sz w:val="24"/>
          <w:szCs w:val="24"/>
          <w:color w:val="auto"/>
        </w:rPr>
      </w:pPr>
    </w:p>
    <w:p>
      <w:pPr>
        <w:ind w:left="3960" w:right="1760" w:hanging="3954"/>
        <w:spacing w:after="0" w:line="379" w:lineRule="auto"/>
        <w:tabs>
          <w:tab w:leader="none" w:pos="5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4, 2018</w:t>
      </w:r>
    </w:p>
    <w:p>
      <w:pPr>
        <w:spacing w:after="0" w:line="287" w:lineRule="exact"/>
        <w:rPr>
          <w:sz w:val="24"/>
          <w:szCs w:val="24"/>
          <w:color w:val="auto"/>
        </w:rPr>
      </w:pPr>
    </w:p>
    <w:p>
      <w:pPr>
        <w:ind w:left="580" w:hanging="574"/>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132715</wp:posOffset>
            </wp:positionV>
            <wp:extent cx="145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DESTINATION XL GROUP, INC.</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128270</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40" w:type="dxa"/>
            <w:vAlign w:val="bottom"/>
          </w:tcPr>
          <w:p>
            <w:pPr>
              <w:jc w:val="center"/>
              <w:ind w:right="2025"/>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3"/>
        </w:trPr>
        <w:tc>
          <w:tcPr>
            <w:tcW w:w="4140" w:type="dxa"/>
            <w:vAlign w:val="bottom"/>
          </w:tcPr>
          <w:p>
            <w:pPr>
              <w:jc w:val="center"/>
              <w:ind w:right="2005"/>
              <w:spacing w:after="0" w:line="133" w:lineRule="exact"/>
              <w:rPr>
                <w:sz w:val="20"/>
                <w:szCs w:val="20"/>
                <w:color w:val="auto"/>
              </w:rPr>
            </w:pPr>
            <w:r>
              <w:rPr>
                <w:rFonts w:ascii="Arial" w:cs="Arial" w:eastAsia="Arial" w:hAnsi="Arial"/>
                <w:sz w:val="12"/>
                <w:szCs w:val="12"/>
                <w:b w:val="1"/>
                <w:bCs w:val="1"/>
                <w:color w:val="auto"/>
                <w:w w:val="93"/>
              </w:rPr>
              <w:t>(State or other jurisdiction of</w:t>
            </w:r>
          </w:p>
        </w:tc>
        <w:tc>
          <w:tcPr>
            <w:tcW w:w="3080" w:type="dxa"/>
            <w:vAlign w:val="bottom"/>
          </w:tcPr>
          <w:p>
            <w:pPr>
              <w:jc w:val="center"/>
              <w:ind w:left="2028"/>
              <w:spacing w:after="0" w:line="133" w:lineRule="exact"/>
              <w:rPr>
                <w:sz w:val="20"/>
                <w:szCs w:val="20"/>
                <w:color w:val="auto"/>
              </w:rPr>
            </w:pPr>
            <w:r>
              <w:rPr>
                <w:rFonts w:ascii="Arial" w:cs="Arial" w:eastAsia="Arial" w:hAnsi="Arial"/>
                <w:sz w:val="12"/>
                <w:szCs w:val="12"/>
                <w:b w:val="1"/>
                <w:bCs w:val="1"/>
                <w:color w:val="auto"/>
                <w:w w:val="97"/>
              </w:rPr>
              <w:t>(I.R.S. Employer</w:t>
            </w:r>
          </w:p>
        </w:tc>
      </w:tr>
      <w:tr>
        <w:trPr>
          <w:trHeight w:val="132"/>
        </w:trPr>
        <w:tc>
          <w:tcPr>
            <w:tcW w:w="4140" w:type="dxa"/>
            <w:vAlign w:val="bottom"/>
          </w:tcPr>
          <w:p>
            <w:pPr>
              <w:jc w:val="center"/>
              <w:ind w:right="2005"/>
              <w:spacing w:after="0" w:line="133" w:lineRule="exact"/>
              <w:rPr>
                <w:sz w:val="20"/>
                <w:szCs w:val="20"/>
                <w:color w:val="auto"/>
              </w:rPr>
            </w:pPr>
            <w:r>
              <w:rPr>
                <w:rFonts w:ascii="Arial" w:cs="Arial" w:eastAsia="Arial" w:hAnsi="Arial"/>
                <w:sz w:val="12"/>
                <w:szCs w:val="12"/>
                <w:b w:val="1"/>
                <w:bCs w:val="1"/>
                <w:color w:val="auto"/>
                <w:w w:val="94"/>
              </w:rPr>
              <w:t>incorporation or organization)</w:t>
            </w:r>
          </w:p>
        </w:tc>
        <w:tc>
          <w:tcPr>
            <w:tcW w:w="3080" w:type="dxa"/>
            <w:vAlign w:val="bottom"/>
          </w:tcPr>
          <w:p>
            <w:pPr>
              <w:jc w:val="center"/>
              <w:ind w:left="2028"/>
              <w:spacing w:after="0" w:line="133" w:lineRule="exact"/>
              <w:rPr>
                <w:sz w:val="20"/>
                <w:szCs w:val="20"/>
                <w:color w:val="auto"/>
              </w:rPr>
            </w:pPr>
            <w:r>
              <w:rPr>
                <w:rFonts w:ascii="Arial" w:cs="Arial" w:eastAsia="Arial" w:hAnsi="Arial"/>
                <w:sz w:val="12"/>
                <w:szCs w:val="12"/>
                <w:b w:val="1"/>
                <w:bCs w:val="1"/>
                <w:color w:val="auto"/>
                <w:w w:val="96"/>
              </w:rPr>
              <w:t>Identification No.)</w:t>
            </w:r>
          </w:p>
        </w:tc>
      </w:tr>
      <w:tr>
        <w:trPr>
          <w:trHeight w:val="212"/>
        </w:trPr>
        <w:tc>
          <w:tcPr>
            <w:tcW w:w="4140" w:type="dxa"/>
            <w:vAlign w:val="bottom"/>
          </w:tcPr>
          <w:p>
            <w:pPr>
              <w:jc w:val="center"/>
              <w:ind w:right="2005"/>
              <w:spacing w:after="0"/>
              <w:rPr>
                <w:sz w:val="20"/>
                <w:szCs w:val="20"/>
                <w:color w:val="auto"/>
              </w:rPr>
            </w:pPr>
            <w:r>
              <w:rPr>
                <w:rFonts w:ascii="Arial" w:cs="Arial" w:eastAsia="Arial" w:hAnsi="Arial"/>
                <w:sz w:val="18"/>
                <w:szCs w:val="18"/>
                <w:b w:val="1"/>
                <w:bCs w:val="1"/>
                <w:color w:val="auto"/>
                <w:w w:val="89"/>
              </w:rPr>
              <w:t>555 Turnpike Street</w:t>
            </w:r>
          </w:p>
        </w:tc>
        <w:tc>
          <w:tcPr>
            <w:tcW w:w="3080" w:type="dxa"/>
            <w:vAlign w:val="bottom"/>
          </w:tcPr>
          <w:p>
            <w:pPr>
              <w:spacing w:after="0"/>
              <w:rPr>
                <w:sz w:val="18"/>
                <w:szCs w:val="18"/>
                <w:color w:val="auto"/>
              </w:rPr>
            </w:pPr>
          </w:p>
        </w:tc>
      </w:tr>
      <w:tr>
        <w:trPr>
          <w:trHeight w:val="212"/>
        </w:trPr>
        <w:tc>
          <w:tcPr>
            <w:tcW w:w="4140" w:type="dxa"/>
            <w:vAlign w:val="bottom"/>
          </w:tcPr>
          <w:p>
            <w:pPr>
              <w:jc w:val="center"/>
              <w:ind w:right="2005"/>
              <w:spacing w:after="0"/>
              <w:rPr>
                <w:sz w:val="20"/>
                <w:szCs w:val="20"/>
                <w:color w:val="auto"/>
              </w:rPr>
            </w:pPr>
            <w:r>
              <w:rPr>
                <w:rFonts w:ascii="Arial" w:cs="Arial" w:eastAsia="Arial" w:hAnsi="Arial"/>
                <w:sz w:val="18"/>
                <w:szCs w:val="18"/>
                <w:b w:val="1"/>
                <w:bCs w:val="1"/>
                <w:color w:val="auto"/>
                <w:w w:val="93"/>
              </w:rPr>
              <w:t>Canton, MA</w:t>
            </w:r>
          </w:p>
        </w:tc>
        <w:tc>
          <w:tcPr>
            <w:tcW w:w="3080" w:type="dxa"/>
            <w:vAlign w:val="bottom"/>
          </w:tcPr>
          <w:p>
            <w:pPr>
              <w:jc w:val="right"/>
              <w:ind w:right="188"/>
              <w:spacing w:after="0"/>
              <w:rPr>
                <w:sz w:val="20"/>
                <w:szCs w:val="20"/>
                <w:color w:val="auto"/>
              </w:rPr>
            </w:pPr>
            <w:r>
              <w:rPr>
                <w:rFonts w:ascii="Arial" w:cs="Arial" w:eastAsia="Arial" w:hAnsi="Arial"/>
                <w:sz w:val="18"/>
                <w:szCs w:val="18"/>
                <w:b w:val="1"/>
                <w:bCs w:val="1"/>
                <w:color w:val="auto"/>
              </w:rPr>
              <w:t>02021</w:t>
            </w:r>
          </w:p>
        </w:tc>
      </w:tr>
      <w:tr>
        <w:trPr>
          <w:trHeight w:val="160"/>
        </w:trPr>
        <w:tc>
          <w:tcPr>
            <w:tcW w:w="4140" w:type="dxa"/>
            <w:vAlign w:val="bottom"/>
          </w:tcPr>
          <w:p>
            <w:pPr>
              <w:jc w:val="center"/>
              <w:ind w:right="2025"/>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3080" w:type="dxa"/>
            <w:vAlign w:val="bottom"/>
          </w:tcPr>
          <w:p>
            <w:pPr>
              <w:jc w:val="center"/>
              <w:ind w:left="2028"/>
              <w:spacing w:after="0"/>
              <w:rPr>
                <w:sz w:val="20"/>
                <w:szCs w:val="20"/>
                <w:color w:val="auto"/>
              </w:rPr>
            </w:pPr>
            <w:r>
              <w:rPr>
                <w:rFonts w:ascii="Arial" w:cs="Arial" w:eastAsia="Arial" w:hAnsi="Arial"/>
                <w:sz w:val="12"/>
                <w:szCs w:val="12"/>
                <w:b w:val="1"/>
                <w:bCs w:val="1"/>
                <w:color w:val="auto"/>
                <w:w w:val="97"/>
              </w:rPr>
              <w:t>(Zip Code)</w:t>
            </w:r>
          </w:p>
        </w:tc>
      </w:tr>
    </w:tbl>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132715</wp:posOffset>
            </wp:positionV>
            <wp:extent cx="1456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99" w:lineRule="exact"/>
        <w:rPr>
          <w:sz w:val="24"/>
          <w:szCs w:val="24"/>
          <w:color w:val="auto"/>
        </w:rPr>
      </w:pPr>
    </w:p>
    <w:p>
      <w:pPr>
        <w:ind w:right="280" w:firstLine="609"/>
        <w:spacing w:after="0" w:line="30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96"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18" w:lineRule="exact"/>
        <w:rPr>
          <w:sz w:val="24"/>
          <w:szCs w:val="24"/>
          <w:color w:val="auto"/>
        </w:rPr>
      </w:pPr>
    </w:p>
    <w:p>
      <w:pPr>
        <w:jc w:val="both"/>
        <w:ind w:right="460" w:firstLine="609"/>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 w:firstLine="609"/>
        <w:spacing w:after="0" w:line="3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80" w:type="dxa"/>
            <w:vAlign w:val="bottom"/>
          </w:tcPr>
          <w:p>
            <w:pPr>
              <w:ind w:left="1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98" w:lineRule="exact"/>
        <w:rPr>
          <w:sz w:val="24"/>
          <w:szCs w:val="24"/>
          <w:color w:val="auto"/>
        </w:rPr>
      </w:pPr>
    </w:p>
    <w:p>
      <w:pPr>
        <w:ind w:right="240" w:firstLine="609"/>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ind w:right="2260" w:firstLine="609"/>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August 17, 2018, the registrant had 49,182,862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146685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513080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20"/>
          </w:cols>
          <w:pgMar w:left="240" w:top="4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color w:val="auto"/>
              </w:rPr>
              <w:t>August 4, 2018</w:t>
            </w:r>
          </w:p>
        </w:tc>
        <w:tc>
          <w:tcPr>
            <w:tcW w:w="20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February 3, 2018</w:t>
            </w:r>
          </w:p>
        </w:tc>
      </w:tr>
      <w:tr>
        <w:trPr>
          <w:trHeight w:val="164"/>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r>
      <w:tr>
        <w:trPr>
          <w:trHeight w:val="152"/>
        </w:trPr>
        <w:tc>
          <w:tcPr>
            <w:tcW w:w="60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102,912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FF0FC"/>
            </w:tcBorders>
          </w:tcPr>
          <w:p>
            <w:pPr>
              <w:spacing w:after="0"/>
              <w:rPr>
                <w:sz w:val="19"/>
                <w:szCs w:val="19"/>
                <w:color w:val="auto"/>
              </w:rPr>
            </w:pPr>
          </w:p>
        </w:tc>
      </w:tr>
      <w:tr>
        <w:trPr>
          <w:trHeight w:val="219"/>
        </w:trPr>
        <w:tc>
          <w:tcPr>
            <w:tcW w:w="6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122,976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121,667</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Property and equipment, net of accumulated depreciation and amortization</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r>
      <w:tr>
        <w:trPr>
          <w:trHeight w:val="258"/>
        </w:trPr>
        <w:tc>
          <w:tcPr>
            <w:tcW w:w="60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234,240</w:t>
            </w:r>
          </w:p>
        </w:tc>
        <w:tc>
          <w:tcPr>
            <w:tcW w:w="28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22"/>
                <w:szCs w:val="22"/>
                <w:color w:val="auto"/>
              </w:rPr>
            </w:pPr>
          </w:p>
        </w:tc>
      </w:tr>
      <w:tr>
        <w:trPr>
          <w:trHeight w:val="206"/>
        </w:trPr>
        <w:tc>
          <w:tcPr>
            <w:tcW w:w="6040" w:type="dxa"/>
            <w:vAlign w:val="bottom"/>
            <w:tcBorders>
              <w:top w:val="single" w:sz="8" w:color="CFF0FC"/>
            </w:tcBorders>
            <w:shd w:val="clear" w:color="auto" w:fill="CFF0FC"/>
          </w:tcPr>
          <w:p>
            <w:pPr>
              <w:spacing w:after="0"/>
              <w:rPr>
                <w:sz w:val="17"/>
                <w:szCs w:val="17"/>
                <w:color w:val="auto"/>
              </w:rPr>
            </w:pPr>
          </w:p>
        </w:tc>
        <w:tc>
          <w:tcPr>
            <w:tcW w:w="18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Borders>
              <w:bottom w:val="single" w:sz="8" w:color="CFF0FC"/>
            </w:tcBorders>
          </w:tcPr>
          <w:p>
            <w:pPr>
              <w:spacing w:after="0"/>
              <w:rPr>
                <w:sz w:val="19"/>
                <w:szCs w:val="19"/>
                <w:color w:val="auto"/>
              </w:rPr>
            </w:pPr>
          </w:p>
        </w:tc>
      </w:tr>
      <w:tr>
        <w:trPr>
          <w:trHeight w:val="219"/>
        </w:trPr>
        <w:tc>
          <w:tcPr>
            <w:tcW w:w="6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105,178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109,814</w:t>
            </w:r>
          </w:p>
        </w:tc>
        <w:tc>
          <w:tcPr>
            <w:tcW w:w="120" w:type="dxa"/>
            <w:vAlign w:val="bottom"/>
            <w:shd w:val="clear" w:color="auto" w:fill="CFF0FC"/>
          </w:tcPr>
          <w:p>
            <w:pPr>
              <w:spacing w:after="0"/>
              <w:rPr>
                <w:sz w:val="19"/>
                <w:szCs w:val="19"/>
                <w:color w:val="auto"/>
              </w:rPr>
            </w:pPr>
          </w:p>
        </w:tc>
      </w:tr>
      <w:tr>
        <w:trPr>
          <w:trHeight w:val="219"/>
        </w:trPr>
        <w:tc>
          <w:tcPr>
            <w:tcW w:w="60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FF0FC"/>
          </w:tcPr>
          <w:p>
            <w:pPr>
              <w:spacing w:after="0"/>
              <w:rPr>
                <w:sz w:val="19"/>
                <w:szCs w:val="19"/>
                <w:color w:val="auto"/>
              </w:rPr>
            </w:pPr>
          </w:p>
        </w:tc>
      </w:tr>
      <w:tr>
        <w:trPr>
          <w:trHeight w:val="218"/>
        </w:trPr>
        <w:tc>
          <w:tcPr>
            <w:tcW w:w="6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long-term liabilities</w:t>
            </w:r>
          </w:p>
        </w:tc>
        <w:tc>
          <w:tcPr>
            <w:tcW w:w="18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61,873</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Borders>
              <w:bottom w:val="single" w:sz="8" w:color="CFF0FC"/>
            </w:tcBorders>
          </w:tcPr>
          <w:p>
            <w:pPr>
              <w:spacing w:after="0"/>
              <w:rPr>
                <w:sz w:val="18"/>
                <w:szCs w:val="18"/>
                <w:color w:val="auto"/>
              </w:rPr>
            </w:pPr>
          </w:p>
        </w:tc>
      </w:tr>
      <w:tr>
        <w:trPr>
          <w:trHeight w:val="219"/>
        </w:trPr>
        <w:tc>
          <w:tcPr>
            <w:tcW w:w="60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Preferred stock, $0.01 par value, 1,000,000 shares authorized, none issued</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3"/>
        </w:trPr>
        <w:tc>
          <w:tcPr>
            <w:tcW w:w="6040" w:type="dxa"/>
            <w:vAlign w:val="bottom"/>
          </w:tcPr>
          <w:p>
            <w:pPr>
              <w:ind w:left="240"/>
              <w:spacing w:after="0"/>
              <w:rPr>
                <w:sz w:val="20"/>
                <w:szCs w:val="20"/>
                <w:color w:val="auto"/>
              </w:rPr>
            </w:pPr>
            <w:r>
              <w:rPr>
                <w:rFonts w:ascii="Arial" w:cs="Arial" w:eastAsia="Arial" w:hAnsi="Arial"/>
                <w:sz w:val="18"/>
                <w:szCs w:val="18"/>
                <w:color w:val="auto"/>
                <w:w w:val="89"/>
              </w:rPr>
              <w:t>Common stock, $0.01 par value, 100,000,000 shares authorized, 61,905,534 and</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61,485,882 shares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6040" w:type="dxa"/>
            <w:vAlign w:val="bottom"/>
          </w:tcPr>
          <w:p>
            <w:pPr>
              <w:ind w:left="240"/>
              <w:spacing w:after="0"/>
              <w:rPr>
                <w:sz w:val="20"/>
                <w:szCs w:val="20"/>
                <w:color w:val="auto"/>
              </w:rPr>
            </w:pPr>
            <w:r>
              <w:rPr>
                <w:rFonts w:ascii="Arial" w:cs="Arial" w:eastAsia="Arial" w:hAnsi="Arial"/>
                <w:sz w:val="18"/>
                <w:szCs w:val="18"/>
                <w:color w:val="auto"/>
              </w:rPr>
              <w:t>issued at August 4, 2018 and February 3, 2018, respectively</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307,557</w:t>
            </w:r>
          </w:p>
        </w:tc>
        <w:tc>
          <w:tcPr>
            <w:tcW w:w="120" w:type="dxa"/>
            <w:vAlign w:val="bottom"/>
            <w:shd w:val="clear" w:color="auto" w:fill="CFF0FC"/>
          </w:tcPr>
          <w:p>
            <w:pPr>
              <w:spacing w:after="0"/>
              <w:rPr>
                <w:sz w:val="19"/>
                <w:szCs w:val="19"/>
                <w:color w:val="auto"/>
              </w:rPr>
            </w:pP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w w:val="87"/>
              </w:rPr>
              <w:t>Treasury stock at cost, 12,755,873 shares at August 4, 2018 and February 3, 2018</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(92,658)</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(92,658)</w:t>
            </w:r>
          </w:p>
        </w:tc>
      </w:tr>
      <w:tr>
        <w:trPr>
          <w:trHeight w:val="226"/>
        </w:trPr>
        <w:tc>
          <w:tcPr>
            <w:tcW w:w="6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(143,580)</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(139,285)</w:t>
            </w:r>
          </w:p>
        </w:tc>
      </w:tr>
      <w:tr>
        <w:trPr>
          <w:trHeight w:val="225"/>
        </w:trPr>
        <w:tc>
          <w:tcPr>
            <w:tcW w:w="60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(6,199)</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(6,243)</w:t>
            </w:r>
          </w:p>
        </w:tc>
      </w:tr>
      <w:tr>
        <w:trPr>
          <w:trHeight w:val="219"/>
        </w:trPr>
        <w:tc>
          <w:tcPr>
            <w:tcW w:w="60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18"/>
        </w:trPr>
        <w:tc>
          <w:tcPr>
            <w:tcW w:w="604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234,240</w:t>
            </w:r>
          </w:p>
        </w:tc>
        <w:tc>
          <w:tcPr>
            <w:tcW w:w="2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920"/>
              <w:spacing w:after="0"/>
              <w:rPr>
                <w:sz w:val="20"/>
                <w:szCs w:val="20"/>
                <w:color w:val="auto"/>
              </w:rPr>
            </w:pPr>
            <w:r>
              <w:rPr>
                <w:rFonts w:ascii="Arial" w:cs="Arial" w:eastAsia="Arial" w:hAnsi="Arial"/>
                <w:sz w:val="14"/>
                <w:szCs w:val="14"/>
                <w:color w:val="auto"/>
              </w:rPr>
              <w:t>For the Six Months Ended</w:t>
            </w:r>
          </w:p>
        </w:tc>
      </w:tr>
      <w:tr>
        <w:trPr>
          <w:trHeight w:val="159"/>
        </w:trPr>
        <w:tc>
          <w:tcPr>
            <w:tcW w:w="4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9"/>
              </w:rPr>
              <w:t>August 4, 2018</w:t>
            </w:r>
          </w:p>
        </w:tc>
        <w:tc>
          <w:tcPr>
            <w:tcW w:w="340" w:type="dxa"/>
            <w:vAlign w:val="bottom"/>
          </w:tcPr>
          <w:p>
            <w:pPr>
              <w:spacing w:after="0"/>
              <w:rPr>
                <w:sz w:val="13"/>
                <w:szCs w:val="13"/>
                <w:color w:val="auto"/>
              </w:rPr>
            </w:pPr>
          </w:p>
        </w:tc>
        <w:tc>
          <w:tcPr>
            <w:tcW w:w="12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July 29, 2017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97"/>
              </w:rPr>
              <w:t>August 4, 2018</w:t>
            </w:r>
          </w:p>
        </w:tc>
        <w:tc>
          <w:tcPr>
            <w:tcW w:w="280" w:type="dxa"/>
            <w:vAlign w:val="bottom"/>
          </w:tcPr>
          <w:p>
            <w:pPr>
              <w:spacing w:after="0"/>
              <w:rPr>
                <w:sz w:val="13"/>
                <w:szCs w:val="13"/>
                <w:color w:val="auto"/>
              </w:rPr>
            </w:pPr>
          </w:p>
        </w:tc>
        <w:tc>
          <w:tcPr>
            <w:tcW w:w="14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July 29, 2017</w:t>
            </w:r>
          </w:p>
        </w:tc>
      </w:tr>
      <w:tr>
        <w:trPr>
          <w:trHeight w:val="164"/>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2018)</w:t>
            </w:r>
          </w:p>
        </w:tc>
        <w:tc>
          <w:tcPr>
            <w:tcW w:w="3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2018)</w:t>
            </w:r>
          </w:p>
        </w:tc>
        <w:tc>
          <w:tcPr>
            <w:tcW w:w="2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2017)</w:t>
            </w:r>
          </w:p>
        </w:tc>
      </w:tr>
      <w:tr>
        <w:trPr>
          <w:trHeight w:val="152"/>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121,125</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235,537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228,754</w:t>
            </w: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128,324</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124,249</w:t>
            </w:r>
          </w:p>
        </w:tc>
        <w:tc>
          <w:tcPr>
            <w:tcW w:w="120" w:type="dxa"/>
            <w:vAlign w:val="bottom"/>
            <w:tcBorders>
              <w:bottom w:val="single" w:sz="8" w:color="CFF0FC"/>
            </w:tcBorders>
          </w:tcPr>
          <w:p>
            <w:pPr>
              <w:spacing w:after="0"/>
              <w:rPr>
                <w:sz w:val="19"/>
                <w:szCs w:val="19"/>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56,525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104,505</w:t>
            </w: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95,236</w:t>
            </w:r>
          </w:p>
        </w:tc>
        <w:tc>
          <w:tcPr>
            <w:tcW w:w="120" w:type="dxa"/>
            <w:vAlign w:val="bottom"/>
          </w:tcPr>
          <w:p>
            <w:pPr>
              <w:spacing w:after="0"/>
              <w:rPr>
                <w:sz w:val="19"/>
                <w:szCs w:val="19"/>
                <w:color w:val="auto"/>
              </w:rPr>
            </w:pPr>
          </w:p>
        </w:tc>
      </w:tr>
      <w:tr>
        <w:trPr>
          <w:trHeight w:val="22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restructuring</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5"/>
        </w:trPr>
        <w:tc>
          <w:tcPr>
            <w:tcW w:w="4980" w:type="dxa"/>
            <w:vAlign w:val="bottom"/>
          </w:tcPr>
          <w:p>
            <w:pPr>
              <w:ind w:left="240"/>
              <w:spacing w:after="0"/>
              <w:rPr>
                <w:sz w:val="20"/>
                <w:szCs w:val="20"/>
                <w:color w:val="auto"/>
              </w:rPr>
            </w:pPr>
            <w:r>
              <w:rPr>
                <w:rFonts w:ascii="Arial" w:cs="Arial" w:eastAsia="Arial" w:hAnsi="Arial"/>
                <w:sz w:val="18"/>
                <w:szCs w:val="18"/>
                <w:color w:val="auto"/>
              </w:rPr>
              <w:t>Impairment of assets</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r>
      <w:tr>
        <w:trPr>
          <w:trHeight w:val="22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15,657</w:t>
            </w:r>
          </w:p>
        </w:tc>
        <w:tc>
          <w:tcPr>
            <w:tcW w:w="120" w:type="dxa"/>
            <w:vAlign w:val="bottom"/>
            <w:shd w:val="clear" w:color="auto" w:fill="CFF0FC"/>
          </w:tcPr>
          <w:p>
            <w:pPr>
              <w:spacing w:after="0"/>
              <w:rPr>
                <w:sz w:val="19"/>
                <w:szCs w:val="19"/>
                <w:color w:val="auto"/>
              </w:rPr>
            </w:pPr>
          </w:p>
        </w:tc>
      </w:tr>
      <w:tr>
        <w:trPr>
          <w:trHeight w:val="218"/>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56,747</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109,661</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112,611</w:t>
            </w:r>
          </w:p>
        </w:tc>
        <w:tc>
          <w:tcPr>
            <w:tcW w:w="120" w:type="dxa"/>
            <w:vAlign w:val="bottom"/>
            <w:tcBorders>
              <w:bottom w:val="single" w:sz="8" w:color="CFF0FC"/>
            </w:tcBorders>
          </w:tcPr>
          <w:p>
            <w:pPr>
              <w:spacing w:after="0"/>
              <w:rPr>
                <w:sz w:val="18"/>
                <w:szCs w:val="18"/>
                <w:color w:val="auto"/>
              </w:rPr>
            </w:pPr>
          </w:p>
        </w:tc>
      </w:tr>
      <w:tr>
        <w:trPr>
          <w:trHeight w:val="219"/>
        </w:trPr>
        <w:tc>
          <w:tcPr>
            <w:tcW w:w="4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(2,448)</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(8,106)</w:t>
            </w:r>
          </w:p>
        </w:tc>
      </w:tr>
      <w:tr>
        <w:trPr>
          <w:trHeight w:val="226"/>
        </w:trPr>
        <w:tc>
          <w:tcPr>
            <w:tcW w:w="4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(1,844)</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r>
      <w:tr>
        <w:trPr>
          <w:trHeight w:val="219"/>
        </w:trPr>
        <w:tc>
          <w:tcPr>
            <w:tcW w:w="4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(4,292)</w:t>
            </w:r>
          </w:p>
        </w:tc>
        <w:tc>
          <w:tcPr>
            <w:tcW w:w="2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(9,732)</w:t>
            </w:r>
          </w:p>
        </w:tc>
      </w:tr>
      <w:tr>
        <w:trPr>
          <w:trHeight w:val="22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19"/>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(3,731)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(4,295)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(9,796)</w:t>
            </w:r>
          </w:p>
        </w:tc>
      </w:tr>
      <w:tr>
        <w:trPr>
          <w:trHeight w:val="206"/>
        </w:trPr>
        <w:tc>
          <w:tcPr>
            <w:tcW w:w="49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5"/>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(0.20)</w:t>
            </w:r>
          </w:p>
        </w:tc>
      </w:tr>
      <w:tr>
        <w:trPr>
          <w:trHeight w:val="225"/>
        </w:trPr>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48,926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49,146</w:t>
            </w:r>
          </w:p>
        </w:tc>
        <w:tc>
          <w:tcPr>
            <w:tcW w:w="120" w:type="dxa"/>
            <w:vAlign w:val="bottom"/>
          </w:tcPr>
          <w:p>
            <w:pPr>
              <w:spacing w:after="0"/>
              <w:rPr>
                <w:sz w:val="19"/>
                <w:szCs w:val="19"/>
                <w:color w:val="auto"/>
              </w:rPr>
            </w:pPr>
          </w:p>
        </w:tc>
      </w:tr>
      <w:tr>
        <w:trPr>
          <w:trHeight w:val="226"/>
        </w:trPr>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color w:val="auto"/>
              </w:rPr>
              <w:t>For the Six Months Ended</w:t>
            </w:r>
          </w:p>
        </w:tc>
      </w:tr>
      <w:tr>
        <w:trPr>
          <w:trHeight w:val="172"/>
        </w:trPr>
        <w:tc>
          <w:tcPr>
            <w:tcW w:w="4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August 4,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July 29, 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w w:val="95"/>
              </w:rPr>
              <w:t>August 4, 2018</w:t>
            </w:r>
          </w:p>
        </w:tc>
        <w:tc>
          <w:tcPr>
            <w:tcW w:w="16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w w:val="98"/>
              </w:rPr>
              <w:t>July 29, 2017</w:t>
            </w:r>
          </w:p>
        </w:tc>
      </w:tr>
      <w:tr>
        <w:trPr>
          <w:trHeight w:val="164"/>
        </w:trPr>
        <w:tc>
          <w:tcPr>
            <w:tcW w:w="494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(Fiscal 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w w:val="96"/>
              </w:rPr>
              <w:t>(Fiscal 2017)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(Fiscal 2018)</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(Fiscal 2017)</w:t>
            </w:r>
          </w:p>
        </w:tc>
        <w:tc>
          <w:tcPr>
            <w:tcW w:w="240" w:type="dxa"/>
            <w:vAlign w:val="bottom"/>
            <w:tcBorders>
              <w:bottom w:val="single" w:sz="8" w:color="CFF0FC"/>
            </w:tcBorders>
          </w:tcPr>
          <w:p>
            <w:pPr>
              <w:spacing w:after="0"/>
              <w:rPr>
                <w:sz w:val="14"/>
                <w:szCs w:val="14"/>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(3,731)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(4,295)</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(9,796)</w:t>
            </w:r>
          </w:p>
        </w:tc>
      </w:tr>
      <w:tr>
        <w:trPr>
          <w:trHeight w:val="225"/>
        </w:trPr>
        <w:tc>
          <w:tcPr>
            <w:tcW w:w="4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r>
      <w:tr>
        <w:trPr>
          <w:trHeight w:val="226"/>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FF0FC"/>
          </w:tcPr>
          <w:p>
            <w:pPr>
              <w:spacing w:after="0"/>
              <w:rPr>
                <w:sz w:val="19"/>
                <w:szCs w:val="19"/>
                <w:color w:val="auto"/>
              </w:rPr>
            </w:pPr>
          </w:p>
        </w:tc>
      </w:tr>
      <w:tr>
        <w:trPr>
          <w:trHeight w:val="218"/>
        </w:trPr>
        <w:tc>
          <w:tcPr>
            <w:tcW w:w="494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8"/>
                <w:szCs w:val="18"/>
                <w:color w:val="auto"/>
              </w:rPr>
            </w:pPr>
          </w:p>
        </w:tc>
      </w:tr>
      <w:tr>
        <w:trPr>
          <w:trHeight w:val="22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18"/>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w:t>
            </w:r>
          </w:p>
        </w:tc>
        <w:tc>
          <w:tcPr>
            <w:tcW w:w="5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Borders>
              <w:bottom w:val="single" w:sz="8" w:color="CFF0FC"/>
            </w:tcBorders>
          </w:tcPr>
          <w:p>
            <w:pPr>
              <w:spacing w:after="0"/>
              <w:rPr>
                <w:sz w:val="18"/>
                <w:szCs w:val="18"/>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(3,348)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(4,251)</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(9,159)</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Additional</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91"/>
              </w:rPr>
              <w:t>Other</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2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Paid-in</w:t>
            </w:r>
          </w:p>
        </w:tc>
        <w:tc>
          <w:tcPr>
            <w:tcW w:w="1680" w:type="dxa"/>
            <w:vAlign w:val="bottom"/>
            <w:gridSpan w:val="4"/>
          </w:tcPr>
          <w:p>
            <w:pPr>
              <w:jc w:val="right"/>
              <w:ind w:right="480"/>
              <w:spacing w:after="0" w:line="159" w:lineRule="exact"/>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1"/>
              </w:rPr>
              <w:t>Accumulated</w:t>
            </w:r>
          </w:p>
        </w:tc>
        <w:tc>
          <w:tcPr>
            <w:tcW w:w="108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89"/>
              </w:rPr>
              <w:t>Comprehensive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Amounts</w:t>
            </w:r>
          </w:p>
        </w:tc>
        <w:tc>
          <w:tcPr>
            <w:tcW w:w="2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Capital</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Amounts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Deficit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Income (Loss)</w:t>
            </w:r>
          </w:p>
        </w:tc>
        <w:tc>
          <w:tcPr>
            <w:tcW w:w="2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615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$ 307,557</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(12,755)</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7"/>
              </w:rPr>
              <w:t>$ (92,658)</w:t>
            </w: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5"/>
              </w:rPr>
              <w:t>$ (139,285)</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(6,243)</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$ 69,986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Restricted stock units granted for achievement of</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8"/>
                <w:szCs w:val="18"/>
                <w:color w:val="auto"/>
                <w:w w:val="92"/>
              </w:rPr>
              <w:t>performance-based compensation, reclass from liability to</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equity (Note 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exercised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Cancellation of restricted stock, net of issuances</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stock vested</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 net of taxes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60" w:type="dxa"/>
            <w:vAlign w:val="bottom"/>
          </w:tcPr>
          <w:p>
            <w:pPr>
              <w:ind w:left="240"/>
              <w:spacing w:after="0"/>
              <w:rPr>
                <w:sz w:val="20"/>
                <w:szCs w:val="20"/>
                <w:color w:val="auto"/>
              </w:rPr>
            </w:pPr>
            <w:r>
              <w:rPr>
                <w:rFonts w:ascii="Arial" w:cs="Arial" w:eastAsia="Arial" w:hAnsi="Arial"/>
                <w:sz w:val="18"/>
                <w:szCs w:val="18"/>
                <w:color w:val="auto"/>
              </w:rPr>
              <w:t>Foreign currency, net of taxes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(4,295)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Balance at August 4, 2018</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61,905</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619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$ 309,007</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(12,755)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(92,658)</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 (143,580)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(6,199)</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$ 67,189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5"/>
          </w:tcPr>
          <w:p>
            <w:pPr>
              <w:jc w:val="right"/>
              <w:ind w:right="110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59"/>
        </w:trPr>
        <w:tc>
          <w:tcPr>
            <w:tcW w:w="7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August 4, 2018</w:t>
            </w:r>
          </w:p>
        </w:tc>
        <w:tc>
          <w:tcPr>
            <w:tcW w:w="240" w:type="dxa"/>
            <w:vAlign w:val="bottom"/>
          </w:tcPr>
          <w:p>
            <w:pPr>
              <w:spacing w:after="0"/>
              <w:rPr>
                <w:sz w:val="13"/>
                <w:szCs w:val="13"/>
                <w:color w:val="auto"/>
              </w:rPr>
            </w:pPr>
          </w:p>
        </w:tc>
        <w:tc>
          <w:tcPr>
            <w:tcW w:w="14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64"/>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4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219"/>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(4,295)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(9,796)</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Amortization of deferred gain on sale-leaseback</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(733)</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deferred debt issuance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Write-off of deferred debt issuance costs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Impairment of assets</w:t>
            </w: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 compensation expense</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Board of Directors stock compensation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(1,657)</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(1,561)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Deferred rent and lease incentives</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(1,698)</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6,793</w:t>
            </w:r>
          </w:p>
        </w:tc>
        <w:tc>
          <w:tcPr>
            <w:tcW w:w="2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14,349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Additions to property and equipment, net</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(7,365)</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(13,775)</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4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(7,365)</w:t>
            </w:r>
          </w:p>
        </w:tc>
        <w:tc>
          <w:tcPr>
            <w:tcW w:w="24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(13,775)</w:t>
            </w:r>
          </w:p>
        </w:tc>
        <w:tc>
          <w:tcPr>
            <w:tcW w:w="0" w:type="dxa"/>
            <w:vAlign w:val="bottom"/>
          </w:tcPr>
          <w:p>
            <w:pPr>
              <w:spacing w:after="0"/>
              <w:rPr>
                <w:sz w:val="1"/>
                <w:szCs w:val="1"/>
                <w:color w:val="auto"/>
              </w:rPr>
            </w:pPr>
          </w:p>
        </w:tc>
      </w:tr>
      <w:tr>
        <w:trPr>
          <w:trHeight w:val="208"/>
        </w:trPr>
        <w:tc>
          <w:tcPr>
            <w:tcW w:w="7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Costs associated with new credit facility</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(553)</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Proceeds from the issuance of long-term debt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860" w:type="dxa"/>
            <w:vAlign w:val="bottom"/>
          </w:tcPr>
          <w:p>
            <w:pPr>
              <w:ind w:left="480"/>
              <w:spacing w:after="0"/>
              <w:rPr>
                <w:sz w:val="20"/>
                <w:szCs w:val="20"/>
                <w:color w:val="auto"/>
              </w:rPr>
            </w:pPr>
            <w:r>
              <w:rPr>
                <w:rFonts w:ascii="Arial" w:cs="Arial" w:eastAsia="Arial" w:hAnsi="Arial"/>
                <w:sz w:val="16"/>
                <w:szCs w:val="16"/>
                <w:color w:val="auto"/>
              </w:rPr>
              <w:t>Principal payments on long-term debt</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(12,251)</w:t>
            </w:r>
          </w:p>
        </w:tc>
        <w:tc>
          <w:tcPr>
            <w:tcW w:w="2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(4,208)</w:t>
            </w: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borrowings under credit facility</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(770)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2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5,362</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40"/>
              <w:spacing w:after="0"/>
              <w:rPr>
                <w:sz w:val="20"/>
                <w:szCs w:val="20"/>
                <w:color w:val="auto"/>
              </w:rPr>
            </w:pPr>
            <w:r>
              <w:rPr>
                <w:rFonts w:ascii="Arial" w:cs="Arial" w:eastAsia="Arial" w:hAnsi="Arial"/>
                <w:sz w:val="16"/>
                <w:szCs w:val="16"/>
                <w:color w:val="auto"/>
              </w:rPr>
              <w:t>End of period</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3"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2018 included in the Company’s Annual Report on Form 10-K, which was filed with the Securities and Exchange Commission on March 23, 2018.</w:t>
      </w:r>
    </w:p>
    <w:p>
      <w:pPr>
        <w:spacing w:after="0" w:line="152"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2018 is a 52-week period ending on February 2, 2019 and fiscal 2017 was a 53-week period ended on February 3,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has therefore aggregated them into a single reporting segment, consistent with its omni-channel business approach. The direct operating segment includes the operating results and assets for LivingXL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ShoesXL</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6"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In the second quarter of fiscal 2017, the Company incurred an impairment charge of $1.7 million for the write-off of certain store assets. This amount was previously included in “Depreciation and Amortization” in the Consolidated Statements of Operations for the second quarter and first six months of fiscal 2017 but was reclassified to “Impairment of Assets” in the Consolidated Statement of Operations for the fiscal year ended February 3, 2018. The prior year comparison in the Consolidated Statements of Operations for the second quarter and first six months of fiscal 2018 reflect this 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111" w:lineRule="exact"/>
        <w:rPr>
          <w:sz w:val="20"/>
          <w:szCs w:val="20"/>
          <w:color w:val="auto"/>
        </w:rPr>
      </w:pPr>
    </w:p>
    <w:p>
      <w:pPr>
        <w:ind w:right="240"/>
        <w:spacing w:after="0" w:line="366" w:lineRule="auto"/>
        <w:rPr>
          <w:sz w:val="20"/>
          <w:szCs w:val="20"/>
          <w:color w:val="auto"/>
        </w:rPr>
      </w:pPr>
      <w:r>
        <w:rPr>
          <w:rFonts w:ascii="Arial" w:cs="Arial" w:eastAsia="Arial" w:hAnsi="Arial"/>
          <w:sz w:val="15"/>
          <w:szCs w:val="15"/>
          <w:color w:val="auto"/>
        </w:rPr>
        <w:t>At August 4, 2018, the “Casual Male” trademark had a carrying value of $0.1 million and is considered a definite-lived asset. The Company is amortizing the remaining carrying value on an accelerated basis, consistent with projected cash flows through fiscal 2018, its estimated remaining useful life.</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six months ended August 4, 2018, no event or circumstance occurred which would cause a reduction in the fair value of the Company’s reporting units, requiring interim testing of the Company’s “Rochester” trademark.</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1" w:lineRule="exact"/>
        <w:rPr>
          <w:sz w:val="20"/>
          <w:szCs w:val="20"/>
          <w:color w:val="auto"/>
        </w:rPr>
      </w:pPr>
    </w:p>
    <w:p>
      <w:pPr>
        <w:ind w:right="360"/>
        <w:spacing w:after="0" w:line="366" w:lineRule="auto"/>
        <w:rPr>
          <w:sz w:val="20"/>
          <w:szCs w:val="20"/>
          <w:color w:val="auto"/>
        </w:rPr>
      </w:pPr>
      <w:r>
        <w:rPr>
          <w:rFonts w:ascii="Arial" w:cs="Arial" w:eastAsia="Arial" w:hAnsi="Arial"/>
          <w:sz w:val="15"/>
          <w:szCs w:val="15"/>
          <w:color w:val="auto"/>
        </w:rPr>
        <w:t>ASC Topic 825, Financial Instruments, requires disclosure of the fair value of certain financial instruments. ASC Topic 820, “</w:t>
      </w:r>
      <w:r>
        <w:rPr>
          <w:rFonts w:ascii="Arial" w:cs="Arial" w:eastAsia="Arial" w:hAnsi="Arial"/>
          <w:sz w:val="15"/>
          <w:szCs w:val="15"/>
          <w:i w:val="1"/>
          <w:iCs w:val="1"/>
          <w:color w:val="auto"/>
        </w:rPr>
        <w:t>Fair Value Measurements and</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Disclosures</w:t>
      </w:r>
      <w:r>
        <w:rPr>
          <w:rFonts w:ascii="Arial" w:cs="Arial" w:eastAsia="Arial" w:hAnsi="Arial"/>
          <w:sz w:val="15"/>
          <w:szCs w:val="15"/>
          <w:color w:val="auto"/>
        </w:rPr>
        <w:t>,” defines fair value, establishes a framework for measuring fair value and enhances disclosures about fair value measurements.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80"/>
        <w:spacing w:after="0" w:line="366" w:lineRule="auto"/>
        <w:rPr>
          <w:sz w:val="20"/>
          <w:szCs w:val="20"/>
          <w:color w:val="auto"/>
        </w:rPr>
      </w:pPr>
      <w:r>
        <w:rPr>
          <w:rFonts w:ascii="Arial" w:cs="Arial" w:eastAsia="Arial" w:hAnsi="Arial"/>
          <w:sz w:val="15"/>
          <w:szCs w:val="15"/>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1" w:lineRule="exact"/>
        <w:rPr>
          <w:sz w:val="20"/>
          <w:szCs w:val="20"/>
          <w:color w:val="auto"/>
        </w:rPr>
      </w:pPr>
    </w:p>
    <w:p>
      <w:pPr>
        <w:ind w:left="260" w:right="360"/>
        <w:spacing w:after="0" w:line="366" w:lineRule="auto"/>
        <w:rPr>
          <w:sz w:val="20"/>
          <w:szCs w:val="20"/>
          <w:color w:val="auto"/>
        </w:rPr>
      </w:pPr>
      <w:r>
        <w:rPr>
          <w:rFonts w:ascii="Arial" w:cs="Arial" w:eastAsia="Arial" w:hAnsi="Arial"/>
          <w:sz w:val="15"/>
          <w:szCs w:val="15"/>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17"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The fair value of long-term debt is classified within Level 2 of the valuation hierarchy. At August 4, 2018, the fair value approximated the carrying amount based upon terms available to the Company for borrowings with similar arrangements and remaining maturities.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is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9"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six months ended August 4, 2018 and July 29, 2017, respectively,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August 4, 2018</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1"/>
              </w:rPr>
              <w:t>July 29, 2017</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ind w:left="360"/>
              <w:spacing w:after="0" w:line="14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 at beginning of the quarter</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2"/>
        </w:trPr>
        <w:tc>
          <w:tcPr>
            <w:tcW w:w="40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(5,711)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(529)</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(6,240)</w:t>
            </w:r>
          </w:p>
        </w:tc>
        <w:tc>
          <w:tcPr>
            <w:tcW w:w="240" w:type="dxa"/>
            <w:vAlign w:val="bottom"/>
          </w:tcPr>
          <w:p>
            <w:pPr>
              <w:spacing w:after="0"/>
              <w:rPr>
                <w:sz w:val="13"/>
                <w:szCs w:val="13"/>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(5,022)</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(742)</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(5,764)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060" w:type="dxa"/>
            <w:vAlign w:val="bottom"/>
          </w:tcPr>
          <w:p>
            <w:pPr>
              <w:spacing w:after="0" w:line="141" w:lineRule="exact"/>
              <w:rPr>
                <w:sz w:val="20"/>
                <w:szCs w:val="20"/>
                <w:color w:val="auto"/>
              </w:rPr>
            </w:pPr>
            <w:r>
              <w:rPr>
                <w:rFonts w:ascii="Arial" w:cs="Arial" w:eastAsia="Arial" w:hAnsi="Arial"/>
                <w:sz w:val="14"/>
                <w:szCs w:val="14"/>
                <w:color w:val="auto"/>
              </w:rPr>
              <w:t>Other comprehensive income (loss) before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Pr>
          <w:p>
            <w:pPr>
              <w:ind w:left="100"/>
              <w:spacing w:after="0"/>
              <w:rPr>
                <w:sz w:val="20"/>
                <w:szCs w:val="20"/>
                <w:color w:val="auto"/>
              </w:rPr>
            </w:pPr>
            <w:r>
              <w:rPr>
                <w:rFonts w:ascii="Arial" w:cs="Arial" w:eastAsia="Arial" w:hAnsi="Arial"/>
                <w:sz w:val="14"/>
                <w:szCs w:val="14"/>
                <w:color w:val="auto"/>
              </w:rPr>
              <w:t>reclassifications, net of taxes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060" w:type="dxa"/>
            <w:vAlign w:val="bottom"/>
          </w:tcPr>
          <w:p>
            <w:pPr>
              <w:spacing w:after="0" w:line="141" w:lineRule="exact"/>
              <w:rPr>
                <w:sz w:val="20"/>
                <w:szCs w:val="20"/>
                <w:color w:val="auto"/>
              </w:rPr>
            </w:pPr>
            <w:r>
              <w:rPr>
                <w:rFonts w:ascii="Arial" w:cs="Arial" w:eastAsia="Arial" w:hAnsi="Arial"/>
                <w:sz w:val="14"/>
                <w:szCs w:val="14"/>
                <w:color w:val="auto"/>
              </w:rPr>
              <w:t>Amounts reclassified from accumulated other</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Pr>
          <w:p>
            <w:pPr>
              <w:ind w:left="100"/>
              <w:spacing w:after="0"/>
              <w:rPr>
                <w:sz w:val="20"/>
                <w:szCs w:val="20"/>
                <w:color w:val="auto"/>
              </w:rPr>
            </w:pPr>
            <w:r>
              <w:rPr>
                <w:rFonts w:ascii="Arial" w:cs="Arial" w:eastAsia="Arial" w:hAnsi="Arial"/>
                <w:sz w:val="14"/>
                <w:szCs w:val="14"/>
                <w:color w:val="auto"/>
              </w:rPr>
              <w:t xml:space="preserve">comprehensive income, net of taxes </w:t>
            </w:r>
            <w:r>
              <w:rPr>
                <w:rFonts w:ascii="Arial" w:cs="Arial" w:eastAsia="Arial" w:hAnsi="Arial"/>
                <w:sz w:val="12"/>
                <w:szCs w:val="12"/>
                <w:color w:val="auto"/>
              </w:rPr>
              <w:t>(1)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6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4060" w:type="dxa"/>
            <w:vAlign w:val="bottom"/>
          </w:tcPr>
          <w:p>
            <w:pPr>
              <w:spacing w:after="0" w:line="159" w:lineRule="exact"/>
              <w:rPr>
                <w:sz w:val="20"/>
                <w:szCs w:val="20"/>
                <w:color w:val="auto"/>
              </w:rPr>
            </w:pPr>
            <w:r>
              <w:rPr>
                <w:rFonts w:ascii="Arial" w:cs="Arial" w:eastAsia="Arial" w:hAnsi="Arial"/>
                <w:sz w:val="14"/>
                <w:szCs w:val="14"/>
                <w:color w:val="auto"/>
              </w:rPr>
              <w:t>Other comprehensive income (loss) for the period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177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gridSpan w:val="2"/>
          </w:tcPr>
          <w:p>
            <w:pPr>
              <w:spacing w:after="0" w:line="153" w:lineRule="exact"/>
              <w:rPr>
                <w:sz w:val="20"/>
                <w:szCs w:val="20"/>
                <w:color w:val="auto"/>
              </w:rPr>
            </w:pPr>
            <w:r>
              <w:rPr>
                <w:rFonts w:ascii="Arial" w:cs="Arial" w:eastAsia="Arial" w:hAnsi="Arial"/>
                <w:sz w:val="14"/>
                <w:szCs w:val="14"/>
                <w:color w:val="auto"/>
              </w:rPr>
              <w:t>Balance at end of quarter</w:t>
            </w:r>
          </w:p>
        </w:tc>
        <w:tc>
          <w:tcPr>
            <w:tcW w:w="1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(5,595)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(604)</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(6,199)</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(4,816)</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(565)</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(5,381)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40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six months ended:</w:t>
            </w:r>
          </w:p>
        </w:tc>
        <w:tc>
          <w:tcPr>
            <w:tcW w:w="1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August 4, 2018</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1"/>
              </w:rPr>
              <w:t>July 29, 2017</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ind w:left="360"/>
              <w:spacing w:after="0" w:line="14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 at beginning of fiscal year</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2"/>
        </w:trPr>
        <w:tc>
          <w:tcPr>
            <w:tcW w:w="40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(5,840)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(403)</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(6,243)</w:t>
            </w:r>
          </w:p>
        </w:tc>
        <w:tc>
          <w:tcPr>
            <w:tcW w:w="240" w:type="dxa"/>
            <w:vAlign w:val="bottom"/>
          </w:tcPr>
          <w:p>
            <w:pPr>
              <w:spacing w:after="0"/>
              <w:rPr>
                <w:sz w:val="13"/>
                <w:szCs w:val="13"/>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(5,237)</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(781)</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060" w:type="dxa"/>
            <w:vAlign w:val="bottom"/>
          </w:tcPr>
          <w:p>
            <w:pPr>
              <w:spacing w:after="0" w:line="141" w:lineRule="exact"/>
              <w:rPr>
                <w:sz w:val="20"/>
                <w:szCs w:val="20"/>
                <w:color w:val="auto"/>
              </w:rPr>
            </w:pPr>
            <w:r>
              <w:rPr>
                <w:rFonts w:ascii="Arial" w:cs="Arial" w:eastAsia="Arial" w:hAnsi="Arial"/>
                <w:sz w:val="14"/>
                <w:szCs w:val="14"/>
                <w:color w:val="auto"/>
              </w:rPr>
              <w:t>Other comprehensive income (loss) before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Pr>
          <w:p>
            <w:pPr>
              <w:ind w:left="100"/>
              <w:spacing w:after="0"/>
              <w:rPr>
                <w:sz w:val="20"/>
                <w:szCs w:val="20"/>
                <w:color w:val="auto"/>
              </w:rPr>
            </w:pPr>
            <w:r>
              <w:rPr>
                <w:rFonts w:ascii="Arial" w:cs="Arial" w:eastAsia="Arial" w:hAnsi="Arial"/>
                <w:sz w:val="14"/>
                <w:szCs w:val="14"/>
                <w:color w:val="auto"/>
              </w:rPr>
              <w:t>reclassifications, net of taxes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060" w:type="dxa"/>
            <w:vAlign w:val="bottom"/>
          </w:tcPr>
          <w:p>
            <w:pPr>
              <w:spacing w:after="0" w:line="141" w:lineRule="exact"/>
              <w:rPr>
                <w:sz w:val="20"/>
                <w:szCs w:val="20"/>
                <w:color w:val="auto"/>
              </w:rPr>
            </w:pPr>
            <w:r>
              <w:rPr>
                <w:rFonts w:ascii="Arial" w:cs="Arial" w:eastAsia="Arial" w:hAnsi="Arial"/>
                <w:sz w:val="14"/>
                <w:szCs w:val="14"/>
                <w:color w:val="auto"/>
              </w:rPr>
              <w:t>Amounts reclassified from accumulated other</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Pr>
          <w:p>
            <w:pPr>
              <w:ind w:left="100"/>
              <w:spacing w:after="0"/>
              <w:rPr>
                <w:sz w:val="20"/>
                <w:szCs w:val="20"/>
                <w:color w:val="auto"/>
              </w:rPr>
            </w:pPr>
            <w:r>
              <w:rPr>
                <w:rFonts w:ascii="Arial" w:cs="Arial" w:eastAsia="Arial" w:hAnsi="Arial"/>
                <w:sz w:val="14"/>
                <w:szCs w:val="14"/>
                <w:color w:val="auto"/>
              </w:rPr>
              <w:t xml:space="preserve">comprehensive income, net of taxes </w:t>
            </w:r>
            <w:r>
              <w:rPr>
                <w:rFonts w:ascii="Arial" w:cs="Arial" w:eastAsia="Arial" w:hAnsi="Arial"/>
                <w:sz w:val="12"/>
                <w:szCs w:val="12"/>
                <w:color w:val="auto"/>
              </w:rPr>
              <w:t>(1)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60" w:type="dxa"/>
            <w:vAlign w:val="bottom"/>
            <w:tcBorders>
              <w:top w:val="single" w:sz="8" w:color="CFF0FC"/>
            </w:tcBorders>
            <w:shd w:val="clear" w:color="auto" w:fill="CFF0FC"/>
          </w:tcPr>
          <w:p>
            <w:pPr>
              <w:spacing w:after="0"/>
              <w:rPr>
                <w:sz w:val="13"/>
                <w:szCs w:val="13"/>
                <w:color w:val="auto"/>
              </w:rPr>
            </w:pPr>
          </w:p>
        </w:tc>
        <w:tc>
          <w:tcPr>
            <w:tcW w:w="1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4060" w:type="dxa"/>
            <w:vAlign w:val="bottom"/>
          </w:tcPr>
          <w:p>
            <w:pPr>
              <w:spacing w:after="0" w:line="159" w:lineRule="exact"/>
              <w:rPr>
                <w:sz w:val="20"/>
                <w:szCs w:val="20"/>
                <w:color w:val="auto"/>
              </w:rPr>
            </w:pPr>
            <w:r>
              <w:rPr>
                <w:rFonts w:ascii="Arial" w:cs="Arial" w:eastAsia="Arial" w:hAnsi="Arial"/>
                <w:sz w:val="14"/>
                <w:szCs w:val="14"/>
                <w:color w:val="auto"/>
              </w:rPr>
              <w:t>Other comprehensive income (loss) for the period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(201)</w:t>
            </w: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spacing w:after="0"/>
              <w:rPr>
                <w:sz w:val="13"/>
                <w:szCs w:val="13"/>
                <w:color w:val="auto"/>
              </w:rPr>
            </w:pPr>
          </w:p>
        </w:tc>
        <w:tc>
          <w:tcPr>
            <w:tcW w:w="800" w:type="dxa"/>
            <w:vAlign w:val="bottom"/>
            <w:gridSpan w:val="2"/>
            <w:shd w:val="clear" w:color="auto" w:fill="CFF0FC"/>
          </w:tcPr>
          <w:p>
            <w:pPr>
              <w:spacing w:after="0"/>
              <w:rPr>
                <w:sz w:val="13"/>
                <w:szCs w:val="13"/>
                <w:color w:val="auto"/>
              </w:rPr>
            </w:pPr>
          </w:p>
        </w:tc>
        <w:tc>
          <w:tcPr>
            <w:tcW w:w="200" w:type="dxa"/>
            <w:vAlign w:val="bottom"/>
            <w:gridSpan w:val="2"/>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80" w:type="dxa"/>
            <w:vAlign w:val="bottom"/>
            <w:gridSpan w:val="2"/>
          </w:tcPr>
          <w:p>
            <w:pPr>
              <w:spacing w:after="0" w:line="153" w:lineRule="exact"/>
              <w:rPr>
                <w:sz w:val="20"/>
                <w:szCs w:val="20"/>
                <w:color w:val="auto"/>
              </w:rPr>
            </w:pPr>
            <w:r>
              <w:rPr>
                <w:rFonts w:ascii="Arial" w:cs="Arial" w:eastAsia="Arial" w:hAnsi="Arial"/>
                <w:sz w:val="14"/>
                <w:szCs w:val="14"/>
                <w:color w:val="auto"/>
              </w:rPr>
              <w:t>Balance at end of quarter</w:t>
            </w:r>
          </w:p>
        </w:tc>
        <w:tc>
          <w:tcPr>
            <w:tcW w:w="1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(5,595)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(604)</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(6,199)</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(4,816)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(565)</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(5,381)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40" w:right="700" w:hanging="381"/>
        <w:spacing w:after="0" w:line="26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amortization of the unrecognized loss,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ind w:left="440" w:right="40"/>
        <w:spacing w:after="0" w:line="255" w:lineRule="auto"/>
        <w:rPr>
          <w:sz w:val="20"/>
          <w:szCs w:val="20"/>
          <w:color w:val="auto"/>
        </w:rPr>
      </w:pPr>
      <w:r>
        <w:rPr>
          <w:rFonts w:ascii="Arial" w:cs="Arial" w:eastAsia="Arial" w:hAnsi="Arial"/>
          <w:sz w:val="18"/>
          <w:szCs w:val="18"/>
          <w:color w:val="auto"/>
        </w:rPr>
        <w:t>before tax, was $79,000 and $177,000 for the three and six months ended August 4, 2018, respectively, and $181,000 and $336,000 for the three and six months ended July 29, 2017, respectively. The tax effect for the three and six months ended August 4, 2018 was $21,000 and $47,000, respectively. There was no tax effect for the three and six months ended July 29, 2017.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91"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There was no material impairment of long-lived assets in the second quarter and first six months of fiscal 2018. In the second quarter of fiscal 2017, the Company recorded an impairment charge of $1.7 million related to the write-down of property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7"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Topic 606</w:t>
      </w:r>
      <w:r>
        <w:rPr>
          <w:rFonts w:ascii="Arial" w:cs="Arial" w:eastAsia="Arial" w:hAnsi="Arial"/>
          <w:sz w:val="15"/>
          <w:szCs w:val="15"/>
          <w:color w:val="auto"/>
        </w:rPr>
        <w:t xml:space="preserve">), which amends the accounting guidance on revenue recognition. The amendments in this ASU are intended to provide a framework for addressing revenue issues, improve comparability of revenue recognition practices, and improve disclosure requirements. This ASU sets forth a five-step model for determining when and how revenue is recognized. Under the model, an entity is required to recognize revenue to depict the transfer of goods or services to a customer at an amount reflecting the consideration it expects to receive in exchange for those goods or services. To assess the impact of ASU 2014-09, the Company reviewed its current accounting policies and practices, identified all material revenue streams, assessed the impact of the ASU on its material revenue streams and identified potential differences with current policies and practices. The Company adopted this standard on February 4, 2018, with no material impact on the Company’s </w:t>
      </w:r>
      <w:r>
        <w:rPr>
          <w:rFonts w:ascii="Arial" w:cs="Arial" w:eastAsia="Arial" w:hAnsi="Arial"/>
          <w:sz w:val="15"/>
          <w:szCs w:val="15"/>
          <w:color w:val="212121"/>
        </w:rPr>
        <w:t>Consolidated Financial Statements</w:t>
      </w:r>
      <w:r>
        <w:rPr>
          <w:rFonts w:ascii="Arial" w:cs="Arial" w:eastAsia="Arial" w:hAnsi="Arial"/>
          <w:sz w:val="15"/>
          <w:szCs w:val="15"/>
          <w:color w:val="auto"/>
        </w:rPr>
        <w:t xml:space="preserve">, using the modified retrospective approach. </w:t>
      </w:r>
      <w:r>
        <w:rPr>
          <w:rFonts w:ascii="Arial" w:cs="Arial" w:eastAsia="Arial" w:hAnsi="Arial"/>
          <w:sz w:val="15"/>
          <w:szCs w:val="15"/>
          <w:color w:val="212121"/>
        </w:rPr>
        <w:t>Further disclosures related to the adoption of this standard are provided below in Note 2,</w:t>
      </w:r>
      <w:r>
        <w:rPr>
          <w:rFonts w:ascii="Arial" w:cs="Arial" w:eastAsia="Arial" w:hAnsi="Arial"/>
          <w:sz w:val="15"/>
          <w:szCs w:val="15"/>
          <w:color w:val="auto"/>
        </w:rPr>
        <w:t xml:space="preserve"> </w:t>
      </w:r>
      <w:r>
        <w:rPr>
          <w:rFonts w:ascii="Arial" w:cs="Arial" w:eastAsia="Arial" w:hAnsi="Arial"/>
          <w:sz w:val="15"/>
          <w:szCs w:val="15"/>
          <w:i w:val="1"/>
          <w:iCs w:val="1"/>
          <w:color w:val="212121"/>
        </w:rPr>
        <w:t>Revenue Recognition</w:t>
      </w:r>
      <w:r>
        <w:rPr>
          <w:rFonts w:ascii="Arial" w:cs="Arial" w:eastAsia="Arial" w:hAnsi="Arial"/>
          <w:sz w:val="15"/>
          <w:szCs w:val="15"/>
          <w:color w:val="212121"/>
        </w:rPr>
        <w:t>.</w:t>
      </w:r>
    </w:p>
    <w:p>
      <w:pPr>
        <w:spacing w:after="0" w:line="15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In March 2016, the FASB issued </w:t>
      </w:r>
      <w:r>
        <w:rPr>
          <w:rFonts w:ascii="Arial" w:cs="Arial" w:eastAsia="Arial" w:hAnsi="Arial"/>
          <w:sz w:val="15"/>
          <w:szCs w:val="15"/>
          <w:color w:val="252525"/>
        </w:rPr>
        <w:t>ASU 2016</w:t>
      </w:r>
      <w:r>
        <w:rPr>
          <w:rFonts w:ascii="Arial" w:cs="Arial" w:eastAsia="Arial" w:hAnsi="Arial"/>
          <w:sz w:val="15"/>
          <w:szCs w:val="15"/>
          <w:color w:val="auto"/>
        </w:rPr>
        <w:t>-</w:t>
      </w:r>
      <w:r>
        <w:rPr>
          <w:rFonts w:ascii="Arial" w:cs="Arial" w:eastAsia="Arial" w:hAnsi="Arial"/>
          <w:sz w:val="15"/>
          <w:szCs w:val="15"/>
          <w:color w:val="252525"/>
        </w:rPr>
        <w:t>04</w:t>
      </w:r>
      <w:r>
        <w:rPr>
          <w:rFonts w:ascii="Arial" w:cs="Arial" w:eastAsia="Arial" w:hAnsi="Arial"/>
          <w:sz w:val="15"/>
          <w:szCs w:val="15"/>
          <w:color w:val="auto"/>
        </w:rPr>
        <w:t>, “</w:t>
      </w:r>
      <w:r>
        <w:rPr>
          <w:rFonts w:ascii="Arial" w:cs="Arial" w:eastAsia="Arial" w:hAnsi="Arial"/>
          <w:sz w:val="15"/>
          <w:szCs w:val="15"/>
          <w:i w:val="1"/>
          <w:iCs w:val="1"/>
          <w:color w:val="auto"/>
        </w:rPr>
        <w:t>Liabilities—Extinguishments of Liabilities: Recognition of Breakage for Certain Prepaid Stored-Value</w:t>
      </w:r>
      <w:r>
        <w:rPr>
          <w:rFonts w:ascii="Arial" w:cs="Arial" w:eastAsia="Arial" w:hAnsi="Arial"/>
          <w:sz w:val="15"/>
          <w:szCs w:val="15"/>
          <w:color w:val="auto"/>
        </w:rPr>
        <w:t xml:space="preserve"> </w:t>
      </w:r>
      <w:r>
        <w:rPr>
          <w:rFonts w:ascii="Arial" w:cs="Arial" w:eastAsia="Arial" w:hAnsi="Arial"/>
          <w:sz w:val="15"/>
          <w:szCs w:val="15"/>
          <w:i w:val="1"/>
          <w:iCs w:val="1"/>
          <w:color w:val="auto"/>
        </w:rPr>
        <w:t>Products,</w:t>
      </w:r>
      <w:r>
        <w:rPr>
          <w:rFonts w:ascii="Arial" w:cs="Arial" w:eastAsia="Arial" w:hAnsi="Arial"/>
          <w:sz w:val="15"/>
          <w:szCs w:val="15"/>
          <w:color w:val="auto"/>
        </w:rPr>
        <w:t>” which amends exempting gift cards and other prepaid stored-value products from the guidance on extinguishing financial liabilities. Rather, they will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 subject to breakage accounting consistent with the new revenue guidance in Topic 606. However, the exemption only applies to breakage liabilities that are not subject to unclaimed property laws or that are attached to segregated bank accounts (e.g., consumer debit cards). The Company adopted this pronouncement as of February 4, 2018. The adoption of this standard did not have a material impact on the Company’s </w:t>
      </w:r>
      <w:r>
        <w:rPr>
          <w:rFonts w:ascii="Arial" w:cs="Arial" w:eastAsia="Arial" w:hAnsi="Arial"/>
          <w:sz w:val="15"/>
          <w:szCs w:val="15"/>
          <w:color w:val="212121"/>
        </w:rPr>
        <w:t>Consolidated Financial Statements</w:t>
      </w:r>
      <w:r>
        <w:rPr>
          <w:rFonts w:ascii="Arial" w:cs="Arial" w:eastAsia="Arial" w:hAnsi="Arial"/>
          <w:sz w:val="15"/>
          <w:szCs w:val="15"/>
          <w:color w:val="auto"/>
        </w:rPr>
        <w:t>.</w:t>
      </w:r>
    </w:p>
    <w:p>
      <w:pPr>
        <w:spacing w:after="0" w:line="15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Company adopted this pronouncement as of February 4, 2018. The adoption of this standard did not have a material impact on the Company’s</w:t>
      </w:r>
      <w:r>
        <w:rPr>
          <w:rFonts w:ascii="Arial" w:cs="Arial" w:eastAsia="Arial" w:hAnsi="Arial"/>
          <w:sz w:val="18"/>
          <w:szCs w:val="18"/>
          <w:color w:val="212121"/>
        </w:rPr>
        <w:t xml:space="preserve"> Consolidated Financial Statements</w:t>
      </w:r>
      <w:r>
        <w:rPr>
          <w:rFonts w:ascii="Arial" w:cs="Arial" w:eastAsia="Arial" w:hAnsi="Arial"/>
          <w:sz w:val="18"/>
          <w:szCs w:val="18"/>
          <w:color w:val="000000"/>
        </w:rPr>
        <w:t>.</w:t>
      </w:r>
    </w:p>
    <w:p>
      <w:pPr>
        <w:spacing w:after="0" w:line="19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 of Assets Other Than Inventory</w:t>
      </w:r>
      <w:r>
        <w:rPr>
          <w:rFonts w:ascii="Arial" w:cs="Arial" w:eastAsia="Arial" w:hAnsi="Arial"/>
          <w:sz w:val="18"/>
          <w:szCs w:val="18"/>
          <w:color w:val="auto"/>
        </w:rPr>
        <w:t xml:space="preserve">,” which </w:t>
      </w:r>
      <w:r>
        <w:rPr>
          <w:rFonts w:ascii="Arial" w:cs="Arial" w:eastAsia="Arial" w:hAnsi="Arial"/>
          <w:sz w:val="18"/>
          <w:szCs w:val="18"/>
          <w:color w:val="212121"/>
        </w:rPr>
        <w:t>reduces the existing</w:t>
      </w:r>
      <w:r>
        <w:rPr>
          <w:rFonts w:ascii="Arial" w:cs="Arial" w:eastAsia="Arial" w:hAnsi="Arial"/>
          <w:sz w:val="18"/>
          <w:szCs w:val="18"/>
          <w:color w:val="auto"/>
        </w:rPr>
        <w:t xml:space="preserve"> </w:t>
      </w:r>
      <w:r>
        <w:rPr>
          <w:rFonts w:ascii="Arial" w:cs="Arial" w:eastAsia="Arial" w:hAnsi="Arial"/>
          <w:sz w:val="18"/>
          <w:szCs w:val="18"/>
          <w:color w:val="212121"/>
        </w:rPr>
        <w:t xml:space="preserve">diversity in practice in how income tax consequences of an intra-entity transfer of an asset other than inventory should be recognized. The amendments in </w:t>
      </w:r>
      <w:r>
        <w:rPr>
          <w:rFonts w:ascii="Arial" w:cs="Arial" w:eastAsia="Arial" w:hAnsi="Arial"/>
          <w:sz w:val="18"/>
          <w:szCs w:val="18"/>
          <w:color w:val="252525"/>
        </w:rPr>
        <w:t>ASU</w:t>
      </w:r>
      <w:r>
        <w:rPr>
          <w:rFonts w:ascii="Arial" w:cs="Arial" w:eastAsia="Arial" w:hAnsi="Arial"/>
          <w:sz w:val="18"/>
          <w:szCs w:val="18"/>
          <w:color w:val="212121"/>
        </w:rPr>
        <w:t xml:space="preserve"> </w:t>
      </w:r>
      <w:r>
        <w:rPr>
          <w:rFonts w:ascii="Arial" w:cs="Arial" w:eastAsia="Arial" w:hAnsi="Arial"/>
          <w:sz w:val="18"/>
          <w:szCs w:val="18"/>
          <w:color w:val="252525"/>
        </w:rPr>
        <w:t>2016</w:t>
      </w:r>
      <w:r>
        <w:rPr>
          <w:rFonts w:ascii="Arial" w:cs="Arial" w:eastAsia="Arial" w:hAnsi="Arial"/>
          <w:sz w:val="18"/>
          <w:szCs w:val="18"/>
          <w:color w:val="212121"/>
        </w:rPr>
        <w:t>-</w:t>
      </w:r>
      <w:r>
        <w:rPr>
          <w:rFonts w:ascii="Arial" w:cs="Arial" w:eastAsia="Arial" w:hAnsi="Arial"/>
          <w:sz w:val="18"/>
          <w:szCs w:val="18"/>
          <w:color w:val="252525"/>
        </w:rPr>
        <w:t xml:space="preserve">16 </w:t>
      </w:r>
      <w:r>
        <w:rPr>
          <w:rFonts w:ascii="Arial" w:cs="Arial" w:eastAsia="Arial" w:hAnsi="Arial"/>
          <w:sz w:val="18"/>
          <w:szCs w:val="18"/>
          <w:color w:val="212121"/>
        </w:rPr>
        <w:t>require an entity to recognize such income tax consequences when the intra-entity transfer occurs rather than waiting until such time as the asset has</w:t>
      </w:r>
      <w:r>
        <w:rPr>
          <w:rFonts w:ascii="Arial" w:cs="Arial" w:eastAsia="Arial" w:hAnsi="Arial"/>
          <w:sz w:val="18"/>
          <w:szCs w:val="18"/>
          <w:color w:val="252525"/>
        </w:rPr>
        <w:t xml:space="preserve"> </w:t>
      </w:r>
      <w:r>
        <w:rPr>
          <w:rFonts w:ascii="Arial" w:cs="Arial" w:eastAsia="Arial" w:hAnsi="Arial"/>
          <w:sz w:val="18"/>
          <w:szCs w:val="18"/>
          <w:color w:val="212121"/>
        </w:rPr>
        <w:t>been sold to an outside party</w:t>
      </w:r>
      <w:r>
        <w:rPr>
          <w:rFonts w:ascii="Arial" w:cs="Arial" w:eastAsia="Arial" w:hAnsi="Arial"/>
          <w:sz w:val="18"/>
          <w:szCs w:val="18"/>
          <w:color w:val="000000"/>
        </w:rPr>
        <w:t>. The Company adopted this pronouncement as of February 4, 2018. The adoption of this standard did not have a material impact</w:t>
      </w:r>
      <w:r>
        <w:rPr>
          <w:rFonts w:ascii="Arial" w:cs="Arial" w:eastAsia="Arial" w:hAnsi="Arial"/>
          <w:sz w:val="18"/>
          <w:szCs w:val="18"/>
          <w:color w:val="212121"/>
        </w:rPr>
        <w:t xml:space="preserve"> </w:t>
      </w:r>
      <w:r>
        <w:rPr>
          <w:rFonts w:ascii="Arial" w:cs="Arial" w:eastAsia="Arial" w:hAnsi="Arial"/>
          <w:sz w:val="18"/>
          <w:szCs w:val="18"/>
          <w:color w:val="000000"/>
        </w:rPr>
        <w:t xml:space="preserve">on the 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 w:name="page10"/>
    <w:bookmarkEnd w:id="9"/>
    <w:p>
      <w:pPr>
        <w:spacing w:after="0" w:line="312" w:lineRule="auto"/>
        <w:rPr>
          <w:sz w:val="20"/>
          <w:szCs w:val="20"/>
          <w:color w:val="auto"/>
        </w:rPr>
      </w:pPr>
      <w:r>
        <w:rPr>
          <w:rFonts w:ascii="Arial" w:cs="Arial" w:eastAsia="Arial" w:hAnsi="Arial"/>
          <w:sz w:val="15"/>
          <w:szCs w:val="15"/>
          <w:color w:val="212121"/>
        </w:rPr>
        <w:t xml:space="preserve">In May 2017, the FASB issued ASU </w:t>
      </w:r>
      <w:r>
        <w:rPr>
          <w:rFonts w:ascii="Arial" w:cs="Arial" w:eastAsia="Arial" w:hAnsi="Arial"/>
          <w:sz w:val="15"/>
          <w:szCs w:val="15"/>
          <w:color w:val="000000"/>
        </w:rPr>
        <w:t>2017-09</w:t>
      </w:r>
      <w:r>
        <w:rPr>
          <w:rFonts w:ascii="Arial" w:cs="Arial" w:eastAsia="Arial" w:hAnsi="Arial"/>
          <w:sz w:val="15"/>
          <w:szCs w:val="15"/>
          <w:color w:val="212121"/>
        </w:rPr>
        <w:t>, “</w:t>
      </w:r>
      <w:r>
        <w:rPr>
          <w:rFonts w:ascii="Arial" w:cs="Arial" w:eastAsia="Arial" w:hAnsi="Arial"/>
          <w:sz w:val="15"/>
          <w:szCs w:val="15"/>
          <w:i w:val="1"/>
          <w:iCs w:val="1"/>
          <w:color w:val="212121"/>
        </w:rPr>
        <w:t>Compensation—Stock Compensation (Topic 718)”</w:t>
      </w:r>
      <w:r>
        <w:rPr>
          <w:rFonts w:ascii="Arial" w:cs="Arial" w:eastAsia="Arial" w:hAnsi="Arial"/>
          <w:sz w:val="15"/>
          <w:szCs w:val="15"/>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5"/>
          <w:szCs w:val="15"/>
          <w:color w:val="000000"/>
        </w:rPr>
        <w:t>The Company adopted this pronouncement as of February 4, 2018. The</w:t>
      </w:r>
      <w:r>
        <w:rPr>
          <w:rFonts w:ascii="Arial" w:cs="Arial" w:eastAsia="Arial" w:hAnsi="Arial"/>
          <w:sz w:val="15"/>
          <w:szCs w:val="15"/>
          <w:color w:val="212121"/>
        </w:rPr>
        <w:t xml:space="preserve"> </w:t>
      </w:r>
      <w:r>
        <w:rPr>
          <w:rFonts w:ascii="Arial" w:cs="Arial" w:eastAsia="Arial" w:hAnsi="Arial"/>
          <w:sz w:val="15"/>
          <w:szCs w:val="15"/>
          <w:color w:val="000000"/>
        </w:rPr>
        <w:t xml:space="preserve">adoption of this standard did not have a material impact on the Company’s </w:t>
      </w:r>
      <w:r>
        <w:rPr>
          <w:rFonts w:ascii="Arial" w:cs="Arial" w:eastAsia="Arial" w:hAnsi="Arial"/>
          <w:sz w:val="15"/>
          <w:szCs w:val="15"/>
          <w:color w:val="212121"/>
        </w:rPr>
        <w:t>Consolidated Financial Statements</w:t>
      </w:r>
      <w:r>
        <w:rPr>
          <w:rFonts w:ascii="Arial" w:cs="Arial" w:eastAsia="Arial" w:hAnsi="Arial"/>
          <w:sz w:val="15"/>
          <w:szCs w:val="15"/>
          <w:color w:val="000000"/>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This ASU is a comprehensive new leases standard that amends various aspects of existing guidance for leases and requires additional disclosures about leasing arrangements. It will require lessees to recognize lease assets and lease liabilities for most leases, including those leases previously classified as operating leases under current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w:t>
      </w:r>
      <w:r>
        <w:rPr>
          <w:rFonts w:ascii="Arial" w:cs="Arial" w:eastAsia="Arial" w:hAnsi="Arial"/>
          <w:sz w:val="15"/>
          <w:szCs w:val="15"/>
          <w:color w:val="212121"/>
        </w:rPr>
        <w:t>In July 2018, the FASB issued</w:t>
      </w:r>
      <w:r>
        <w:rPr>
          <w:rFonts w:ascii="Arial" w:cs="Arial" w:eastAsia="Arial" w:hAnsi="Arial"/>
          <w:sz w:val="15"/>
          <w:szCs w:val="15"/>
          <w:color w:val="auto"/>
        </w:rPr>
        <w:t xml:space="preserve"> </w:t>
      </w:r>
      <w:r>
        <w:rPr>
          <w:rFonts w:ascii="Arial" w:cs="Arial" w:eastAsia="Arial" w:hAnsi="Arial"/>
          <w:sz w:val="15"/>
          <w:szCs w:val="15"/>
          <w:color w:val="252525"/>
        </w:rPr>
        <w:t>ASU 2018</w:t>
      </w:r>
      <w:r>
        <w:rPr>
          <w:rFonts w:ascii="Arial" w:cs="Arial" w:eastAsia="Arial" w:hAnsi="Arial"/>
          <w:sz w:val="15"/>
          <w:szCs w:val="15"/>
          <w:color w:val="212121"/>
        </w:rPr>
        <w:t>-</w:t>
      </w:r>
      <w:r>
        <w:rPr>
          <w:rFonts w:ascii="Arial" w:cs="Arial" w:eastAsia="Arial" w:hAnsi="Arial"/>
          <w:sz w:val="15"/>
          <w:szCs w:val="15"/>
          <w:color w:val="252525"/>
        </w:rPr>
        <w:t>11</w:t>
      </w:r>
      <w:r>
        <w:rPr>
          <w:rFonts w:ascii="Arial" w:cs="Arial" w:eastAsia="Arial" w:hAnsi="Arial"/>
          <w:sz w:val="15"/>
          <w:szCs w:val="15"/>
          <w:color w:val="auto"/>
        </w:rPr>
        <w:t xml:space="preserve"> </w:t>
      </w:r>
      <w:r>
        <w:rPr>
          <w:rFonts w:ascii="Arial" w:cs="Arial" w:eastAsia="Arial" w:hAnsi="Arial"/>
          <w:sz w:val="15"/>
          <w:szCs w:val="15"/>
          <w:color w:val="212121"/>
        </w:rPr>
        <w:t>“</w:t>
      </w:r>
      <w:r>
        <w:rPr>
          <w:rFonts w:ascii="Arial" w:cs="Arial" w:eastAsia="Arial" w:hAnsi="Arial"/>
          <w:sz w:val="15"/>
          <w:szCs w:val="15"/>
          <w:i w:val="1"/>
          <w:iCs w:val="1"/>
          <w:color w:val="212121"/>
        </w:rPr>
        <w:t>Leases (Topic 842):</w:t>
      </w:r>
      <w:r>
        <w:rPr>
          <w:rFonts w:ascii="Arial" w:cs="Arial" w:eastAsia="Arial" w:hAnsi="Arial"/>
          <w:sz w:val="15"/>
          <w:szCs w:val="15"/>
          <w:color w:val="auto"/>
        </w:rPr>
        <w:t xml:space="preserve"> </w:t>
      </w:r>
      <w:r>
        <w:rPr>
          <w:rFonts w:ascii="Arial" w:cs="Arial" w:eastAsia="Arial" w:hAnsi="Arial"/>
          <w:sz w:val="15"/>
          <w:szCs w:val="15"/>
          <w:i w:val="1"/>
          <w:iCs w:val="1"/>
          <w:color w:val="212121"/>
        </w:rPr>
        <w:t>Targeted Improvements.</w:t>
      </w:r>
      <w:r>
        <w:rPr>
          <w:rFonts w:ascii="Arial" w:cs="Arial" w:eastAsia="Arial" w:hAnsi="Arial"/>
          <w:sz w:val="15"/>
          <w:szCs w:val="15"/>
          <w:color w:val="212121"/>
        </w:rPr>
        <w:t>” Prior to</w:t>
      </w:r>
      <w:r>
        <w:rPr>
          <w:rFonts w:ascii="Arial" w:cs="Arial" w:eastAsia="Arial" w:hAnsi="Arial"/>
          <w:sz w:val="15"/>
          <w:szCs w:val="15"/>
          <w:i w:val="1"/>
          <w:iCs w:val="1"/>
          <w:color w:val="212121"/>
        </w:rPr>
        <w:t xml:space="preserve"> </w:t>
      </w:r>
      <w:r>
        <w:rPr>
          <w:rFonts w:ascii="Arial" w:cs="Arial" w:eastAsia="Arial" w:hAnsi="Arial"/>
          <w:sz w:val="15"/>
          <w:szCs w:val="15"/>
          <w:color w:val="252525"/>
        </w:rPr>
        <w:t>ASU 2018</w:t>
      </w:r>
      <w:r>
        <w:rPr>
          <w:rFonts w:ascii="Arial" w:cs="Arial" w:eastAsia="Arial" w:hAnsi="Arial"/>
          <w:sz w:val="15"/>
          <w:szCs w:val="15"/>
          <w:color w:val="212121"/>
        </w:rPr>
        <w:t>-</w:t>
      </w:r>
      <w:r>
        <w:rPr>
          <w:rFonts w:ascii="Arial" w:cs="Arial" w:eastAsia="Arial" w:hAnsi="Arial"/>
          <w:sz w:val="15"/>
          <w:szCs w:val="15"/>
          <w:color w:val="252525"/>
        </w:rPr>
        <w:t>11</w:t>
      </w:r>
      <w:r>
        <w:rPr>
          <w:rFonts w:ascii="Arial" w:cs="Arial" w:eastAsia="Arial" w:hAnsi="Arial"/>
          <w:sz w:val="15"/>
          <w:szCs w:val="15"/>
          <w:color w:val="212121"/>
        </w:rPr>
        <w:t>, a modified retrospective transition was required for financing or operating leases existing at or entered into after</w:t>
      </w:r>
      <w:r>
        <w:rPr>
          <w:rFonts w:ascii="Arial" w:cs="Arial" w:eastAsia="Arial" w:hAnsi="Arial"/>
          <w:sz w:val="15"/>
          <w:szCs w:val="15"/>
          <w:i w:val="1"/>
          <w:iCs w:val="1"/>
          <w:color w:val="212121"/>
        </w:rPr>
        <w:t xml:space="preserve"> </w:t>
      </w:r>
      <w:r>
        <w:rPr>
          <w:rFonts w:ascii="Arial" w:cs="Arial" w:eastAsia="Arial" w:hAnsi="Arial"/>
          <w:sz w:val="15"/>
          <w:szCs w:val="15"/>
          <w:color w:val="212121"/>
        </w:rPr>
        <w:t xml:space="preserve">the beginning of the earliest comparative period presented in the financial statements. </w:t>
      </w:r>
      <w:r>
        <w:rPr>
          <w:rFonts w:ascii="Arial" w:cs="Arial" w:eastAsia="Arial" w:hAnsi="Arial"/>
          <w:sz w:val="15"/>
          <w:szCs w:val="15"/>
          <w:color w:val="252525"/>
        </w:rPr>
        <w:t>ASU 2018</w:t>
      </w:r>
      <w:r>
        <w:rPr>
          <w:rFonts w:ascii="Arial" w:cs="Arial" w:eastAsia="Arial" w:hAnsi="Arial"/>
          <w:sz w:val="15"/>
          <w:szCs w:val="15"/>
          <w:color w:val="212121"/>
        </w:rPr>
        <w:t>-</w:t>
      </w:r>
      <w:r>
        <w:rPr>
          <w:rFonts w:ascii="Arial" w:cs="Arial" w:eastAsia="Arial" w:hAnsi="Arial"/>
          <w:sz w:val="15"/>
          <w:szCs w:val="15"/>
          <w:color w:val="252525"/>
        </w:rPr>
        <w:t>11</w:t>
      </w:r>
      <w:r>
        <w:rPr>
          <w:rFonts w:ascii="Arial" w:cs="Arial" w:eastAsia="Arial" w:hAnsi="Arial"/>
          <w:sz w:val="15"/>
          <w:szCs w:val="15"/>
          <w:color w:val="212121"/>
        </w:rPr>
        <w:t xml:space="preserve"> allows entities an additional transition method to the existing requirements whereby an entity could adopt the provisions of </w:t>
      </w:r>
      <w:r>
        <w:rPr>
          <w:rFonts w:ascii="Arial" w:cs="Arial" w:eastAsia="Arial" w:hAnsi="Arial"/>
          <w:sz w:val="15"/>
          <w:szCs w:val="15"/>
          <w:color w:val="252525"/>
        </w:rPr>
        <w:t>ASU</w:t>
      </w:r>
      <w:r>
        <w:rPr>
          <w:rFonts w:ascii="Arial" w:cs="Arial" w:eastAsia="Arial" w:hAnsi="Arial"/>
          <w:sz w:val="15"/>
          <w:szCs w:val="15"/>
          <w:color w:val="212121"/>
        </w:rPr>
        <w:t xml:space="preserve"> 2016-02 by recognizing a cumulative-effect adjustment to the opening balance of retained earnings in the period of adoption without adjustment to the financial statements for periods prior to adoption. </w:t>
      </w:r>
      <w:r>
        <w:rPr>
          <w:rFonts w:ascii="Arial" w:cs="Arial" w:eastAsia="Arial" w:hAnsi="Arial"/>
          <w:sz w:val="15"/>
          <w:szCs w:val="15"/>
          <w:color w:val="252525"/>
        </w:rPr>
        <w:t>ASU</w:t>
      </w:r>
      <w:r>
        <w:rPr>
          <w:rFonts w:ascii="Arial" w:cs="Arial" w:eastAsia="Arial" w:hAnsi="Arial"/>
          <w:sz w:val="15"/>
          <w:szCs w:val="15"/>
          <w:color w:val="212121"/>
        </w:rPr>
        <w:t xml:space="preserve"> 2016-02 is effective for interim and annual periods beginning after December 15, 2018. Early adoption is permitted.</w:t>
      </w:r>
    </w:p>
    <w:p>
      <w:pPr>
        <w:spacing w:after="0" w:line="3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Company will adopt the standard in the first quarter of fiscal 2019, and has implemented its leasing software solution to enable the accounting and disclosure requires. The Company is continuing to identify necessary changes to its business processes and controls to support adoption of the new standard. Additionally, the Company is evaluating the impact that the new standard will have on the consolidated financial statements and evaluating transition methods available. While we are still in the process of quantifying the impact, we expect the adoption of the new standard to result in a material gross-up of our Consolidated Balance Sheets as a result of recognizing lease liabilities and right of use assets, which will be subject to long-lived asset impairment testing under ASC 360.</w:t>
      </w:r>
    </w:p>
    <w:p>
      <w:pPr>
        <w:spacing w:after="0" w:line="197"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In February 2018, the FASB issued ASU 2018-02, “</w:t>
      </w:r>
      <w:r>
        <w:rPr>
          <w:rFonts w:ascii="Arial" w:cs="Arial" w:eastAsia="Arial" w:hAnsi="Arial"/>
          <w:sz w:val="15"/>
          <w:szCs w:val="15"/>
          <w:i w:val="1"/>
          <w:iCs w:val="1"/>
          <w:color w:val="auto"/>
        </w:rPr>
        <w:t>Income Statement – Reporting Comprehensive Income (Topic 220) Reclassification of Certain Tax Effects</w:t>
      </w:r>
      <w:r>
        <w:rPr>
          <w:rFonts w:ascii="Arial" w:cs="Arial" w:eastAsia="Arial" w:hAnsi="Arial"/>
          <w:sz w:val="15"/>
          <w:szCs w:val="15"/>
          <w:color w:val="auto"/>
        </w:rPr>
        <w:t xml:space="preserve"> </w:t>
      </w:r>
      <w:r>
        <w:rPr>
          <w:rFonts w:ascii="Arial" w:cs="Arial" w:eastAsia="Arial" w:hAnsi="Arial"/>
          <w:sz w:val="15"/>
          <w:szCs w:val="15"/>
          <w:i w:val="1"/>
          <w:iCs w:val="1"/>
          <w:color w:val="auto"/>
        </w:rPr>
        <w:t>from Accumulated Other Comprehensive Income</w:t>
      </w:r>
      <w:r>
        <w:rPr>
          <w:rFonts w:ascii="Arial" w:cs="Arial" w:eastAsia="Arial" w:hAnsi="Arial"/>
          <w:sz w:val="15"/>
          <w:szCs w:val="15"/>
          <w:color w:val="auto"/>
        </w:rPr>
        <w:t>”. The amendments in this update allow a reclassification from accumulated other comprehensive income (loss)</w:t>
      </w:r>
      <w:r>
        <w:rPr>
          <w:rFonts w:ascii="Arial" w:cs="Arial" w:eastAsia="Arial" w:hAnsi="Arial"/>
          <w:sz w:val="15"/>
          <w:szCs w:val="15"/>
          <w:i w:val="1"/>
          <w:iCs w:val="1"/>
          <w:color w:val="auto"/>
        </w:rPr>
        <w:t xml:space="preserve"> </w:t>
      </w:r>
      <w:r>
        <w:rPr>
          <w:rFonts w:ascii="Arial" w:cs="Arial" w:eastAsia="Arial" w:hAnsi="Arial"/>
          <w:sz w:val="15"/>
          <w:szCs w:val="15"/>
          <w:color w:val="auto"/>
        </w:rPr>
        <w:t>to retained earnings for stranded tax effects resulting from the Tax Cuts and Jobs Act. However, because the amendments only relate to the reclassification of the income tax effects of the Tax Cuts and Jobs Act, the underlying guidance that requires that the effect of a change in tax laws or rates be included in income from continuing operations is not affected. The amendments in this update also require certain disclosures about stranded tax effects. The amendments in this update are effective for fiscal years beginning after December 15, 2018 and interim periods within those fiscal years. Early adoption is permitted. We are currently evaluating the impact this pronouncement will have on our Consolidated Financial Statements.</w:t>
      </w:r>
    </w:p>
    <w:p>
      <w:pPr>
        <w:spacing w:after="0" w:line="15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No other new accounting pronouncements, issued or effective during the first six months of fiscal 2018, have had or are expected to have a significant impact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1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212121"/>
        </w:rPr>
        <w:t xml:space="preserve">On February 4, 2018, the Company </w:t>
      </w:r>
      <w:r>
        <w:rPr>
          <w:rFonts w:ascii="Arial" w:cs="Arial" w:eastAsia="Arial" w:hAnsi="Arial"/>
          <w:sz w:val="18"/>
          <w:szCs w:val="18"/>
          <w:color w:val="252525"/>
        </w:rPr>
        <w:t>adopted</w:t>
      </w:r>
      <w:r>
        <w:rPr>
          <w:rFonts w:ascii="Arial" w:cs="Arial" w:eastAsia="Arial" w:hAnsi="Arial"/>
          <w:sz w:val="18"/>
          <w:szCs w:val="18"/>
          <w:color w:val="212121"/>
        </w:rPr>
        <w:t xml:space="preserve"> </w:t>
      </w:r>
      <w:r>
        <w:rPr>
          <w:rFonts w:ascii="Arial" w:cs="Arial" w:eastAsia="Arial" w:hAnsi="Arial"/>
          <w:sz w:val="18"/>
          <w:szCs w:val="18"/>
          <w:i w:val="1"/>
          <w:iCs w:val="1"/>
          <w:color w:val="212121"/>
        </w:rPr>
        <w:t>Revenue from Contracts with Customers</w:t>
      </w:r>
      <w:r>
        <w:rPr>
          <w:rFonts w:ascii="Arial" w:cs="Arial" w:eastAsia="Arial" w:hAnsi="Arial"/>
          <w:sz w:val="18"/>
          <w:szCs w:val="18"/>
          <w:color w:val="212121"/>
        </w:rPr>
        <w:t xml:space="preserve"> (“ASC </w:t>
      </w:r>
      <w:r>
        <w:rPr>
          <w:rFonts w:ascii="Arial" w:cs="Arial" w:eastAsia="Arial" w:hAnsi="Arial"/>
          <w:sz w:val="18"/>
          <w:szCs w:val="18"/>
          <w:color w:val="252525"/>
        </w:rPr>
        <w:t>606”)</w:t>
      </w:r>
      <w:r>
        <w:rPr>
          <w:rFonts w:ascii="Arial" w:cs="Arial" w:eastAsia="Arial" w:hAnsi="Arial"/>
          <w:sz w:val="18"/>
          <w:szCs w:val="18"/>
          <w:color w:val="212121"/>
        </w:rPr>
        <w:t xml:space="preserve"> using the modified retrospective approach for all contracts not completed as of the date of adoption. Results for the reporting periods beginning on February 4, 2018 are presented under ASC 606, while prior period amounts continue to be reported in accordance with accounting under ASC 605, </w:t>
      </w:r>
      <w:r>
        <w:rPr>
          <w:rFonts w:ascii="Arial" w:cs="Arial" w:eastAsia="Arial" w:hAnsi="Arial"/>
          <w:sz w:val="18"/>
          <w:szCs w:val="18"/>
          <w:i w:val="1"/>
          <w:iCs w:val="1"/>
          <w:color w:val="212121"/>
        </w:rPr>
        <w:t>Revenue Recognition</w:t>
      </w:r>
      <w:r>
        <w:rPr>
          <w:rFonts w:ascii="Arial" w:cs="Arial" w:eastAsia="Arial" w:hAnsi="Arial"/>
          <w:sz w:val="18"/>
          <w:szCs w:val="18"/>
          <w:color w:val="212121"/>
        </w:rPr>
        <w:t>. There was no material impact to the Company’s Consolidated Financial Statements as a result of adopting ASC 606.</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212121"/>
        </w:rPr>
        <w:t xml:space="preserve">The Company operates as a retailer of big &amp; tall men’s apparel, which includes both retail stores and a direct business. </w:t>
      </w:r>
      <w:r>
        <w:rPr>
          <w:rFonts w:ascii="Arial" w:cs="Arial" w:eastAsia="Arial" w:hAnsi="Arial"/>
          <w:sz w:val="15"/>
          <w:szCs w:val="15"/>
          <w:color w:val="000000"/>
        </w:rPr>
        <w:t>Revenue is recognized by the operating</w:t>
      </w:r>
      <w:r>
        <w:rPr>
          <w:rFonts w:ascii="Arial" w:cs="Arial" w:eastAsia="Arial" w:hAnsi="Arial"/>
          <w:sz w:val="15"/>
          <w:szCs w:val="15"/>
          <w:color w:val="212121"/>
        </w:rPr>
        <w:t xml:space="preserve"> </w:t>
      </w:r>
      <w:r>
        <w:rPr>
          <w:rFonts w:ascii="Arial" w:cs="Arial" w:eastAsia="Arial" w:hAnsi="Arial"/>
          <w:sz w:val="15"/>
          <w:szCs w:val="15"/>
          <w:color w:val="000000"/>
        </w:rPr>
        <w:t xml:space="preserve">segment that initiates a customer’s order. Store sales are defined as sales that originate and are fulfilled directly at the store level. Direct sales are defined as sales that originate online, including those initiated online at the store level. </w:t>
      </w:r>
      <w:r>
        <w:rPr>
          <w:rFonts w:ascii="Arial" w:cs="Arial" w:eastAsia="Arial" w:hAnsi="Arial"/>
          <w:sz w:val="15"/>
          <w:szCs w:val="15"/>
          <w:color w:val="212121"/>
        </w:rPr>
        <w:t>Generally, all revenues are recognized when control of the promised goods is</w:t>
      </w:r>
      <w:r>
        <w:rPr>
          <w:rFonts w:ascii="Arial" w:cs="Arial" w:eastAsia="Arial" w:hAnsi="Arial"/>
          <w:sz w:val="15"/>
          <w:szCs w:val="15"/>
          <w:color w:val="000000"/>
        </w:rPr>
        <w:t xml:space="preserve"> </w:t>
      </w:r>
      <w:r>
        <w:rPr>
          <w:rFonts w:ascii="Arial" w:cs="Arial" w:eastAsia="Arial" w:hAnsi="Arial"/>
          <w:sz w:val="15"/>
          <w:szCs w:val="15"/>
          <w:color w:val="212121"/>
        </w:rPr>
        <w:t xml:space="preserve">transferred to customers, in an amount that reflects the consideration in exchange for those goods. </w:t>
      </w:r>
      <w:r>
        <w:rPr>
          <w:rFonts w:ascii="Arial" w:cs="Arial" w:eastAsia="Arial" w:hAnsi="Arial"/>
          <w:sz w:val="15"/>
          <w:szCs w:val="15"/>
          <w:color w:val="000000"/>
        </w:rPr>
        <w:t>Sales tax collected from customers and remitted to taxing</w:t>
      </w:r>
      <w:r>
        <w:rPr>
          <w:rFonts w:ascii="Arial" w:cs="Arial" w:eastAsia="Arial" w:hAnsi="Arial"/>
          <w:sz w:val="15"/>
          <w:szCs w:val="15"/>
          <w:color w:val="212121"/>
        </w:rPr>
        <w:t xml:space="preserve"> </w:t>
      </w:r>
      <w:r>
        <w:rPr>
          <w:rFonts w:ascii="Arial" w:cs="Arial" w:eastAsia="Arial" w:hAnsi="Arial"/>
          <w:sz w:val="15"/>
          <w:szCs w:val="15"/>
          <w:color w:val="000000"/>
        </w:rPr>
        <w:t>authorities is excluded from revenue and is included as part of accrued expenses on the Company’s Consolidated Balance Sheets.</w:t>
      </w:r>
    </w:p>
    <w:p>
      <w:pPr>
        <w:spacing w:after="0" w:line="152" w:lineRule="exact"/>
        <w:rPr>
          <w:sz w:val="20"/>
          <w:szCs w:val="20"/>
          <w:color w:val="auto"/>
        </w:rPr>
      </w:pPr>
    </w:p>
    <w:p>
      <w:pPr>
        <w:ind w:left="740" w:hanging="363"/>
        <w:spacing w:after="0" w:line="265" w:lineRule="auto"/>
        <w:tabs>
          <w:tab w:leader="none" w:pos="74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retail store operations is recorded upon purchase of merchandise by customers, net of an allowance for sales returns, which is estimated based upon historical experience.</w:t>
      </w:r>
    </w:p>
    <w:p>
      <w:pPr>
        <w:spacing w:after="0" w:line="179" w:lineRule="exact"/>
        <w:rPr>
          <w:rFonts w:ascii="Arial" w:cs="Arial" w:eastAsia="Arial" w:hAnsi="Arial"/>
          <w:sz w:val="18"/>
          <w:szCs w:val="18"/>
          <w:color w:val="212121"/>
        </w:rPr>
      </w:pPr>
    </w:p>
    <w:p>
      <w:pPr>
        <w:ind w:left="740" w:hanging="363"/>
        <w:spacing w:after="0" w:line="265" w:lineRule="auto"/>
        <w:tabs>
          <w:tab w:leader="none" w:pos="74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 w:name="page11"/>
    <w:bookmarkEnd w:id="10"/>
    <w:p>
      <w:pPr>
        <w:ind w:right="140"/>
        <w:spacing w:after="0" w:line="250"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Over 90% of the Company’s customers participate in the loyalty program. Under ASC 606,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$0.9 million and $0.6 million at August 4, 2018 and February 3, 2018, respectively.</w:t>
      </w:r>
    </w:p>
    <w:p>
      <w:pPr>
        <w:spacing w:after="0" w:line="195"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i w:val="1"/>
          <w:iCs w:val="1"/>
          <w:color w:val="auto"/>
        </w:rPr>
        <w:t xml:space="preserve">Unredeemed Gift Cards, Gift Certificates, and Credit Vouchers. </w:t>
      </w:r>
      <w:r>
        <w:rPr>
          <w:rFonts w:ascii="Arial" w:cs="Arial" w:eastAsia="Arial" w:hAnsi="Arial"/>
          <w:sz w:val="15"/>
          <w:szCs w:val="15"/>
          <w:color w:val="auto"/>
        </w:rPr>
        <w:t>Upon issuance of a gift card, gift certificate, or credit voucher, a liability is established for its</w:t>
      </w:r>
      <w:r>
        <w:rPr>
          <w:rFonts w:ascii="Arial" w:cs="Arial" w:eastAsia="Arial" w:hAnsi="Arial"/>
          <w:sz w:val="15"/>
          <w:szCs w:val="15"/>
          <w:i w:val="1"/>
          <w:iCs w:val="1"/>
          <w:color w:val="auto"/>
        </w:rPr>
        <w:t xml:space="preserve"> </w:t>
      </w:r>
      <w:r>
        <w:rPr>
          <w:rFonts w:ascii="Arial" w:cs="Arial" w:eastAsia="Arial" w:hAnsi="Arial"/>
          <w:sz w:val="15"/>
          <w:szCs w:val="15"/>
          <w:color w:val="auto"/>
        </w:rPr>
        <w:t>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$1.4 million and $2.2 million at August 4, 2018 and February 3, 2018, respectively.</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121"/>
        </w:rPr>
        <w:t>Disaggregation of Revenue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As noted above under </w:t>
      </w:r>
      <w:r>
        <w:rPr>
          <w:rFonts w:ascii="Arial" w:cs="Arial" w:eastAsia="Arial" w:hAnsi="Arial"/>
          <w:sz w:val="18"/>
          <w:szCs w:val="18"/>
          <w:i w:val="1"/>
          <w:iCs w:val="1"/>
          <w:color w:val="212121"/>
        </w:rPr>
        <w:t>Segment Information</w:t>
      </w:r>
      <w:r>
        <w:rPr>
          <w:rFonts w:ascii="Arial" w:cs="Arial" w:eastAsia="Arial" w:hAnsi="Arial"/>
          <w:sz w:val="18"/>
          <w:szCs w:val="18"/>
          <w:color w:val="212121"/>
        </w:rPr>
        <w:t xml:space="preserve"> in Note 1, the Company’s business consists of one reportable segment. Substantially all of the Company’s revenue is generated from its retail store operations and its direct business. Accordingly, we have determined that the following sales channels depict the nature, amount, timing, and uncertainty of how revenue and cash flows are affected by economic factors:</w:t>
      </w:r>
    </w:p>
    <w:p>
      <w:pPr>
        <w:spacing w:after="0" w:line="205" w:lineRule="exact"/>
        <w:rPr>
          <w:sz w:val="20"/>
          <w:szCs w:val="20"/>
          <w:color w:val="auto"/>
        </w:rPr>
      </w:pPr>
    </w:p>
    <w:tbl>
      <w:tblPr>
        <w:tblLayout w:type="fixed"/>
        <w:tblInd w:w="14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5"/>
          </w:tcPr>
          <w:p>
            <w:pPr>
              <w:jc w:val="right"/>
              <w:ind w:right="680"/>
              <w:spacing w:after="0"/>
              <w:rPr>
                <w:sz w:val="20"/>
                <w:szCs w:val="20"/>
                <w:color w:val="auto"/>
              </w:rPr>
            </w:pPr>
            <w:r>
              <w:rPr>
                <w:rFonts w:ascii="Arial" w:cs="Arial" w:eastAsia="Arial" w:hAnsi="Arial"/>
                <w:sz w:val="16"/>
                <w:szCs w:val="16"/>
                <w:color w:val="auto"/>
              </w:rPr>
              <w:t>For the Three Months Ended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gridSpan w:val="4"/>
          </w:tcPr>
          <w:p>
            <w:pPr>
              <w:jc w:val="right"/>
              <w:ind w:right="900"/>
              <w:spacing w:after="0"/>
              <w:rPr>
                <w:sz w:val="20"/>
                <w:szCs w:val="20"/>
                <w:color w:val="auto"/>
              </w:rPr>
            </w:pPr>
            <w:r>
              <w:rPr>
                <w:rFonts w:ascii="Arial" w:cs="Arial" w:eastAsia="Arial" w:hAnsi="Arial"/>
                <w:sz w:val="16"/>
                <w:szCs w:val="16"/>
                <w:color w:val="auto"/>
              </w:rPr>
              <w:t>For the Six Months Ended</w:t>
            </w:r>
          </w:p>
        </w:tc>
        <w:tc>
          <w:tcPr>
            <w:tcW w:w="780" w:type="dxa"/>
            <w:vAlign w:val="bottom"/>
          </w:tcPr>
          <w:p>
            <w:pPr>
              <w:spacing w:after="0"/>
              <w:rPr>
                <w:sz w:val="17"/>
                <w:szCs w:val="17"/>
                <w:color w:val="auto"/>
              </w:rPr>
            </w:pPr>
          </w:p>
        </w:tc>
      </w:tr>
      <w:tr>
        <w:trPr>
          <w:trHeight w:val="215"/>
        </w:trPr>
        <w:tc>
          <w:tcPr>
            <w:tcW w:w="2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1"/>
              </w:rPr>
              <w:t>August 4, 2018</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2"/>
              </w:rPr>
              <w:t>July 29, 2017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2"/>
              </w:rPr>
              <w:t>August 4, 2018</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96"/>
              </w:rPr>
              <w:t>July 29, 2017</w:t>
            </w:r>
          </w:p>
        </w:tc>
        <w:tc>
          <w:tcPr>
            <w:tcW w:w="780" w:type="dxa"/>
            <w:vAlign w:val="bottom"/>
          </w:tcPr>
          <w:p>
            <w:pPr>
              <w:spacing w:after="0"/>
              <w:rPr>
                <w:sz w:val="18"/>
                <w:szCs w:val="18"/>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6"/>
                <w:szCs w:val="16"/>
                <w:color w:val="auto"/>
              </w:rPr>
              <w:t>Retail sales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97,992</w:t>
            </w:r>
          </w:p>
        </w:tc>
        <w:tc>
          <w:tcPr>
            <w:tcW w:w="700" w:type="dxa"/>
            <w:vAlign w:val="bottom"/>
          </w:tcPr>
          <w:p>
            <w:pPr>
              <w:jc w:val="right"/>
              <w:ind w:right="169"/>
              <w:spacing w:after="0"/>
              <w:rPr>
                <w:sz w:val="20"/>
                <w:szCs w:val="20"/>
                <w:color w:val="auto"/>
              </w:rPr>
            </w:pPr>
            <w:r>
              <w:rPr>
                <w:rFonts w:ascii="Arial" w:cs="Arial" w:eastAsia="Arial" w:hAnsi="Arial"/>
                <w:sz w:val="14"/>
                <w:szCs w:val="14"/>
                <w:i w:val="1"/>
                <w:iCs w:val="1"/>
                <w:color w:val="auto"/>
              </w:rPr>
              <w:t>80.2%</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97,449</w:t>
            </w:r>
          </w:p>
        </w:tc>
        <w:tc>
          <w:tcPr>
            <w:tcW w:w="680" w:type="dxa"/>
            <w:vAlign w:val="bottom"/>
          </w:tcPr>
          <w:p>
            <w:pPr>
              <w:jc w:val="right"/>
              <w:ind w:right="129"/>
              <w:spacing w:after="0"/>
              <w:rPr>
                <w:sz w:val="20"/>
                <w:szCs w:val="20"/>
                <w:color w:val="auto"/>
              </w:rPr>
            </w:pPr>
            <w:r>
              <w:rPr>
                <w:rFonts w:ascii="Arial" w:cs="Arial" w:eastAsia="Arial" w:hAnsi="Arial"/>
                <w:sz w:val="14"/>
                <w:szCs w:val="14"/>
                <w:i w:val="1"/>
                <w:iCs w:val="1"/>
                <w:color w:val="auto"/>
              </w:rPr>
              <w:t>80.5%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187,337</w:t>
            </w:r>
          </w:p>
        </w:tc>
        <w:tc>
          <w:tcPr>
            <w:tcW w:w="980" w:type="dxa"/>
            <w:vAlign w:val="bottom"/>
          </w:tcPr>
          <w:p>
            <w:pPr>
              <w:jc w:val="right"/>
              <w:ind w:right="429"/>
              <w:spacing w:after="0"/>
              <w:rPr>
                <w:sz w:val="20"/>
                <w:szCs w:val="20"/>
                <w:color w:val="auto"/>
              </w:rPr>
            </w:pPr>
            <w:r>
              <w:rPr>
                <w:rFonts w:ascii="Arial" w:cs="Arial" w:eastAsia="Arial" w:hAnsi="Arial"/>
                <w:sz w:val="14"/>
                <w:szCs w:val="14"/>
                <w:i w:val="1"/>
                <w:iCs w:val="1"/>
                <w:color w:val="auto"/>
              </w:rPr>
              <w:t>79.5%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182,935</w:t>
            </w:r>
          </w:p>
        </w:tc>
        <w:tc>
          <w:tcPr>
            <w:tcW w:w="780" w:type="dxa"/>
            <w:vAlign w:val="bottom"/>
          </w:tcPr>
          <w:p>
            <w:pPr>
              <w:jc w:val="right"/>
              <w:ind w:right="249"/>
              <w:spacing w:after="0"/>
              <w:rPr>
                <w:sz w:val="20"/>
                <w:szCs w:val="20"/>
                <w:color w:val="auto"/>
              </w:rPr>
            </w:pPr>
            <w:r>
              <w:rPr>
                <w:rFonts w:ascii="Arial" w:cs="Arial" w:eastAsia="Arial" w:hAnsi="Arial"/>
                <w:sz w:val="14"/>
                <w:szCs w:val="14"/>
                <w:i w:val="1"/>
                <w:iCs w:val="1"/>
                <w:color w:val="auto"/>
              </w:rPr>
              <w:t>80.0%</w:t>
            </w:r>
          </w:p>
        </w:tc>
      </w:tr>
      <w:tr>
        <w:trPr>
          <w:trHeight w:val="212"/>
        </w:trPr>
        <w:tc>
          <w:tcPr>
            <w:tcW w:w="2440" w:type="dxa"/>
            <w:vAlign w:val="bottom"/>
            <w:shd w:val="clear" w:color="auto" w:fill="CFF0FC"/>
          </w:tcPr>
          <w:p>
            <w:pPr>
              <w:spacing w:after="0"/>
              <w:rPr>
                <w:sz w:val="20"/>
                <w:szCs w:val="20"/>
                <w:color w:val="auto"/>
              </w:rPr>
            </w:pPr>
            <w:r>
              <w:rPr>
                <w:rFonts w:ascii="Arial" w:cs="Arial" w:eastAsia="Arial" w:hAnsi="Arial"/>
                <w:sz w:val="16"/>
                <w:szCs w:val="16"/>
                <w:color w:val="auto"/>
              </w:rPr>
              <w:t>Direct sales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24,214</w:t>
            </w:r>
          </w:p>
        </w:tc>
        <w:tc>
          <w:tcPr>
            <w:tcW w:w="700" w:type="dxa"/>
            <w:vAlign w:val="bottom"/>
            <w:shd w:val="clear" w:color="auto" w:fill="CFF0FC"/>
          </w:tcPr>
          <w:p>
            <w:pPr>
              <w:jc w:val="right"/>
              <w:ind w:right="169"/>
              <w:spacing w:after="0"/>
              <w:rPr>
                <w:sz w:val="20"/>
                <w:szCs w:val="20"/>
                <w:color w:val="auto"/>
              </w:rPr>
            </w:pPr>
            <w:r>
              <w:rPr>
                <w:rFonts w:ascii="Arial" w:cs="Arial" w:eastAsia="Arial" w:hAnsi="Arial"/>
                <w:sz w:val="14"/>
                <w:szCs w:val="14"/>
                <w:i w:val="1"/>
                <w:iCs w:val="1"/>
                <w:color w:val="auto"/>
              </w:rPr>
              <w:t>19.8%</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23,676</w:t>
            </w:r>
          </w:p>
        </w:tc>
        <w:tc>
          <w:tcPr>
            <w:tcW w:w="680" w:type="dxa"/>
            <w:vAlign w:val="bottom"/>
            <w:shd w:val="clear" w:color="auto" w:fill="CFF0FC"/>
          </w:tcPr>
          <w:p>
            <w:pPr>
              <w:jc w:val="right"/>
              <w:ind w:right="129"/>
              <w:spacing w:after="0"/>
              <w:rPr>
                <w:sz w:val="20"/>
                <w:szCs w:val="20"/>
                <w:color w:val="auto"/>
              </w:rPr>
            </w:pPr>
            <w:r>
              <w:rPr>
                <w:rFonts w:ascii="Arial" w:cs="Arial" w:eastAsia="Arial" w:hAnsi="Arial"/>
                <w:sz w:val="14"/>
                <w:szCs w:val="14"/>
                <w:i w:val="1"/>
                <w:iCs w:val="1"/>
                <w:color w:val="auto"/>
              </w:rPr>
              <w:t>19.5%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48,200</w:t>
            </w:r>
          </w:p>
        </w:tc>
        <w:tc>
          <w:tcPr>
            <w:tcW w:w="980" w:type="dxa"/>
            <w:vAlign w:val="bottom"/>
            <w:shd w:val="clear" w:color="auto" w:fill="CFF0FC"/>
          </w:tcPr>
          <w:p>
            <w:pPr>
              <w:jc w:val="right"/>
              <w:ind w:right="429"/>
              <w:spacing w:after="0"/>
              <w:rPr>
                <w:sz w:val="20"/>
                <w:szCs w:val="20"/>
                <w:color w:val="auto"/>
              </w:rPr>
            </w:pPr>
            <w:r>
              <w:rPr>
                <w:rFonts w:ascii="Arial" w:cs="Arial" w:eastAsia="Arial" w:hAnsi="Arial"/>
                <w:sz w:val="14"/>
                <w:szCs w:val="14"/>
                <w:i w:val="1"/>
                <w:iCs w:val="1"/>
                <w:color w:val="auto"/>
              </w:rPr>
              <w:t>20.5%</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45,819</w:t>
            </w:r>
          </w:p>
        </w:tc>
        <w:tc>
          <w:tcPr>
            <w:tcW w:w="780" w:type="dxa"/>
            <w:vAlign w:val="bottom"/>
            <w:shd w:val="clear" w:color="auto" w:fill="CFF0FC"/>
          </w:tcPr>
          <w:p>
            <w:pPr>
              <w:jc w:val="right"/>
              <w:ind w:right="249"/>
              <w:spacing w:after="0"/>
              <w:rPr>
                <w:sz w:val="20"/>
                <w:szCs w:val="20"/>
                <w:color w:val="auto"/>
              </w:rPr>
            </w:pPr>
            <w:r>
              <w:rPr>
                <w:rFonts w:ascii="Arial" w:cs="Arial" w:eastAsia="Arial" w:hAnsi="Arial"/>
                <w:sz w:val="14"/>
                <w:szCs w:val="14"/>
                <w:i w:val="1"/>
                <w:iCs w:val="1"/>
                <w:color w:val="auto"/>
              </w:rPr>
              <w:t>20.0%</w:t>
            </w:r>
          </w:p>
        </w:tc>
      </w:tr>
      <w:tr>
        <w:trPr>
          <w:trHeight w:val="218"/>
        </w:trPr>
        <w:tc>
          <w:tcPr>
            <w:tcW w:w="2440" w:type="dxa"/>
            <w:vAlign w:val="bottom"/>
          </w:tcPr>
          <w:p>
            <w:pPr>
              <w:spacing w:after="0"/>
              <w:rPr>
                <w:sz w:val="20"/>
                <w:szCs w:val="20"/>
                <w:color w:val="auto"/>
              </w:rPr>
            </w:pPr>
            <w:r>
              <w:rPr>
                <w:rFonts w:ascii="Arial" w:cs="Arial" w:eastAsia="Arial" w:hAnsi="Arial"/>
                <w:sz w:val="18"/>
                <w:szCs w:val="18"/>
                <w:color w:val="auto"/>
              </w:rPr>
              <w:t>Total sales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122,206</w:t>
            </w:r>
          </w:p>
        </w:tc>
        <w:tc>
          <w:tcPr>
            <w:tcW w:w="7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121,125</w:t>
            </w:r>
          </w:p>
        </w:tc>
        <w:tc>
          <w:tcPr>
            <w:tcW w:w="6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235,537</w:t>
            </w:r>
          </w:p>
        </w:tc>
        <w:tc>
          <w:tcPr>
            <w:tcW w:w="9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228,754</w:t>
            </w:r>
          </w:p>
        </w:tc>
        <w:tc>
          <w:tcPr>
            <w:tcW w:w="78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223"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On May 24, 2018, the Company entered into the Seventh Amended and Restated Credit Agreement with Bank of America, N.A., as agent, providing for a secured $140 million credit facility (the “New Credit Facility”). The New Credit Facility replaced the Company’s existing credit facility with Bank of America.</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New Credit Facility continues to provide maximum committed borrowings of $125.0 million in revolver loans, with the ability, pursuant to an accordion feature, to increase the New Credit Facility by an additional $50.0 million upon the request of the Company and the agreement of the lender(s) participating in the increase (the “Revolving Facility”). There were no changes to the sublimit of $20.0 million for commercial and standby letter of credits or the sublimit of up to $15.0 million for swingline loans. The Company’s ability to borrow under the New Credit Facility (the “Loan Cap”) is determined using an availability formula based on eligible assets. The New Credit Facility requires the Company to maintain a minimum consolidated fixed charge coverage ratio of 1.0:1.0 if its excess availability under the New Credit Facility fails to be equal to or greater than the greater of 10% of the Loan Cap and $7.5 million. </w:t>
      </w:r>
      <w:r>
        <w:rPr>
          <w:rFonts w:ascii="Arial" w:cs="Arial" w:eastAsia="Arial" w:hAnsi="Arial"/>
          <w:sz w:val="18"/>
          <w:szCs w:val="18"/>
          <w:color w:val="000033"/>
        </w:rPr>
        <w:t>The maturity date of</w:t>
      </w:r>
      <w:r>
        <w:rPr>
          <w:rFonts w:ascii="Arial" w:cs="Arial" w:eastAsia="Arial" w:hAnsi="Arial"/>
          <w:sz w:val="18"/>
          <w:szCs w:val="18"/>
          <w:color w:val="auto"/>
        </w:rPr>
        <w:t xml:space="preserve"> </w:t>
      </w:r>
      <w:r>
        <w:rPr>
          <w:rFonts w:ascii="Arial" w:cs="Arial" w:eastAsia="Arial" w:hAnsi="Arial"/>
          <w:sz w:val="18"/>
          <w:szCs w:val="18"/>
          <w:color w:val="000033"/>
        </w:rPr>
        <w:t xml:space="preserve">the New Credit Facility was extended from October 29, 2019 </w:t>
      </w:r>
      <w:r>
        <w:rPr>
          <w:rFonts w:ascii="Arial" w:cs="Arial" w:eastAsia="Arial" w:hAnsi="Arial"/>
          <w:sz w:val="17"/>
          <w:szCs w:val="17"/>
          <w:color w:val="000033"/>
        </w:rPr>
        <w:t>to May 24, 2023.</w:t>
      </w:r>
      <w:r>
        <w:rPr>
          <w:rFonts w:ascii="Arial" w:cs="Arial" w:eastAsia="Arial" w:hAnsi="Arial"/>
          <w:sz w:val="18"/>
          <w:szCs w:val="18"/>
          <w:color w:val="000033"/>
        </w:rPr>
        <w:t xml:space="preserve"> </w:t>
      </w:r>
      <w:r>
        <w:rPr>
          <w:rFonts w:ascii="Arial" w:cs="Arial" w:eastAsia="Arial" w:hAnsi="Arial"/>
          <w:sz w:val="17"/>
          <w:szCs w:val="17"/>
          <w:color w:val="000000"/>
        </w:rPr>
        <w:t>The Company’s obligations under the New Credit Facility are secured by a</w:t>
      </w:r>
      <w:r>
        <w:rPr>
          <w:rFonts w:ascii="Arial" w:cs="Arial" w:eastAsia="Arial" w:hAnsi="Arial"/>
          <w:sz w:val="18"/>
          <w:szCs w:val="18"/>
          <w:color w:val="000033"/>
        </w:rPr>
        <w:t xml:space="preserve"> </w:t>
      </w:r>
      <w:r>
        <w:rPr>
          <w:rFonts w:ascii="Arial" w:cs="Arial" w:eastAsia="Arial" w:hAnsi="Arial"/>
          <w:sz w:val="17"/>
          <w:szCs w:val="17"/>
          <w:color w:val="000000"/>
        </w:rPr>
        <w:t>lien on substantially all of its assets.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New Credit Facility includes a new $15.0 million “first in, last out” (FILO) term facility (the “FILO Facility”), which is discussed below under long-term debt.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Borrowings made pursuant to the Revolving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8"/>
          <w:szCs w:val="18"/>
          <w:color w:val="000033"/>
        </w:rPr>
        <w:t>0.50%,</w:t>
      </w:r>
      <w:r>
        <w:rPr>
          <w:rFonts w:ascii="Arial" w:cs="Arial" w:eastAsia="Arial" w:hAnsi="Arial"/>
          <w:sz w:val="18"/>
          <w:szCs w:val="18"/>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8"/>
          <w:szCs w:val="18"/>
          <w:color w:val="000033"/>
        </w:rPr>
        <w:t>1.25% or 1.50%.</w:t>
      </w:r>
    </w:p>
    <w:p>
      <w:pPr>
        <w:spacing w:after="0" w:line="191"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At August 4, 2018, the Company had outstanding borrowings under the Revolving Facility of $46.8 million, before unamortized debt issuance costs of $0.4 million. Outstanding standby letters of credit were $2.8 million and outstanding documentary letters of credit were $0.5 million. Unused excess availability at August 4, 2018 was $41.3 million. Average monthly borrowings outstanding under the previous credit facility and new Revolving Facility during the first six months of fiscal 2018 were $57.1 million, resulting in an average unused excess availability of approximately $33.3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ind w:right="40"/>
        <w:spacing w:after="0" w:line="318" w:lineRule="auto"/>
        <w:rPr>
          <w:sz w:val="20"/>
          <w:szCs w:val="20"/>
          <w:color w:val="auto"/>
        </w:rPr>
      </w:pPr>
      <w:r>
        <w:rPr>
          <w:rFonts w:ascii="Arial" w:cs="Arial" w:eastAsia="Arial" w:hAnsi="Arial"/>
          <w:sz w:val="15"/>
          <w:szCs w:val="15"/>
          <w:color w:val="auto"/>
        </w:rPr>
        <w:t>The Company is also subject to an unused line fee of 0.25%. In connection with the New Credit Facility, the Company wrote-off $0.1 million of unamortized debt issuance costs. At August 4, 2018, the Company’s prime-based interest rate was 5.25%. At August 4, 2018, the Company had approximately $42.0 million of its outstanding borrowings in LIBOR-based contracts with an interest rate of 3.25%. The LIBOR-based contracts expired on August 8, 2018. When a LIBOR-based borrowing expires, the borrowings revert back to prime-based borrowings unless the Company enters into a new LIBOR-based borrowing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Revolving Facility at August 4, 2018 approximated the carrying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August 4, 2018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5"/>
              </w:rPr>
              <w:t>February 3, 2018</w:t>
            </w:r>
          </w:p>
        </w:tc>
        <w:tc>
          <w:tcPr>
            <w:tcW w:w="80" w:type="dxa"/>
            <w:vAlign w:val="bottom"/>
            <w:tcBorders>
              <w:bottom w:val="single" w:sz="8" w:color="CFF0FC"/>
            </w:tcBorders>
          </w:tcPr>
          <w:p>
            <w:pPr>
              <w:spacing w:after="0"/>
              <w:rPr>
                <w:sz w:val="14"/>
                <w:szCs w:val="14"/>
                <w:color w:val="auto"/>
              </w:rPr>
            </w:pPr>
          </w:p>
        </w:tc>
      </w:tr>
      <w:tr>
        <w:trPr>
          <w:trHeight w:val="21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FILO loan</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Equipment financing notes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r>
      <w:tr>
        <w:trPr>
          <w:trHeight w:val="22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FF0FC"/>
          </w:tcPr>
          <w:p>
            <w:pPr>
              <w:spacing w:after="0"/>
              <w:rPr>
                <w:sz w:val="19"/>
                <w:szCs w:val="19"/>
                <w:color w:val="auto"/>
              </w:rPr>
            </w:pPr>
          </w:p>
        </w:tc>
      </w:tr>
      <w:tr>
        <w:trPr>
          <w:trHeight w:val="225"/>
        </w:trPr>
        <w:tc>
          <w:tcPr>
            <w:tcW w:w="43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9"/>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Borders>
              <w:bottom w:val="single" w:sz="8" w:color="CFF0FC"/>
            </w:tcBorders>
          </w:tcPr>
          <w:p>
            <w:pPr>
              <w:spacing w:after="0"/>
              <w:rPr>
                <w:sz w:val="19"/>
                <w:szCs w:val="19"/>
                <w:color w:val="auto"/>
              </w:rPr>
            </w:pPr>
          </w:p>
        </w:tc>
      </w:tr>
      <w:tr>
        <w:trPr>
          <w:trHeight w:val="21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10,669</w:t>
            </w:r>
          </w:p>
        </w:tc>
        <w:tc>
          <w:tcPr>
            <w:tcW w:w="80" w:type="dxa"/>
            <w:vAlign w:val="bottom"/>
            <w:shd w:val="clear" w:color="auto" w:fill="CFF0FC"/>
          </w:tcPr>
          <w:p>
            <w:pPr>
              <w:spacing w:after="0"/>
              <w:rPr>
                <w:sz w:val="19"/>
                <w:szCs w:val="19"/>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FILO Loan</w:t>
      </w:r>
    </w:p>
    <w:p>
      <w:pPr>
        <w:spacing w:after="0" w:line="1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total borrowing capacity under the FILO Facility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Facility during the first year. After its one-year anniversary, the FILO Facility can be repaid, in whole or in part, subject to certain payment conditions.</w:t>
      </w:r>
    </w:p>
    <w:p>
      <w:pPr>
        <w:spacing w:after="0" w:line="85" w:lineRule="exact"/>
        <w:rPr>
          <w:sz w:val="20"/>
          <w:szCs w:val="20"/>
          <w:color w:val="auto"/>
        </w:rPr>
      </w:pPr>
    </w:p>
    <w:p>
      <w:pPr>
        <w:spacing w:after="0" w:line="299" w:lineRule="auto"/>
        <w:rPr>
          <w:sz w:val="20"/>
          <w:szCs w:val="20"/>
          <w:color w:val="auto"/>
        </w:rPr>
      </w:pPr>
      <w:r>
        <w:rPr>
          <w:rFonts w:ascii="Arial" w:cs="Arial" w:eastAsia="Arial" w:hAnsi="Arial"/>
          <w:sz w:val="15"/>
          <w:szCs w:val="15"/>
          <w:color w:val="000033"/>
        </w:rPr>
        <w:t xml:space="preserve">Borrowings made under the FILO Facility will bear interest, </w:t>
      </w:r>
      <w:r>
        <w:rPr>
          <w:rFonts w:ascii="Arial" w:cs="Arial" w:eastAsia="Arial" w:hAnsi="Arial"/>
          <w:sz w:val="15"/>
          <w:szCs w:val="15"/>
          <w:color w:val="000000"/>
        </w:rPr>
        <w:t>calculated under either the Federal Funds rate or the LIBOR rate, at a rate equal to the following: (a)</w:t>
      </w:r>
      <w:r>
        <w:rPr>
          <w:rFonts w:ascii="Arial" w:cs="Arial" w:eastAsia="Arial" w:hAnsi="Arial"/>
          <w:sz w:val="15"/>
          <w:szCs w:val="15"/>
          <w:color w:val="000033"/>
        </w:rPr>
        <w:t xml:space="preserve"> </w:t>
      </w:r>
      <w:r>
        <w:rPr>
          <w:rFonts w:ascii="Arial" w:cs="Arial" w:eastAsia="Arial" w:hAnsi="Arial"/>
          <w:sz w:val="15"/>
          <w:szCs w:val="15"/>
          <w:color w:val="000000"/>
        </w:rPr>
        <w:t xml:space="preserve">the Federal Funds rate plus a varying percentage based on the Company’s excess availability, of either </w:t>
      </w:r>
      <w:r>
        <w:rPr>
          <w:rFonts w:ascii="Arial" w:cs="Arial" w:eastAsia="Arial" w:hAnsi="Arial"/>
          <w:sz w:val="15"/>
          <w:szCs w:val="15"/>
          <w:color w:val="000033"/>
        </w:rPr>
        <w:t>1.75% or 2.00%</w:t>
      </w:r>
      <w:r>
        <w:rPr>
          <w:rFonts w:ascii="Arial" w:cs="Arial" w:eastAsia="Arial" w:hAnsi="Arial"/>
          <w:sz w:val="15"/>
          <w:szCs w:val="15"/>
          <w:color w:val="000000"/>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5"/>
          <w:szCs w:val="15"/>
          <w:color w:val="000033"/>
        </w:rPr>
        <w:t>2.75% or 3.00%. At August 4, 2018, the outstanding balance of $15.0 million was in a 2-month LIBOR-based contract with an interest rate of</w:t>
      </w:r>
    </w:p>
    <w:p>
      <w:pPr>
        <w:ind w:right="440"/>
        <w:spacing w:after="0" w:line="251" w:lineRule="auto"/>
        <w:rPr>
          <w:sz w:val="20"/>
          <w:szCs w:val="20"/>
          <w:color w:val="auto"/>
        </w:rPr>
      </w:pPr>
      <w:r>
        <w:rPr>
          <w:rFonts w:ascii="Arial" w:cs="Arial" w:eastAsia="Arial" w:hAnsi="Arial"/>
          <w:sz w:val="18"/>
          <w:szCs w:val="18"/>
          <w:color w:val="000033"/>
        </w:rPr>
        <w:t xml:space="preserve">4.87%. </w:t>
      </w:r>
      <w:r>
        <w:rPr>
          <w:rFonts w:ascii="Arial" w:cs="Arial" w:eastAsia="Arial" w:hAnsi="Arial"/>
          <w:sz w:val="18"/>
          <w:szCs w:val="18"/>
          <w:color w:val="000000"/>
        </w:rPr>
        <w:t>The LIBOR-based contract expired on August 6, 2018. When a LIBOR-based borrowing expires, the Company can enter into a new LIBOR-based</w:t>
      </w:r>
      <w:r>
        <w:rPr>
          <w:rFonts w:ascii="Arial" w:cs="Arial" w:eastAsia="Arial" w:hAnsi="Arial"/>
          <w:sz w:val="18"/>
          <w:szCs w:val="18"/>
          <w:color w:val="000033"/>
        </w:rPr>
        <w:t xml:space="preserve"> </w:t>
      </w:r>
      <w:r>
        <w:rPr>
          <w:rFonts w:ascii="Arial" w:cs="Arial" w:eastAsia="Arial" w:hAnsi="Arial"/>
          <w:sz w:val="18"/>
          <w:szCs w:val="18"/>
          <w:color w:val="000000"/>
        </w:rPr>
        <w:t>borrowing arrangement.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were for a term of 48 months and accrued interest at fixed rates ranging from 3.07% to 3.50%.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repaid, in full, without penalty, the remaining outstanding balance on the Notes during the second quarter of fiscal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was October 29, 2014 (the “Effective Date”). In connection with the New Credit Facility, discussed above, on May 24, 2018 this Term Loan Facility was repaid in full, without penalty. In connection with the prepayment, the Company wrote-off approximately $0.1 million in unamortized debt issuance costs associated with this Term Loan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Term Loan Facility was at a rate per annum equal to the greater of (a) 1.00% and (b) the one month LIBOR rate, plus 6.50%.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Long-Term Incentive Plans</w:t>
      </w:r>
    </w:p>
    <w:p>
      <w:pPr>
        <w:spacing w:after="0" w:line="117"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 xml:space="preserve">The following is a summary of the Company’s Long-Term Incentive Plans. All equity awards granted under long-term incentive plans are issued from the Company’s stockholder-approved 2016 Incentive Compensation Plan. See Note 5,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7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Under the Company’s First Amended and Restated Long Term Incentive Plan (“LTIP”), for fiscal 2016 and fiscal 2017 the Compensation Committee established performance targets which cover a two-year performance period (each a “Performance Period”), thereby creating overlapping Performance Periods. Each participant in the plan is entitled to receive an award based on that participant’s “Target Cash Value” which is defined as the participant’s annual base salary (on the participant’s effective date) multiplied by his or her long-term incentive program percentage, which was 100% for the Company’s Chief Executive Officer, 70% for senior executives and 25% for other participants in the plan. Because of the overlapping two-year Performance Periods, the Target Cash Value for any award is based on one year of annual salary. All awards granted under both the 2016-2017 LTIP and 2017-2018 LTIP were in restricted stock units (RSUs).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For each participant, 50% of the Target Cash Value is subject to time-based vesting and 50% is subject to performance-based vesting.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Awards for any achievement of performance targets would not be granted until the performance targets are achieved and would then be subject to additional vesting through August 31 following the end of the applicable Performance Period.</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2016-2017 Performance Period, the Company achieved 54.4% of its “DXL Comparable Store Marginal Cash-Over-Cash Return” target, defined as the aggregate of each comparable DXL store’s four-wall cash flow for fiscal 2017 divided by the aggregate capital investment, net of any tenant allowance, for each comparable DXL store. The minimum threshold for the EBITDA target was not achieved. EBITDA is defined as earnings before interest, taxes, depreciation and amortization. Accordingly, subsequent to the end of fiscal 2017, in the first quarter of fiscal 2018, the Compensation Committee of the Board of Directors approved a 27.2% payout resulting in awards totaling $0.5 million, with a grant date of April 2, 2018. On that date, the Company granted 265,749 RSUs, which are subject to vesting through August 31, 2018.</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April 2, 2018, in conjunction with the grant of the RSUs, the Company reclassified $0.4 million of the liability accrual from “Accrued expenses and other current liabilities” to “Additional paid-in capital.” See the Consolidated Statement of Changes in Stockholders’ Equity.</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Assuming that the Company achieves the performance target at target levels and all time-vested awards vest, the compensation expense associated with the 2017-2018 LTIP is estimated to be approximately $4.2 million. Approximately half of the compensation expense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first six months of fiscal 2018, no accrual has been made for performance awards under the 2017-2018 LTIP.</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2018, the Company amended its LTIP by executing the Second Amended and Restated LTIP (the “Amended LTIP”), which among other things, extends the performance period for awards to three years, beginning with grants in fiscal 2018. As of the end of the second quarter of fiscal 2018, no performance targets have been established. In accordance with the terms of the Amended LTIP, the Compensation Committee has until November 3, 2018 to establish performance targets for the 2018-2020 performance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August 4, 2018, the Company had 5,898,776 shares available under the 2016 Plan.</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the terms of the 2016 Plan, any shares outstanding under the previous 2006 Incentive Compensation Plan (the “2006 Plan”) at August 4, 2016 that subsequently terminate, expire or are canceled for any reason without having been exercised or paid are added back and become available for issuance under the 2016 Plan, with stock options being added back on a one-for-one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180"/>
        <w:spacing w:after="0" w:line="265" w:lineRule="auto"/>
        <w:rPr>
          <w:sz w:val="20"/>
          <w:szCs w:val="20"/>
          <w:color w:val="auto"/>
        </w:rPr>
      </w:pPr>
      <w:r>
        <w:rPr>
          <w:rFonts w:ascii="Arial" w:cs="Arial" w:eastAsia="Arial" w:hAnsi="Arial"/>
          <w:sz w:val="18"/>
          <w:szCs w:val="18"/>
          <w:color w:val="auto"/>
        </w:rPr>
        <w:t>basis and full-value awards being added back on a 1 to 1.9 basis. At August 4, 2018, there are 143,645 stock options and 134,625 full-value awards that remain outstanding under the 2006 Plan.</w:t>
      </w:r>
    </w:p>
    <w:p>
      <w:pPr>
        <w:spacing w:after="0" w:line="17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8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following tables summarize the share activity and stock option activity for the Company’s 2006 Plan and 2016 Plan, on a combined basis, for the first six months of fiscal 2018:</w:t>
      </w:r>
    </w:p>
    <w:tbl>
      <w:tblPr>
        <w:tblLayout w:type="fixed"/>
        <w:tblInd w:w="0" w:type="dxa"/>
        <w:tblCellMar>
          <w:top w:w="0" w:type="dxa"/>
          <w:left w:w="0" w:type="dxa"/>
          <w:bottom w:w="0" w:type="dxa"/>
          <w:right w:w="0" w:type="dxa"/>
        </w:tblCellMar>
      </w:tblPr>
      <w:tr>
        <w:trPr>
          <w:trHeight w:val="199"/>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1"/>
              </w:rPr>
              <w:t>Restricted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120" w:type="dxa"/>
            <w:vAlign w:val="bottom"/>
            <w:gridSpan w:val="2"/>
          </w:tcPr>
          <w:p>
            <w:pPr>
              <w:jc w:val="right"/>
              <w:ind w:right="360"/>
              <w:spacing w:after="0" w:line="156" w:lineRule="exact"/>
              <w:rPr>
                <w:sz w:val="20"/>
                <w:szCs w:val="20"/>
                <w:color w:val="auto"/>
              </w:rPr>
            </w:pPr>
            <w:r>
              <w:rPr>
                <w:rFonts w:ascii="Arial" w:cs="Arial" w:eastAsia="Arial" w:hAnsi="Arial"/>
                <w:sz w:val="16"/>
                <w:szCs w:val="16"/>
                <w:color w:val="auto"/>
              </w:rPr>
              <w:t>Restricted</w:t>
            </w:r>
          </w:p>
        </w:tc>
        <w:tc>
          <w:tcPr>
            <w:tcW w:w="1000" w:type="dxa"/>
            <w:vAlign w:val="bottom"/>
            <w:gridSpan w:val="2"/>
            <w:vMerge w:val="continue"/>
          </w:tcPr>
          <w:p>
            <w:pPr>
              <w:spacing w:after="0"/>
              <w:rPr>
                <w:sz w:val="13"/>
                <w:szCs w:val="13"/>
                <w:color w:val="auto"/>
              </w:rPr>
            </w:pPr>
          </w:p>
        </w:tc>
        <w:tc>
          <w:tcPr>
            <w:tcW w:w="1140" w:type="dxa"/>
            <w:vAlign w:val="bottom"/>
            <w:gridSpan w:val="2"/>
          </w:tcPr>
          <w:p>
            <w:pPr>
              <w:jc w:val="right"/>
              <w:ind w:right="400"/>
              <w:spacing w:after="0" w:line="156" w:lineRule="exact"/>
              <w:rPr>
                <w:sz w:val="20"/>
                <w:szCs w:val="20"/>
                <w:color w:val="auto"/>
              </w:rPr>
            </w:pPr>
            <w:r>
              <w:rPr>
                <w:rFonts w:ascii="Arial" w:cs="Arial" w:eastAsia="Arial" w:hAnsi="Arial"/>
                <w:sz w:val="16"/>
                <w:szCs w:val="16"/>
                <w:color w:val="auto"/>
              </w:rPr>
              <w:t>Deferred</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Fully-vested</w:t>
            </w:r>
          </w:p>
        </w:tc>
        <w:tc>
          <w:tcPr>
            <w:tcW w:w="1160" w:type="dxa"/>
            <w:vAlign w:val="bottom"/>
            <w:gridSpan w:val="2"/>
          </w:tcPr>
          <w:p>
            <w:pPr>
              <w:jc w:val="right"/>
              <w:ind w:right="280"/>
              <w:spacing w:after="0" w:line="156" w:lineRule="exact"/>
              <w:rPr>
                <w:sz w:val="20"/>
                <w:szCs w:val="20"/>
                <w:color w:val="auto"/>
              </w:rPr>
            </w:pPr>
            <w:r>
              <w:rPr>
                <w:rFonts w:ascii="Arial" w:cs="Arial" w:eastAsia="Arial" w:hAnsi="Arial"/>
                <w:sz w:val="16"/>
                <w:szCs w:val="16"/>
                <w:color w:val="auto"/>
                <w:w w:val="91"/>
              </w:rPr>
              <w:t>Total number</w:t>
            </w:r>
          </w:p>
        </w:tc>
        <w:tc>
          <w:tcPr>
            <w:tcW w:w="80" w:type="dxa"/>
            <w:vAlign w:val="bottom"/>
          </w:tcPr>
          <w:p>
            <w:pPr>
              <w:spacing w:after="0"/>
              <w:rPr>
                <w:sz w:val="13"/>
                <w:szCs w:val="13"/>
                <w:color w:val="auto"/>
              </w:rPr>
            </w:pPr>
          </w:p>
        </w:tc>
        <w:tc>
          <w:tcPr>
            <w:tcW w:w="860" w:type="dxa"/>
            <w:vAlign w:val="bottom"/>
            <w:gridSpan w:val="2"/>
          </w:tcPr>
          <w:p>
            <w:pPr>
              <w:jc w:val="center"/>
              <w:ind w:right="200"/>
              <w:spacing w:after="0" w:line="156" w:lineRule="exact"/>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93"/>
        </w:trPr>
        <w:tc>
          <w:tcPr>
            <w:tcW w:w="4920" w:type="dxa"/>
            <w:vAlign w:val="bottom"/>
          </w:tcPr>
          <w:p>
            <w:pPr>
              <w:spacing w:after="0"/>
              <w:rPr>
                <w:sz w:val="8"/>
                <w:szCs w:val="8"/>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shares</w:t>
            </w:r>
          </w:p>
        </w:tc>
        <w:tc>
          <w:tcPr>
            <w:tcW w:w="1000" w:type="dxa"/>
            <w:vAlign w:val="bottom"/>
            <w:gridSpan w:val="2"/>
          </w:tcPr>
          <w:p>
            <w:pPr>
              <w:jc w:val="center"/>
              <w:ind w:right="180"/>
              <w:spacing w:after="0" w:line="93" w:lineRule="exact"/>
              <w:rPr>
                <w:sz w:val="20"/>
                <w:szCs w:val="20"/>
                <w:color w:val="auto"/>
              </w:rPr>
            </w:pPr>
            <w:r>
              <w:rPr>
                <w:rFonts w:ascii="Arial" w:cs="Arial" w:eastAsia="Arial" w:hAnsi="Arial"/>
                <w:sz w:val="10"/>
                <w:szCs w:val="10"/>
                <w:color w:val="auto"/>
              </w:rPr>
              <w:t>Stock Units</w:t>
            </w:r>
          </w:p>
        </w:tc>
        <w:tc>
          <w:tcPr>
            <w:tcW w:w="1140" w:type="dxa"/>
            <w:vAlign w:val="bottom"/>
            <w:gridSpan w:val="2"/>
            <w:vMerge w:val="restart"/>
          </w:tcPr>
          <w:p>
            <w:pPr>
              <w:jc w:val="right"/>
              <w:ind w:right="380"/>
              <w:spacing w:after="0" w:line="251" w:lineRule="exact"/>
              <w:rPr>
                <w:sz w:val="20"/>
                <w:szCs w:val="20"/>
                <w:color w:val="auto"/>
              </w:rPr>
            </w:pPr>
            <w:r>
              <w:rPr>
                <w:rFonts w:ascii="Arial" w:cs="Arial" w:eastAsia="Arial" w:hAnsi="Arial"/>
                <w:sz w:val="16"/>
                <w:szCs w:val="16"/>
                <w:color w:val="auto"/>
                <w:w w:val="99"/>
              </w:rPr>
              <w:t xml:space="preserve">shares </w:t>
            </w:r>
            <w:r>
              <w:rPr>
                <w:rFonts w:ascii="Arial" w:cs="Arial" w:eastAsia="Arial" w:hAnsi="Arial"/>
                <w:sz w:val="27"/>
                <w:szCs w:val="27"/>
                <w:color w:val="auto"/>
                <w:w w:val="99"/>
                <w:vertAlign w:val="superscript"/>
              </w:rPr>
              <w:t>(2)</w:t>
            </w:r>
          </w:p>
        </w:tc>
        <w:tc>
          <w:tcPr>
            <w:tcW w:w="1140" w:type="dxa"/>
            <w:vAlign w:val="bottom"/>
            <w:gridSpan w:val="2"/>
            <w:vMerge w:val="continue"/>
          </w:tcPr>
          <w:p>
            <w:pPr>
              <w:spacing w:after="0"/>
              <w:rPr>
                <w:sz w:val="8"/>
                <w:szCs w:val="8"/>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6"/>
                <w:szCs w:val="16"/>
                <w:color w:val="auto"/>
              </w:rPr>
              <w:t>of shares</w:t>
            </w:r>
          </w:p>
        </w:tc>
        <w:tc>
          <w:tcPr>
            <w:tcW w:w="940" w:type="dxa"/>
            <w:vAlign w:val="bottom"/>
            <w:gridSpan w:val="3"/>
            <w:vMerge w:val="restart"/>
          </w:tcPr>
          <w:p>
            <w:pPr>
              <w:ind w:left="20"/>
              <w:spacing w:after="0" w:line="251" w:lineRule="exact"/>
              <w:rPr>
                <w:sz w:val="20"/>
                <w:szCs w:val="20"/>
                <w:color w:val="auto"/>
              </w:rPr>
            </w:pPr>
            <w:r>
              <w:rPr>
                <w:rFonts w:ascii="Arial" w:cs="Arial" w:eastAsia="Arial" w:hAnsi="Arial"/>
                <w:sz w:val="16"/>
                <w:szCs w:val="16"/>
                <w:color w:val="auto"/>
                <w:w w:val="98"/>
              </w:rPr>
              <w:t xml:space="preserve">fair value </w:t>
            </w:r>
            <w:r>
              <w:rPr>
                <w:rFonts w:ascii="Arial" w:cs="Arial" w:eastAsia="Arial" w:hAnsi="Arial"/>
                <w:sz w:val="27"/>
                <w:szCs w:val="27"/>
                <w:color w:val="auto"/>
                <w:w w:val="98"/>
                <w:vertAlign w:val="superscript"/>
              </w:rPr>
              <w:t>(4)</w:t>
            </w:r>
          </w:p>
        </w:tc>
        <w:tc>
          <w:tcPr>
            <w:tcW w:w="0" w:type="dxa"/>
            <w:vAlign w:val="bottom"/>
          </w:tcPr>
          <w:p>
            <w:pPr>
              <w:spacing w:after="0"/>
              <w:rPr>
                <w:sz w:val="1"/>
                <w:szCs w:val="1"/>
                <w:color w:val="auto"/>
              </w:rPr>
            </w:pPr>
          </w:p>
        </w:tc>
      </w:tr>
      <w:tr>
        <w:trPr>
          <w:trHeight w:val="159"/>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1120" w:type="dxa"/>
            <w:vAlign w:val="bottom"/>
            <w:gridSpan w:val="2"/>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6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1,048,552</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115,457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40"/>
              <w:spacing w:after="0"/>
              <w:rPr>
                <w:sz w:val="20"/>
                <w:szCs w:val="20"/>
                <w:color w:val="auto"/>
              </w:rPr>
            </w:pPr>
            <w:r>
              <w:rPr>
                <w:rFonts w:ascii="Arial" w:cs="Arial" w:eastAsia="Arial" w:hAnsi="Arial"/>
                <w:sz w:val="16"/>
                <w:szCs w:val="16"/>
                <w:color w:val="auto"/>
              </w:rPr>
              <w:t>Shares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334,625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54,798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67,305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486,728</w:t>
            </w:r>
          </w:p>
        </w:tc>
        <w:tc>
          <w:tcPr>
            <w:tcW w:w="2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Shares vested/issued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(3,333)</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(329,208)</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(5,429)</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(67,305)</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(405,275)</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40"/>
              <w:spacing w:after="0"/>
              <w:rPr>
                <w:sz w:val="20"/>
                <w:szCs w:val="20"/>
                <w:color w:val="auto"/>
              </w:rPr>
            </w:pPr>
            <w:r>
              <w:rPr>
                <w:rFonts w:ascii="Arial" w:cs="Arial" w:eastAsia="Arial" w:hAnsi="Arial"/>
                <w:sz w:val="16"/>
                <w:szCs w:val="16"/>
                <w:color w:val="auto"/>
              </w:rPr>
              <w:t>Shares canceled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(91,747)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(125,080)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Outstanding non-vested shares at end of quarter</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962,222</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164,826</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1,157,048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740" w:right="140" w:hanging="363"/>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Restricted stock units (“RSUs”) were primarily granted in connection with the partial achievement of performance targets under the 2016-2017 LTIP, see Note 4, </w:t>
      </w:r>
      <w:r>
        <w:rPr>
          <w:rFonts w:ascii="Arial" w:cs="Arial" w:eastAsia="Arial" w:hAnsi="Arial"/>
          <w:sz w:val="18"/>
          <w:szCs w:val="18"/>
          <w:i w:val="1"/>
          <w:iCs w:val="1"/>
          <w:color w:val="auto"/>
        </w:rPr>
        <w:t>Long-Term Incentive Plans</w:t>
      </w:r>
      <w:r>
        <w:rPr>
          <w:rFonts w:ascii="Arial" w:cs="Arial" w:eastAsia="Arial" w:hAnsi="Arial"/>
          <w:sz w:val="18"/>
          <w:szCs w:val="18"/>
          <w:color w:val="auto"/>
        </w:rPr>
        <w:t>. As a result of net share settlement, of the 329,208 time-based RSUs which vested during the first six months of fiscal 2018, only 322,518 shares of common stock were issued.</w:t>
      </w:r>
    </w:p>
    <w:p>
      <w:pPr>
        <w:spacing w:after="0" w:line="82" w:lineRule="exact"/>
        <w:rPr>
          <w:rFonts w:ascii="Arial" w:cs="Arial" w:eastAsia="Arial" w:hAnsi="Arial"/>
          <w:sz w:val="18"/>
          <w:szCs w:val="18"/>
          <w:color w:val="auto"/>
        </w:rPr>
      </w:pPr>
    </w:p>
    <w:p>
      <w:pPr>
        <w:ind w:left="740" w:right="60" w:hanging="363"/>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54,798 shares of deferred stock, with a fair value of $103,296,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82" w:lineRule="exact"/>
        <w:rPr>
          <w:rFonts w:ascii="Arial" w:cs="Arial" w:eastAsia="Arial" w:hAnsi="Arial"/>
          <w:sz w:val="18"/>
          <w:szCs w:val="18"/>
          <w:color w:val="auto"/>
        </w:rPr>
      </w:pPr>
    </w:p>
    <w:p>
      <w:pPr>
        <w:ind w:left="740" w:right="120" w:hanging="363"/>
        <w:spacing w:after="0" w:line="25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six months of fiscal 2018, the Company granted 67,305 shares of stock, with a fair value of approximately $127,795, to certain directors as compensation in lieu of cash, in accordance with their irrevocable elections. Directors are required to elect 50% of their quarterly retainer in equity. Any shares in excess of the minimum required election are issued from the Company’s Third Amended and Restated Non-Employee Director Compensation Plan (“Non-Employee Director Compensation Plan”).</w:t>
      </w:r>
    </w:p>
    <w:p>
      <w:pPr>
        <w:spacing w:after="0" w:line="85" w:lineRule="exact"/>
        <w:rPr>
          <w:rFonts w:ascii="Arial" w:cs="Arial" w:eastAsia="Arial" w:hAnsi="Arial"/>
          <w:sz w:val="18"/>
          <w:szCs w:val="18"/>
          <w:color w:val="auto"/>
        </w:rPr>
      </w:pPr>
    </w:p>
    <w:p>
      <w:pPr>
        <w:ind w:left="740" w:right="620" w:hanging="363"/>
        <w:spacing w:after="0" w:line="26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Weighted-</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color w:val="auto"/>
                <w:w w:val="86"/>
              </w:rPr>
              <w:t>average</w:t>
            </w: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Weighted-average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6"/>
                <w:szCs w:val="16"/>
                <w:color w:val="auto"/>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exercise price</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remaining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Arial" w:cs="Arial" w:eastAsia="Arial" w:hAnsi="Arial"/>
                <w:sz w:val="16"/>
                <w:szCs w:val="16"/>
                <w:color w:val="auto"/>
              </w:rPr>
              <w:t>Aggregate</w:t>
            </w:r>
          </w:p>
        </w:tc>
        <w:tc>
          <w:tcPr>
            <w:tcW w:w="20" w:type="dxa"/>
            <w:vAlign w:val="bottom"/>
          </w:tcPr>
          <w:p>
            <w:pPr>
              <w:spacing w:after="0"/>
              <w:rPr>
                <w:sz w:val="17"/>
                <w:szCs w:val="17"/>
                <w:color w:val="auto"/>
              </w:rPr>
            </w:pPr>
          </w:p>
        </w:tc>
      </w:tr>
      <w:tr>
        <w:trPr>
          <w:trHeight w:val="206"/>
        </w:trPr>
        <w:tc>
          <w:tcPr>
            <w:tcW w:w="4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per option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contractual term</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6"/>
                <w:szCs w:val="16"/>
                <w:color w:val="auto"/>
                <w:w w:val="94"/>
              </w:rPr>
              <w:t>intrinsic value</w:t>
            </w:r>
          </w:p>
        </w:tc>
        <w:tc>
          <w:tcPr>
            <w:tcW w:w="20" w:type="dxa"/>
            <w:vAlign w:val="bottom"/>
          </w:tcPr>
          <w:p>
            <w:pPr>
              <w:spacing w:after="0"/>
              <w:rPr>
                <w:sz w:val="17"/>
                <w:szCs w:val="17"/>
                <w:color w:val="auto"/>
              </w:rPr>
            </w:pPr>
          </w:p>
        </w:tc>
      </w:tr>
      <w:tr>
        <w:trPr>
          <w:trHeight w:val="208"/>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18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4240" w:type="dxa"/>
            <w:vAlign w:val="bottom"/>
          </w:tcPr>
          <w:p>
            <w:pPr>
              <w:ind w:left="240"/>
              <w:spacing w:after="0"/>
              <w:rPr>
                <w:sz w:val="20"/>
                <w:szCs w:val="20"/>
                <w:color w:val="auto"/>
              </w:rPr>
            </w:pPr>
            <w:r>
              <w:rPr>
                <w:rFonts w:ascii="Arial" w:cs="Arial" w:eastAsia="Arial" w:hAnsi="Arial"/>
                <w:sz w:val="16"/>
                <w:szCs w:val="16"/>
                <w:color w:val="auto"/>
              </w:rPr>
              <w:t>Outstanding options at beginning of year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1,195,910</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21,750</w:t>
            </w:r>
          </w:p>
        </w:tc>
        <w:tc>
          <w:tcPr>
            <w:tcW w:w="20" w:type="dxa"/>
            <w:vAlign w:val="bottom"/>
          </w:tcPr>
          <w:p>
            <w:pPr>
              <w:spacing w:after="0"/>
              <w:rPr>
                <w:sz w:val="19"/>
                <w:szCs w:val="19"/>
                <w:color w:val="auto"/>
              </w:rPr>
            </w:pPr>
          </w:p>
        </w:tc>
      </w:tr>
      <w:tr>
        <w:trPr>
          <w:trHeight w:val="226"/>
        </w:trPr>
        <w:tc>
          <w:tcPr>
            <w:tcW w:w="4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Options granted</w:t>
            </w:r>
          </w:p>
        </w:tc>
        <w:tc>
          <w:tcPr>
            <w:tcW w:w="2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5"/>
        </w:trPr>
        <w:tc>
          <w:tcPr>
            <w:tcW w:w="4240" w:type="dxa"/>
            <w:vAlign w:val="bottom"/>
          </w:tcPr>
          <w:p>
            <w:pPr>
              <w:ind w:left="240"/>
              <w:spacing w:after="0"/>
              <w:rPr>
                <w:sz w:val="20"/>
                <w:szCs w:val="20"/>
                <w:color w:val="auto"/>
              </w:rPr>
            </w:pPr>
            <w:r>
              <w:rPr>
                <w:rFonts w:ascii="Arial" w:cs="Arial" w:eastAsia="Arial" w:hAnsi="Arial"/>
                <w:sz w:val="18"/>
                <w:szCs w:val="18"/>
                <w:color w:val="auto"/>
              </w:rPr>
              <w:t>Options expired and canceled</w:t>
            </w:r>
          </w:p>
        </w:tc>
        <w:tc>
          <w:tcPr>
            <w:tcW w:w="3120" w:type="dxa"/>
            <w:vAlign w:val="bottom"/>
            <w:gridSpan w:val="3"/>
          </w:tcPr>
          <w:p>
            <w:pPr>
              <w:jc w:val="right"/>
              <w:ind w:right="100"/>
              <w:spacing w:after="0"/>
              <w:rPr>
                <w:sz w:val="20"/>
                <w:szCs w:val="20"/>
                <w:color w:val="auto"/>
              </w:rPr>
            </w:pPr>
            <w:r>
              <w:rPr>
                <w:rFonts w:ascii="Arial" w:cs="Arial" w:eastAsia="Arial" w:hAnsi="Arial"/>
                <w:sz w:val="18"/>
                <w:szCs w:val="18"/>
                <w:color w:val="auto"/>
              </w:rPr>
              <w:t>(203,244)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5"/>
        </w:trPr>
        <w:tc>
          <w:tcPr>
            <w:tcW w:w="4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Options exercised</w:t>
            </w:r>
          </w:p>
        </w:tc>
        <w:tc>
          <w:tcPr>
            <w:tcW w:w="180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9"/>
        </w:trPr>
        <w:tc>
          <w:tcPr>
            <w:tcW w:w="4240" w:type="dxa"/>
            <w:vAlign w:val="bottom"/>
          </w:tcPr>
          <w:p>
            <w:pPr>
              <w:ind w:left="240"/>
              <w:spacing w:after="0"/>
              <w:rPr>
                <w:sz w:val="20"/>
                <w:szCs w:val="20"/>
                <w:color w:val="auto"/>
              </w:rPr>
            </w:pPr>
            <w:r>
              <w:rPr>
                <w:rFonts w:ascii="Arial" w:cs="Arial" w:eastAsia="Arial" w:hAnsi="Arial"/>
                <w:sz w:val="16"/>
                <w:szCs w:val="16"/>
                <w:color w:val="auto"/>
              </w:rPr>
              <w:t>Outstanding options at end of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1,146,554</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1280" w:type="dxa"/>
            <w:vAlign w:val="bottom"/>
          </w:tcPr>
          <w:p>
            <w:pPr>
              <w:ind w:left="640"/>
              <w:spacing w:after="0"/>
              <w:rPr>
                <w:sz w:val="20"/>
                <w:szCs w:val="20"/>
                <w:color w:val="auto"/>
              </w:rPr>
            </w:pPr>
            <w:r>
              <w:rPr>
                <w:rFonts w:ascii="Arial" w:cs="Arial" w:eastAsia="Arial" w:hAnsi="Arial"/>
                <w:sz w:val="18"/>
                <w:szCs w:val="18"/>
                <w:color w:val="auto"/>
                <w:w w:val="83"/>
              </w:rPr>
              <w:t>4.7 years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9"/>
                <w:szCs w:val="19"/>
                <w:color w:val="auto"/>
              </w:rPr>
            </w:pPr>
          </w:p>
        </w:tc>
      </w:tr>
      <w:tr>
        <w:trPr>
          <w:trHeight w:val="226"/>
        </w:trPr>
        <w:tc>
          <w:tcPr>
            <w:tcW w:w="4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Options exercisable at end of quarter</w:t>
            </w:r>
          </w:p>
        </w:tc>
        <w:tc>
          <w:tcPr>
            <w:tcW w:w="2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977,666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3"/>
              </w:rPr>
              <w:t>3.9 years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9"/>
                <w:szCs w:val="19"/>
                <w:color w:val="auto"/>
              </w:rPr>
            </w:pPr>
          </w:p>
        </w:tc>
      </w:tr>
      <w:tr>
        <w:trPr>
          <w:trHeight w:val="423"/>
        </w:trPr>
        <w:tc>
          <w:tcPr>
            <w:tcW w:w="4240" w:type="dxa"/>
            <w:vAlign w:val="bottom"/>
          </w:tcPr>
          <w:p>
            <w:pPr>
              <w:spacing w:after="0"/>
              <w:rPr>
                <w:sz w:val="24"/>
                <w:szCs w:val="24"/>
                <w:color w:val="auto"/>
              </w:rPr>
            </w:pPr>
          </w:p>
        </w:tc>
        <w:tc>
          <w:tcPr>
            <w:tcW w:w="18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42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For the first six months of fiscal 2018, the Company granted 153,888 stock options, 67,305 shares of restricted stock, 334,625 RSUs and 54,798 shares of deferred stock. For the first six months of fiscal 2017, the Company granted no stock options, 484,558 shares of restricted stock, 782,357 RSUs and 43,467 shares of deferred stock.</w:t>
      </w:r>
    </w:p>
    <w:p>
      <w:pPr>
        <w:spacing w:after="0" w:line="83"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7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There were no stock options granted in the first six months of fiscal 2017. The following assumptions were used for grants for the first six months of fiscal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tcBorders>
              <w:bottom w:val="single" w:sz="8" w:color="CFF0FC"/>
            </w:tcBorders>
          </w:tcPr>
          <w:p>
            <w:pPr>
              <w:spacing w:after="0"/>
              <w:rPr>
                <w:sz w:val="16"/>
                <w:szCs w:val="16"/>
                <w:color w:val="auto"/>
              </w:rPr>
            </w:pPr>
          </w:p>
        </w:tc>
        <w:tc>
          <w:tcPr>
            <w:tcW w:w="20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August 4, 2018</w:t>
            </w:r>
          </w:p>
        </w:tc>
      </w:tr>
      <w:tr>
        <w:trPr>
          <w:trHeight w:val="224"/>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48.9% -57.1%</w:t>
            </w:r>
          </w:p>
        </w:tc>
      </w:tr>
      <w:tr>
        <w:trPr>
          <w:trHeight w:val="225"/>
        </w:trPr>
        <w:tc>
          <w:tcPr>
            <w:tcW w:w="94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2.55% - 2.63%</w:t>
            </w:r>
          </w:p>
        </w:tc>
      </w:tr>
      <w:tr>
        <w:trPr>
          <w:trHeight w:val="226"/>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20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3.0 - 4.5 yrs.</w:t>
            </w:r>
          </w:p>
        </w:tc>
      </w:tr>
      <w:tr>
        <w:trPr>
          <w:trHeight w:val="224"/>
        </w:trPr>
        <w:tc>
          <w:tcPr>
            <w:tcW w:w="9400" w:type="dxa"/>
            <w:vAlign w:val="bottom"/>
          </w:tcPr>
          <w:p>
            <w:pPr>
              <w:spacing w:after="0"/>
              <w:rPr>
                <w:sz w:val="20"/>
                <w:szCs w:val="20"/>
                <w:color w:val="auto"/>
              </w:rPr>
            </w:pPr>
            <w:r>
              <w:rPr>
                <w:rFonts w:ascii="Arial" w:cs="Arial" w:eastAsia="Arial" w:hAnsi="Arial"/>
                <w:sz w:val="16"/>
                <w:szCs w:val="16"/>
                <w:color w:val="auto"/>
              </w:rPr>
              <w:t>Dividend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1"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The Company granted 27,735 shares of common stock, with a fair value of approximately $52,303, to certain of its non-employee directors as compensation in lieu of cash in the first six months of fiscal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38"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color w:val="auto"/>
        </w:rPr>
        <w:t>The Company recognized total stock-based compensation expense of $0.8 million for both the first six months of fiscal 2018 and fiscal 2017. The total compensation cost related to time-vested stock options, restricted stock and RSU awards not yet recognized as of August 4, 2018 was approximately $1.1 million, net of estimated forfeitures, which will be expensed over a weighted average remaining life of 23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2720" w:type="dxa"/>
            <w:vAlign w:val="bottom"/>
            <w:gridSpan w:val="6"/>
          </w:tcPr>
          <w:p>
            <w:pPr>
              <w:ind w:left="460"/>
              <w:spacing w:after="0"/>
              <w:rPr>
                <w:sz w:val="20"/>
                <w:szCs w:val="20"/>
                <w:color w:val="auto"/>
              </w:rPr>
            </w:pPr>
            <w:r>
              <w:rPr>
                <w:rFonts w:ascii="Arial" w:cs="Arial" w:eastAsia="Arial" w:hAnsi="Arial"/>
                <w:sz w:val="16"/>
                <w:szCs w:val="16"/>
                <w:color w:val="auto"/>
              </w:rPr>
              <w:t>For the three months ended</w:t>
            </w:r>
          </w:p>
        </w:tc>
        <w:tc>
          <w:tcPr>
            <w:tcW w:w="600" w:type="dxa"/>
            <w:vAlign w:val="bottom"/>
          </w:tcPr>
          <w:p>
            <w:pPr>
              <w:spacing w:after="0"/>
              <w:rPr>
                <w:sz w:val="17"/>
                <w:szCs w:val="17"/>
                <w:color w:val="auto"/>
              </w:rPr>
            </w:pPr>
          </w:p>
        </w:tc>
        <w:tc>
          <w:tcPr>
            <w:tcW w:w="2320" w:type="dxa"/>
            <w:vAlign w:val="bottom"/>
            <w:gridSpan w:val="5"/>
          </w:tcPr>
          <w:p>
            <w:pPr>
              <w:ind w:left="360"/>
              <w:spacing w:after="0"/>
              <w:rPr>
                <w:sz w:val="20"/>
                <w:szCs w:val="20"/>
                <w:color w:val="auto"/>
              </w:rPr>
            </w:pPr>
            <w:r>
              <w:rPr>
                <w:rFonts w:ascii="Arial" w:cs="Arial" w:eastAsia="Arial" w:hAnsi="Arial"/>
                <w:sz w:val="16"/>
                <w:szCs w:val="16"/>
                <w:color w:val="auto"/>
              </w:rPr>
              <w:t>For the six months ended</w:t>
            </w:r>
          </w:p>
        </w:tc>
        <w:tc>
          <w:tcPr>
            <w:tcW w:w="80" w:type="dxa"/>
            <w:vAlign w:val="bottom"/>
          </w:tcPr>
          <w:p>
            <w:pPr>
              <w:spacing w:after="0"/>
              <w:rPr>
                <w:sz w:val="17"/>
                <w:szCs w:val="17"/>
                <w:color w:val="auto"/>
              </w:rPr>
            </w:pPr>
          </w:p>
        </w:tc>
      </w:tr>
      <w:tr>
        <w:trPr>
          <w:trHeight w:val="207"/>
        </w:trPr>
        <w:tc>
          <w:tcPr>
            <w:tcW w:w="5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July 29,</w:t>
            </w:r>
          </w:p>
        </w:tc>
        <w:tc>
          <w:tcPr>
            <w:tcW w:w="60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91"/>
              </w:rPr>
              <w:t>August 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554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color w:val="auto"/>
              </w:rPr>
              <w:t>August 4, 2018</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7"/>
                <w:szCs w:val="17"/>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340" w:type="dxa"/>
            <w:vAlign w:val="bottom"/>
            <w:gridSpan w:val="2"/>
          </w:tcPr>
          <w:p>
            <w:pPr>
              <w:ind w:left="440"/>
              <w:spacing w:after="0"/>
              <w:rPr>
                <w:sz w:val="20"/>
                <w:szCs w:val="20"/>
                <w:color w:val="auto"/>
              </w:rPr>
            </w:pPr>
            <w:r>
              <w:rPr>
                <w:rFonts w:ascii="Arial" w:cs="Arial" w:eastAsia="Arial" w:hAnsi="Arial"/>
                <w:sz w:val="16"/>
                <w:szCs w:val="16"/>
                <w:color w:val="auto"/>
                <w:w w:val="92"/>
              </w:rPr>
              <w:t>July 29, 2017</w:t>
            </w:r>
          </w:p>
        </w:tc>
        <w:tc>
          <w:tcPr>
            <w:tcW w:w="80" w:type="dxa"/>
            <w:vAlign w:val="bottom"/>
          </w:tcPr>
          <w:p>
            <w:pPr>
              <w:spacing w:after="0"/>
              <w:rPr>
                <w:sz w:val="17"/>
                <w:szCs w:val="17"/>
                <w:color w:val="auto"/>
              </w:rPr>
            </w:pPr>
          </w:p>
        </w:tc>
      </w:tr>
      <w:tr>
        <w:trPr>
          <w:trHeight w:val="208"/>
        </w:trPr>
        <w:tc>
          <w:tcPr>
            <w:tcW w:w="5540" w:type="dxa"/>
            <w:vAlign w:val="bottom"/>
          </w:tcPr>
          <w:p>
            <w:pPr>
              <w:spacing w:after="0"/>
              <w:rPr>
                <w:sz w:val="20"/>
                <w:szCs w:val="20"/>
                <w:color w:val="auto"/>
              </w:rPr>
            </w:pPr>
            <w:r>
              <w:rPr>
                <w:rFonts w:ascii="Arial" w:cs="Arial" w:eastAsia="Arial" w:hAnsi="Arial"/>
                <w:sz w:val="16"/>
                <w:szCs w:val="16"/>
                <w:i w:val="1"/>
                <w:iCs w:val="1"/>
                <w:color w:val="auto"/>
              </w:rPr>
              <w:t>(in thousands</w:t>
            </w:r>
            <w:r>
              <w:rPr>
                <w:rFonts w:ascii="Arial" w:cs="Arial" w:eastAsia="Arial" w:hAnsi="Arial"/>
                <w:sz w:val="16"/>
                <w:szCs w:val="16"/>
                <w:b w:val="1"/>
                <w:bCs w:val="1"/>
                <w:i w:val="1"/>
                <w:iCs w:val="1"/>
                <w:color w:val="auto"/>
              </w:rPr>
              <w:t>)</w:t>
            </w: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5"/>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Common Stock Outstanding:</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6"/>
                <w:szCs w:val="16"/>
                <w:color w:val="auto"/>
              </w:rPr>
              <w:t>49,060</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48,556</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48,926</w:t>
            </w: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49,146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540" w:type="dxa"/>
            <w:vAlign w:val="bottom"/>
            <w:shd w:val="clear" w:color="auto" w:fill="CFF0FC"/>
          </w:tcPr>
          <w:p>
            <w:pPr>
              <w:spacing w:after="0" w:line="214" w:lineRule="exact"/>
              <w:rPr>
                <w:sz w:val="20"/>
                <w:szCs w:val="20"/>
                <w:color w:val="auto"/>
              </w:rPr>
            </w:pPr>
            <w:r>
              <w:rPr>
                <w:rFonts w:ascii="Arial" w:cs="Arial" w:eastAsia="Arial" w:hAnsi="Arial"/>
                <w:sz w:val="14"/>
                <w:szCs w:val="14"/>
                <w:color w:val="auto"/>
              </w:rPr>
              <w:t xml:space="preserve">Common stock equivalents – stock options and restricted stock </w:t>
            </w:r>
            <w:r>
              <w:rPr>
                <w:rFonts w:ascii="Arial" w:cs="Arial" w:eastAsia="Arial" w:hAnsi="Arial"/>
                <w:sz w:val="24"/>
                <w:szCs w:val="24"/>
                <w:color w:val="auto"/>
                <w:vertAlign w:val="superscript"/>
              </w:rPr>
              <w:t>(1)</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Diluted weighted average common shares outstanding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49,060</w:t>
            </w:r>
          </w:p>
        </w:tc>
        <w:tc>
          <w:tcPr>
            <w:tcW w:w="240" w:type="dxa"/>
            <w:vAlign w:val="bottom"/>
          </w:tcPr>
          <w:p>
            <w:pPr>
              <w:spacing w:after="0"/>
              <w:rPr>
                <w:sz w:val="17"/>
                <w:szCs w:val="17"/>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48,556</w:t>
            </w:r>
          </w:p>
        </w:tc>
        <w:tc>
          <w:tcPr>
            <w:tcW w:w="24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48,926</w:t>
            </w:r>
          </w:p>
        </w:tc>
        <w:tc>
          <w:tcPr>
            <w:tcW w:w="360" w:type="dxa"/>
            <w:vAlign w:val="bottom"/>
          </w:tcPr>
          <w:p>
            <w:pPr>
              <w:spacing w:after="0"/>
              <w:rPr>
                <w:sz w:val="17"/>
                <w:szCs w:val="17"/>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49,146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5" w:lineRule="exact"/>
        <w:rPr>
          <w:sz w:val="20"/>
          <w:szCs w:val="20"/>
          <w:color w:val="auto"/>
        </w:rPr>
      </w:pPr>
    </w:p>
    <w:p>
      <w:pPr>
        <w:ind w:left="1040" w:right="420" w:hanging="517"/>
        <w:spacing w:after="0" w:line="366" w:lineRule="auto"/>
        <w:tabs>
          <w:tab w:leader="none" w:pos="10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Common stock equivalents of 489 shares and 345 shares for the three months ended August 4, 2018 and July 29, 2017, respectively, and 458 shares and 166 shares for the six months ended August 4, 2018 and July 29, 2017, respectively, were excluded due to the net loss.</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2880" w:type="dxa"/>
            <w:vAlign w:val="bottom"/>
            <w:gridSpan w:val="4"/>
          </w:tcPr>
          <w:p>
            <w:pPr>
              <w:ind w:left="440"/>
              <w:spacing w:after="0"/>
              <w:rPr>
                <w:sz w:val="20"/>
                <w:szCs w:val="20"/>
                <w:color w:val="auto"/>
              </w:rPr>
            </w:pPr>
            <w:r>
              <w:rPr>
                <w:rFonts w:ascii="Arial" w:cs="Arial" w:eastAsia="Arial" w:hAnsi="Arial"/>
                <w:sz w:val="16"/>
                <w:szCs w:val="16"/>
                <w:color w:val="auto"/>
              </w:rPr>
              <w:t>For the three months ended</w:t>
            </w:r>
          </w:p>
        </w:tc>
        <w:tc>
          <w:tcPr>
            <w:tcW w:w="2680" w:type="dxa"/>
            <w:vAlign w:val="bottom"/>
            <w:gridSpan w:val="4"/>
          </w:tcPr>
          <w:p>
            <w:pPr>
              <w:ind w:left="500"/>
              <w:spacing w:after="0"/>
              <w:rPr>
                <w:sz w:val="20"/>
                <w:szCs w:val="20"/>
                <w:color w:val="auto"/>
              </w:rPr>
            </w:pPr>
            <w:r>
              <w:rPr>
                <w:rFonts w:ascii="Arial" w:cs="Arial" w:eastAsia="Arial" w:hAnsi="Arial"/>
                <w:sz w:val="16"/>
                <w:szCs w:val="16"/>
                <w:color w:val="auto"/>
              </w:rPr>
              <w:t>For the six months ended</w:t>
            </w:r>
          </w:p>
        </w:tc>
      </w:tr>
      <w:tr>
        <w:trPr>
          <w:trHeight w:val="212"/>
        </w:trPr>
        <w:tc>
          <w:tcPr>
            <w:tcW w:w="576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color w:val="auto"/>
              </w:rPr>
              <w:t>August 4, 2018</w:t>
            </w: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July 29, 2017</w:t>
            </w:r>
          </w:p>
        </w:tc>
        <w:tc>
          <w:tcPr>
            <w:tcW w:w="1440" w:type="dxa"/>
            <w:vAlign w:val="bottom"/>
            <w:gridSpan w:val="2"/>
          </w:tcPr>
          <w:p>
            <w:pPr>
              <w:ind w:left="100"/>
              <w:spacing w:after="0"/>
              <w:rPr>
                <w:sz w:val="20"/>
                <w:szCs w:val="20"/>
                <w:color w:val="auto"/>
              </w:rPr>
            </w:pPr>
            <w:r>
              <w:rPr>
                <w:rFonts w:ascii="Arial" w:cs="Arial" w:eastAsia="Arial" w:hAnsi="Arial"/>
                <w:sz w:val="16"/>
                <w:szCs w:val="16"/>
                <w:color w:val="auto"/>
              </w:rPr>
              <w:t>August 4, 2018</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July 29, 2017</w:t>
            </w:r>
          </w:p>
        </w:tc>
      </w:tr>
      <w:tr>
        <w:trPr>
          <w:trHeight w:val="208"/>
        </w:trPr>
        <w:tc>
          <w:tcPr>
            <w:tcW w:w="576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1,147</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120" w:type="dxa"/>
            <w:vAlign w:val="bottom"/>
            <w:shd w:val="clear" w:color="auto" w:fill="CFF0FC"/>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r>
      <w:tr>
        <w:trPr>
          <w:trHeight w:val="215"/>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8"/>
                <w:szCs w:val="18"/>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$1.85 - $7.02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$3.16 - $7.52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$1.85 - $7.02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$3.16 - $7.52</w:t>
            </w:r>
          </w:p>
        </w:tc>
        <w:tc>
          <w:tcPr>
            <w:tcW w:w="120" w:type="dxa"/>
            <w:vAlign w:val="bottom"/>
          </w:tcPr>
          <w:p>
            <w:pPr>
              <w:spacing w:after="0"/>
              <w:rPr>
                <w:sz w:val="18"/>
                <w:szCs w:val="18"/>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August 4, 2018, expire from March 19, 2020 to June 29, 2028.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5" w:name="page16"/>
    <w:bookmarkEnd w:id="15"/>
    <w:p>
      <w:pPr>
        <w:ind w:right="380"/>
        <w:spacing w:after="0" w:line="265" w:lineRule="auto"/>
        <w:rPr>
          <w:sz w:val="20"/>
          <w:szCs w:val="20"/>
          <w:color w:val="auto"/>
        </w:rPr>
      </w:pPr>
      <w:r>
        <w:rPr>
          <w:rFonts w:ascii="Arial" w:cs="Arial" w:eastAsia="Arial" w:hAnsi="Arial"/>
          <w:sz w:val="18"/>
          <w:szCs w:val="18"/>
          <w:color w:val="auto"/>
        </w:rPr>
        <w:t>Shares of unvested time-based restricted stock of 30,000 at August 4, 2018 and 53,333 shares at July 29, 2017 were excluded from the computation of basic earnings per share and will continue to be excluded until such shares vest.</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30,000 shares of restricted stock outstanding at August 4, 2018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7"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At August 4, 2018, the Company had total deferred tax assets of approximately $52.8 million, total deferred tax liabilities of $4.7 million and a corresponding valuation allowance of $48.1 million.</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Since the end of fiscal 2014, the Company has had a full valuation allowance against its net deferred tax assets. While the Company has projected it will return to profitability, generate taxable income and ultimately emerge from a three-year cumulative loss, based on the Company’s forecast for fiscal 2018, the Company believes that a full allowance remains appropriate at this time.</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August 4, 2018, for federal income tax purposes, the Company has net operating loss carryforwards of $141.4 million, which will expire from 2022 through 2036 and net operating loss carryforwards of $16.3 million that are not subject to expiration. For state income tax purposes, the Company has $89.2 million of net operating losses that are available to offset future taxable income. Additionally, the Company has $2.8 million of net operating loss carryforwards related to the Company’s operations in Canada.</w:t>
      </w:r>
    </w:p>
    <w:p>
      <w:pPr>
        <w:spacing w:after="0" w:line="19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February 4, 2018, the Company is calculating its tax provision based on the newly enacted U.S. statutory rate of 21%. The Company’s tax provision for the second quarter and first six months of fiscal 2018 and fiscal 2017 was primarily due to current state margin tax. The second quarter and first six months of fiscal 2018 included a tax expense of $21,000 and $47,000 in other comprehensive income (loss), which resulted in a tax benefit on the Consolidated Statement of Operations related to the corresponding decrease in valuation allowance.</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August 4, 2018 was $2.0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83"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Corporate Restructuring</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May 16, 2018, the Company committed to a corporate restructuring plan (“Restructuring”) to accelerate the Company's path to profitability by better aligning its expense structure with its revenues. The Company eliminated 56 positions, which represented approximately 15% of its corporate work force, or 2% of its total work force, in connection with the Restructuring. On May 16, 2018, 36 employees were notified of their termination, with the remaining 20 positions representing open positions that will not be filled. The Company offered cash severance benefits to the eligible affected employees. Each affected employee’s eligibility for these severance benefits is contingent upon such employee’s execution (and no revocation) of a separation agreement, which includes a general release of claims against the Company.</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expects to incur an aggregate charge of approximately $1.8 million, of which $1.6 million was incurred in the second quarter of fiscal 2018, for employee severance and one-time termination benefits, as well as other employee-related costs associated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 w:name="page17"/>
    <w:bookmarkEnd w:id="16"/>
    <w:p>
      <w:pPr>
        <w:spacing w:after="0" w:line="265" w:lineRule="auto"/>
        <w:rPr>
          <w:sz w:val="20"/>
          <w:szCs w:val="20"/>
          <w:color w:val="auto"/>
        </w:rPr>
      </w:pPr>
      <w:r>
        <w:rPr>
          <w:rFonts w:ascii="Arial" w:cs="Arial" w:eastAsia="Arial" w:hAnsi="Arial"/>
          <w:sz w:val="18"/>
          <w:szCs w:val="18"/>
          <w:color w:val="auto"/>
        </w:rPr>
        <w:t>with the Restructuring. Approximately $1.5 million of the $1.8 million will be cash expenditures. At August 4, 2018, the Company has an accrued liability related to the restructuring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cash flows, gross profit margins, merchandise margins, marketing costs, restructuring charges, selling, general and administrative expenses, store counts, inventory levels, capital expenditures, borrowings, interest costs, sales and earnings for fiscal 2018, the expected impact of investments in marketing on 2018 sales and longer term impact on customer acquisition and brand awareness, anticipated savings from our corporate restructuring, and the anticipated number of store openings and closings in fiscal 2018.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3, 2018, included in our Annual Report on Form 10-K for the year ended February 3, 2018, as filed with the Securities and Exchange Commission on March 23, 2018 (our “Fiscal 2017 Annual Report”).</w:t>
      </w:r>
    </w:p>
    <w:p>
      <w:pPr>
        <w:spacing w:after="0" w:line="26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Numerous factors could cause our actual results to differ materially from such forward-looking statements. We encourage readers to refer to the “Risk Factors” section in Part I, Item 1A of our Fiscal 2017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maintain and build our brand awareness and compete successfully in our market.</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17"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Canada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8"/>
          <w:szCs w:val="18"/>
          <w:color w:val="auto"/>
        </w:rPr>
        <w:t>, DXL</w:t>
      </w:r>
      <w:r>
        <w:rPr>
          <w:rFonts w:ascii="Arial" w:cs="Arial" w:eastAsia="Arial" w:hAnsi="Arial"/>
          <w:sz w:val="25"/>
          <w:szCs w:val="25"/>
          <w:color w:val="auto"/>
          <w:vertAlign w:val="superscript"/>
        </w:rPr>
        <w:t>®</w:t>
      </w:r>
      <w:r>
        <w:rPr>
          <w:rFonts w:ascii="Arial" w:cs="Arial" w:eastAsia="Arial" w:hAnsi="Arial"/>
          <w:sz w:val="18"/>
          <w:szCs w:val="18"/>
          <w:color w:val="auto"/>
        </w:rPr>
        <w:t>, DXL Outlets, Casual Male XL</w:t>
      </w:r>
      <w:r>
        <w:rPr>
          <w:rFonts w:ascii="Arial" w:cs="Arial" w:eastAsia="Arial" w:hAnsi="Arial"/>
          <w:sz w:val="25"/>
          <w:szCs w:val="25"/>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LivingXL</w:t>
      </w:r>
      <w:r>
        <w:rPr>
          <w:rFonts w:ascii="Arial" w:cs="Arial" w:eastAsia="Arial" w:hAnsi="Arial"/>
          <w:sz w:val="25"/>
          <w:szCs w:val="25"/>
          <w:color w:val="auto"/>
          <w:vertAlign w:val="superscript"/>
        </w:rPr>
        <w:t>®</w:t>
      </w:r>
      <w:r>
        <w:rPr>
          <w:rFonts w:ascii="Arial" w:cs="Arial" w:eastAsia="Arial" w:hAnsi="Arial"/>
          <w:sz w:val="18"/>
          <w:szCs w:val="18"/>
          <w:color w:val="auto"/>
        </w:rPr>
        <w:t>. At August 4, 2018, we operated 216 Destination XL stores, 15 DXL outlet stores, 68 Casual Male XL retail stores, 30 Casual Male XL outlet stores and 5 Rochester Clothing stores. Our e-commerce site, DestinationXL.com, supports our stores, brands and product extensions.</w:t>
      </w:r>
    </w:p>
    <w:p>
      <w:pPr>
        <w:spacing w:after="0" w:line="20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2, 2019 and February 3, 2018 as “fiscal 2018” and “fiscal 2017,” respectively. Fiscal 2018 is a 52-week period and fiscal 2017 was a 53-week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(e-commerce) businesses, especially in our growing omni-channel environment, to be similar in terms of economic characteristics, production processes and operations, and have, therefore, aggregated them into a single reporting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 w:name="page19"/>
    <w:bookmarkEnd w:id="18"/>
    <w:p>
      <w:pPr>
        <w:spacing w:after="0" w:line="305" w:lineRule="auto"/>
        <w:rPr>
          <w:sz w:val="20"/>
          <w:szCs w:val="20"/>
          <w:color w:val="auto"/>
        </w:rPr>
      </w:pPr>
      <w:r>
        <w:rPr>
          <w:rFonts w:ascii="Arial" w:cs="Arial" w:eastAsia="Arial" w:hAnsi="Arial"/>
          <w:sz w:val="15"/>
          <w:szCs w:val="15"/>
          <w:color w:val="auto"/>
        </w:rPr>
        <w:t>In addition, our customer’s shopping experience continues to evolve across multiple channels and we are continually changing to meet his needs. As part of our omni-channel initiatives, the majority of our retail stores have the capability of fulfilling online orders if merchandise is not available in the warehouse. As a result, we continue to see more transactions that begin online but are ultimately satisfied at the store level. Similarly, if a customer visits a store and the item is out of stock, the associate can order the item through our website. A customer also has the ability to order online and pick-up in store. Because this omni-channel approach to retailing is changing the boundaries of where a sale originates and where a sale is ultimately settled, we do not report comparable sales separately for our retail and e-commerce businesses. However, as we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are defined as sales that originate online, including those initiated online at the store level.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following is a summary of results for the second quarter and first six months of fiscal 2018 as compared to the prior year’s second quarter and first six months, including adjusted EBITDA and adjusted net income (loss), which are non-GAAP measures. Please see “Non-GAAP Financial Measures” below for reconciliations of these non-GAAP measures.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jc w:val="right"/>
              <w:ind w:right="106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4"/>
                <w:szCs w:val="14"/>
                <w:color w:val="auto"/>
              </w:rPr>
            </w:pPr>
          </w:p>
        </w:tc>
        <w:tc>
          <w:tcPr>
            <w:tcW w:w="3160" w:type="dxa"/>
            <w:vAlign w:val="bottom"/>
            <w:gridSpan w:val="6"/>
          </w:tcPr>
          <w:p>
            <w:pPr>
              <w:jc w:val="right"/>
              <w:ind w:right="102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color w:val="auto"/>
              </w:rPr>
              <w:t>August 4, 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color w:val="auto"/>
              </w:rPr>
              <w:t>July 29, 2017</w:t>
            </w:r>
          </w:p>
        </w:tc>
        <w:tc>
          <w:tcPr>
            <w:tcW w:w="18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color w:val="auto"/>
              </w:rPr>
              <w:t>August 4, 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00" w:type="dxa"/>
            <w:vAlign w:val="bottom"/>
            <w:tcBorders>
              <w:top w:val="single" w:sz="8" w:color="CFF0FC"/>
            </w:tcBorders>
            <w:gridSpan w:val="3"/>
            <w:shd w:val="clear" w:color="auto" w:fill="CFF0FC"/>
          </w:tcPr>
          <w:p>
            <w:pPr>
              <w:spacing w:after="0" w:line="139" w:lineRule="exact"/>
              <w:rPr>
                <w:sz w:val="20"/>
                <w:szCs w:val="20"/>
                <w:color w:val="auto"/>
              </w:rPr>
            </w:pPr>
            <w:r>
              <w:rPr>
                <w:rFonts w:ascii="Arial" w:cs="Arial" w:eastAsia="Arial" w:hAnsi="Arial"/>
                <w:sz w:val="14"/>
                <w:szCs w:val="14"/>
                <w:i w:val="1"/>
                <w:iCs w:val="1"/>
                <w:color w:val="auto"/>
              </w:rPr>
              <w:t>(in millions, except per share data)</w:t>
            </w:r>
          </w:p>
        </w:tc>
        <w:tc>
          <w:tcPr>
            <w:tcW w:w="18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color w:val="auto"/>
              </w:rPr>
              <w:t>Net loss</w:t>
            </w:r>
          </w:p>
        </w:tc>
        <w:tc>
          <w:tcPr>
            <w:tcW w:w="264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CFF0FC"/>
            </w:tcBorders>
            <w:gridSpan w:val="2"/>
          </w:tcPr>
          <w:p>
            <w:pPr>
              <w:jc w:val="right"/>
              <w:ind w:right="120"/>
              <w:spacing w:after="0" w:line="153" w:lineRule="exact"/>
              <w:rPr>
                <w:sz w:val="20"/>
                <w:szCs w:val="20"/>
                <w:color w:val="auto"/>
              </w:rPr>
            </w:pPr>
            <w:r>
              <w:rPr>
                <w:rFonts w:ascii="Arial" w:cs="Arial" w:eastAsia="Arial" w:hAnsi="Arial"/>
                <w:sz w:val="14"/>
                <w:szCs w:val="14"/>
                <w:color w:val="auto"/>
              </w:rPr>
              <w:t>(1.2)</w:t>
            </w:r>
          </w:p>
        </w:tc>
        <w:tc>
          <w:tcPr>
            <w:tcW w:w="340" w:type="dxa"/>
            <w:vAlign w:val="bottom"/>
            <w:tcBorders>
              <w:top w:val="single" w:sz="8" w:color="CFF0FC"/>
            </w:tcBorders>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500" w:type="dxa"/>
            <w:vAlign w:val="bottom"/>
            <w:tcBorders>
              <w:top w:val="single" w:sz="8" w:color="CFF0FC"/>
            </w:tcBorders>
            <w:gridSpan w:val="2"/>
          </w:tcPr>
          <w:p>
            <w:pPr>
              <w:jc w:val="right"/>
              <w:ind w:right="160"/>
              <w:spacing w:after="0" w:line="153" w:lineRule="exact"/>
              <w:rPr>
                <w:sz w:val="20"/>
                <w:szCs w:val="20"/>
                <w:color w:val="auto"/>
              </w:rPr>
            </w:pPr>
            <w:r>
              <w:rPr>
                <w:rFonts w:ascii="Arial" w:cs="Arial" w:eastAsia="Arial" w:hAnsi="Arial"/>
                <w:sz w:val="14"/>
                <w:szCs w:val="14"/>
                <w:color w:val="auto"/>
              </w:rPr>
              <w:t>(3.7)</w:t>
            </w:r>
          </w:p>
        </w:tc>
        <w:tc>
          <w:tcPr>
            <w:tcW w:w="180" w:type="dxa"/>
            <w:vAlign w:val="bottom"/>
            <w:tcBorders>
              <w:top w:val="single" w:sz="8" w:color="CFF0FC"/>
            </w:tcBorders>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CFF0FC"/>
            </w:tcBorders>
            <w:gridSpan w:val="2"/>
          </w:tcPr>
          <w:p>
            <w:pPr>
              <w:jc w:val="right"/>
              <w:ind w:right="120"/>
              <w:spacing w:after="0" w:line="153" w:lineRule="exact"/>
              <w:rPr>
                <w:sz w:val="20"/>
                <w:szCs w:val="20"/>
                <w:color w:val="auto"/>
              </w:rPr>
            </w:pPr>
            <w:r>
              <w:rPr>
                <w:rFonts w:ascii="Arial" w:cs="Arial" w:eastAsia="Arial" w:hAnsi="Arial"/>
                <w:sz w:val="14"/>
                <w:szCs w:val="14"/>
                <w:color w:val="auto"/>
              </w:rPr>
              <w:t>(4.3)</w:t>
            </w:r>
          </w:p>
        </w:tc>
        <w:tc>
          <w:tcPr>
            <w:tcW w:w="340" w:type="dxa"/>
            <w:vAlign w:val="bottom"/>
            <w:tcBorders>
              <w:top w:val="single" w:sz="8" w:color="CFF0FC"/>
            </w:tcBorders>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380" w:type="dxa"/>
            <w:vAlign w:val="bottom"/>
            <w:tcBorders>
              <w:top w:val="single" w:sz="8" w:color="CFF0FC"/>
            </w:tcBorders>
            <w:gridSpan w:val="2"/>
          </w:tcPr>
          <w:p>
            <w:pPr>
              <w:jc w:val="right"/>
              <w:ind w:right="60"/>
              <w:spacing w:after="0" w:line="153"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gridSpan w:val="3"/>
            <w:shd w:val="clear" w:color="auto" w:fill="CFF0FC"/>
          </w:tcPr>
          <w:p>
            <w:pPr>
              <w:spacing w:after="0" w:line="159" w:lineRule="exact"/>
              <w:rPr>
                <w:sz w:val="20"/>
                <w:szCs w:val="20"/>
                <w:color w:val="auto"/>
              </w:rPr>
            </w:pPr>
            <w:r>
              <w:rPr>
                <w:rFonts w:ascii="Arial" w:cs="Arial" w:eastAsia="Arial" w:hAnsi="Arial"/>
                <w:sz w:val="14"/>
                <w:szCs w:val="14"/>
                <w:color w:val="auto"/>
              </w:rPr>
              <w:t>Adjusted EBITDA (Non-GAAP basis)</w:t>
            </w:r>
          </w:p>
        </w:tc>
        <w:tc>
          <w:tcPr>
            <w:tcW w:w="180" w:type="dxa"/>
            <w:vAlign w:val="bottom"/>
            <w:shd w:val="clear" w:color="auto" w:fill="CFF0FC"/>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980" w:type="dxa"/>
            <w:vAlign w:val="bottom"/>
            <w:tcBorders>
              <w:bottom w:val="single" w:sz="8" w:color="auto"/>
            </w:tcBorders>
            <w:shd w:val="clear" w:color="auto" w:fill="CFF0FC"/>
          </w:tcPr>
          <w:p>
            <w:pPr>
              <w:spacing w:after="0" w:line="146" w:lineRule="exact"/>
              <w:rPr>
                <w:sz w:val="20"/>
                <w:szCs w:val="20"/>
                <w:color w:val="auto"/>
              </w:rPr>
            </w:pPr>
            <w:r>
              <w:rPr>
                <w:rFonts w:ascii="Arial" w:cs="Arial" w:eastAsia="Arial" w:hAnsi="Arial"/>
                <w:sz w:val="14"/>
                <w:szCs w:val="14"/>
                <w:color w:val="auto"/>
                <w:w w:val="87"/>
              </w:rPr>
              <w:t>Per diluted share:</w:t>
            </w:r>
          </w:p>
        </w:tc>
        <w:tc>
          <w:tcPr>
            <w:tcW w:w="3620" w:type="dxa"/>
            <w:vAlign w:val="bottom"/>
            <w:tcBorders>
              <w:bottom w:val="single" w:sz="8" w:color="CFF0FC"/>
            </w:tcBorders>
            <w:gridSpan w:val="2"/>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0" w:type="dxa"/>
            <w:vAlign w:val="bottom"/>
            <w:gridSpan w:val="3"/>
          </w:tcPr>
          <w:p>
            <w:pPr>
              <w:spacing w:after="0" w:line="153" w:lineRule="exact"/>
              <w:rPr>
                <w:sz w:val="20"/>
                <w:szCs w:val="20"/>
                <w:color w:val="auto"/>
              </w:rPr>
            </w:pPr>
            <w:r>
              <w:rPr>
                <w:rFonts w:ascii="Arial" w:cs="Arial" w:eastAsia="Arial" w:hAnsi="Arial"/>
                <w:sz w:val="14"/>
                <w:szCs w:val="14"/>
                <w:color w:val="auto"/>
              </w:rPr>
              <w:t>Net loss</w:t>
            </w:r>
          </w:p>
        </w:tc>
        <w:tc>
          <w:tcPr>
            <w:tcW w:w="180" w:type="dxa"/>
            <w:vAlign w:val="bottom"/>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(0.02)</w:t>
            </w:r>
          </w:p>
        </w:tc>
        <w:tc>
          <w:tcPr>
            <w:tcW w:w="3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(0.08)</w:t>
            </w:r>
          </w:p>
        </w:tc>
        <w:tc>
          <w:tcPr>
            <w:tcW w:w="180" w:type="dxa"/>
            <w:vAlign w:val="bottom"/>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(0.09)</w:t>
            </w:r>
          </w:p>
        </w:tc>
        <w:tc>
          <w:tcPr>
            <w:tcW w:w="3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0" w:type="dxa"/>
            <w:vAlign w:val="bottom"/>
            <w:gridSpan w:val="3"/>
            <w:shd w:val="clear" w:color="auto" w:fill="CFF0FC"/>
          </w:tcPr>
          <w:p>
            <w:pPr>
              <w:spacing w:after="0" w:line="159" w:lineRule="exact"/>
              <w:rPr>
                <w:sz w:val="20"/>
                <w:szCs w:val="20"/>
                <w:color w:val="auto"/>
              </w:rPr>
            </w:pPr>
            <w:r>
              <w:rPr>
                <w:rFonts w:ascii="Arial" w:cs="Arial" w:eastAsia="Arial" w:hAnsi="Arial"/>
                <w:sz w:val="14"/>
                <w:szCs w:val="14"/>
                <w:color w:val="auto"/>
              </w:rPr>
              <w:t>Adjusted net income (loss) (Non-GAAP basis)</w:t>
            </w:r>
          </w:p>
        </w:tc>
        <w:tc>
          <w:tcPr>
            <w:tcW w:w="180" w:type="dxa"/>
            <w:vAlign w:val="bottom"/>
            <w:shd w:val="clear" w:color="auto" w:fill="CFF0FC"/>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0.01</w:t>
            </w:r>
          </w:p>
        </w:tc>
        <w:tc>
          <w:tcPr>
            <w:tcW w:w="1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(0.03)</w:t>
            </w:r>
          </w:p>
        </w:tc>
        <w:tc>
          <w:tcPr>
            <w:tcW w:w="180" w:type="dxa"/>
            <w:vAlign w:val="bottom"/>
            <w:shd w:val="clear" w:color="auto" w:fill="CFF0FC"/>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4"/>
                <w:szCs w:val="14"/>
                <w:color w:val="auto"/>
              </w:rPr>
              <w:t>(0.04)</w:t>
            </w:r>
          </w:p>
        </w:tc>
        <w:tc>
          <w:tcPr>
            <w:tcW w:w="34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were pleased with our performance in the second quarter of fiscal 2018, with a net loss of $(0.02) per diluted share, as compared to a net loss of $(0.08) per diluted share in the second quarter of fiscal 2017 and a $2.1 million increase in adjusted EBITDA. For the first six months of fiscal 2018, our adjusted EBITDA increased $4.6 million as compared to the same period of the prior year.</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have seen a consistent improvement in sales since the fourth quarter of fiscal 2017, with a comparable sales increase in the second quarter of fiscal 2018 of 3.3%, or $3.8 million. Our results were driven by productivity in stores and growth in our direct business. Furthermore, our results were delivered with a more productive inventory base that is $9.4 million or 8.4% less than our inventory positon in the second quarter 2017. Store productivity continued to improve during the second quarter with an increase in conversion rate, dollars per transaction and number of transactions. We continue to see growth in our direct business, which on a trailing 12-month basis, represented 21.2% of our total sales at the end of the second quarter of fiscal 2018 as compared to 20.5% at the end of the second quarter of fiscal 2017.</w:t>
      </w:r>
    </w:p>
    <w:p>
      <w:pPr>
        <w:spacing w:after="0" w:line="9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reduced SG&amp;A costs, as a result of lower marketing costs and payroll cost savings, also contributed to the improvement in earnings. As discussed in more detail below, in the second quarter we undertook a corporate restructuring to accelerate our path to profitability, including a corporate workforce reduction of approximately 15%. Given that our transformation to the DXL concept is essentially complete and our current strategy includes growing our brands and building our customer base, this corporate restructuring better aligns us with those objectives.</w:t>
      </w:r>
    </w:p>
    <w:p>
      <w:pPr>
        <w:spacing w:after="0" w:line="7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Included in our results for the second quarter is a charge of $1.6 million associated with the corporate restructuring. On a comparative basis, results for the second quarter of fiscal 2017 also included an asset impairment charge of $1.7 million associated with the write-down of certain store assets. On a non-GAAP basis, adjusting for these charges and applying a 26% normal tax rate, our adjusted net income for the second quarter was $0.01 per diluted share, compared to an adjusted net loss of $(0.03) per share a year ago.</w:t>
      </w:r>
    </w:p>
    <w:p>
      <w:pPr>
        <w:spacing w:after="0" w:line="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also focused on improving our liquidity and reducing our debt levels. During the second quarter, we amended our credit facility with Bank of America, N.A., which extended the maturity date of the facility from October 2019 to May 2023. We also reduced our borrowing rates under the revolving facility by 25 basis points and added a $15.0 million “first in last out” (FILO) facility at a substantially lower borrowing rate than our previous term loan facility. On an annualized basis, we believe that this refinancing will enable us to reduce interest costs by approximately $0.7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Restructuring</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mentioned above, during the second quarter of fiscal 2018, we executed a restructuring plan (“Restructuring”) to accelerate the Company's path to profitability by better aligning its expense structure with its revenues. In May 2018, we eliminated 56 positions, which represented approximately 15% of our corporate work force, or 2% of our total work force. On May 16, 2018, 36 employees were notified of their termination with the remaining 20 positions representing open positions that will not be filled. In connection with the Restructuring, we expect to incur an aggregate charge of $1.8 million, of which $1.6 million was recorded in the second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9" w:name="page20"/>
    <w:bookmarkEnd w:id="19"/>
    <w:p>
      <w:pPr>
        <w:jc w:val="both"/>
        <w:spacing w:after="0" w:line="265" w:lineRule="auto"/>
        <w:rPr>
          <w:sz w:val="20"/>
          <w:szCs w:val="20"/>
          <w:color w:val="auto"/>
        </w:rPr>
      </w:pPr>
      <w:r>
        <w:rPr>
          <w:rFonts w:ascii="Arial" w:cs="Arial" w:eastAsia="Arial" w:hAnsi="Arial"/>
          <w:sz w:val="18"/>
          <w:szCs w:val="18"/>
          <w:color w:val="auto"/>
        </w:rPr>
        <w:t>quarter of fiscal 2018 for employee severance and one-time termination benefits, as well as other employee-related costs associated with the Restructuring. Of the total $1.8 million restructuring charge, approximately $1.5 million will be cash expenditures.</w:t>
      </w:r>
    </w:p>
    <w:p>
      <w:pPr>
        <w:spacing w:after="0" w:line="17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As a result of this Restructuring, we expect to realize savings of approximately $5.6 million in SG&amp;A (selling, general and administrative) expenses in fiscal 2018, which is reflected in our fiscal 2018 earnings expectations. The $5.6 million in savings primarily related to corporate payroll, travel, benefits and non-essential project expenses, with expected annualized savings of approximately $10.3 million. Of the $10.3 million, we expect $6.6 million to come from corporate staffing changes, $2.0 million from changes to defined contribution plans and $1.7 million from other non-essential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 ~ Spring 2018</w:t>
      </w:r>
    </w:p>
    <w:p>
      <w:pPr>
        <w:spacing w:after="0" w:line="11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At the end of the first quarter of fiscal 2018, we launched our Spring media campaign “</w:t>
      </w:r>
      <w:r>
        <w:rPr>
          <w:rFonts w:ascii="Arial" w:cs="Arial" w:eastAsia="Arial" w:hAnsi="Arial"/>
          <w:sz w:val="18"/>
          <w:szCs w:val="18"/>
          <w:i w:val="1"/>
          <w:iCs w:val="1"/>
          <w:color w:val="auto"/>
        </w:rPr>
        <w:t>Built XL</w:t>
      </w:r>
      <w:r>
        <w:rPr>
          <w:rFonts w:ascii="Arial" w:cs="Arial" w:eastAsia="Arial" w:hAnsi="Arial"/>
          <w:sz w:val="18"/>
          <w:szCs w:val="18"/>
          <w:color w:val="auto"/>
        </w:rPr>
        <w:t>”, which ran through Father’s Day. Our new advertising campaign emphasized fit, expertise, clothing brands, in-store experience, and one-stop shopping. We are highlighting our key differentiators and working to make an emotional connection with our core consumer. We reduced the number of weeks for our Spring campaign as compared to fiscal 2017, but we saw a strong increase in store and web traffic once our Spring campaign launched. We are pleased with the reaction to our campaign and its effect on our brand awareness, which increased to 44% at the end of the campaign from 42% at the end of fiscal 2017. We hope to build on these improvements as we prepare for our Fall/Holiday campaign.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Outlook</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reaffirming our earnings guidance for fiscal 2018, which reflects the $5.6 million expense savings that we expect to realize from the Restructuring. In addition to the $1.6 million we incurred in the second quarter for severance and other restructuring charges, we expect to incur approximately $0.2 million in the third quarter for the balance of the restructuring and, before the end of fiscal 2018, $4.2 million of CEO transition costs.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strategy for fiscal 2018 remains focused on customer acquisition, customer retention, and customer re-activation. Our marketing spend for the year is expected to be approximately $24.0 million, which is less than the fiscal 2017 spend of approximately $29.5 million, but greater than the fiscal 2016 spend of $18.0 million. Compared to fiscal 2017, we are projecting that our total sales for the year will be negatively impacted by one less week of sales and a net decrease in store count of ten stores, worth approximately $5.3 million in sales. Fiscal 2017 included a 53rd week, with sales of $6.9 million and operating income of $1.6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guidance for fiscal 2018 remains unchanged and is as follows:</w:t>
      </w:r>
    </w:p>
    <w:p>
      <w:pPr>
        <w:spacing w:after="0" w:line="111" w:lineRule="exact"/>
        <w:rPr>
          <w:sz w:val="20"/>
          <w:szCs w:val="20"/>
          <w:color w:val="auto"/>
        </w:rPr>
      </w:pPr>
    </w:p>
    <w:p>
      <w:pPr>
        <w:ind w:left="780" w:hanging="25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$462.0 million to $472.0 million, with a total company comparable sales increase of approximately 1.0% to 3.0%.</w:t>
      </w:r>
    </w:p>
    <w:p>
      <w:pPr>
        <w:spacing w:after="0" w:line="111" w:lineRule="exact"/>
        <w:rPr>
          <w:rFonts w:ascii="Arial" w:cs="Arial" w:eastAsia="Arial" w:hAnsi="Arial"/>
          <w:sz w:val="18"/>
          <w:szCs w:val="18"/>
          <w:color w:val="auto"/>
        </w:rPr>
      </w:pPr>
    </w:p>
    <w:p>
      <w:pPr>
        <w:ind w:left="780" w:hanging="25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rate of approximately 44.5%.</w:t>
      </w:r>
    </w:p>
    <w:p>
      <w:pPr>
        <w:spacing w:after="0" w:line="111" w:lineRule="exact"/>
        <w:rPr>
          <w:rFonts w:ascii="Arial" w:cs="Arial" w:eastAsia="Arial" w:hAnsi="Arial"/>
          <w:sz w:val="18"/>
          <w:szCs w:val="18"/>
          <w:color w:val="auto"/>
        </w:rPr>
      </w:pPr>
    </w:p>
    <w:p>
      <w:pPr>
        <w:ind w:left="780" w:hanging="25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on a GAAP basis, of $(13.2) million to $(18.2) million, or $(0.27) to $(0.37) per diluted share.</w:t>
      </w:r>
    </w:p>
    <w:p>
      <w:pPr>
        <w:spacing w:after="0" w:line="111" w:lineRule="exact"/>
        <w:rPr>
          <w:rFonts w:ascii="Arial" w:cs="Arial" w:eastAsia="Arial" w:hAnsi="Arial"/>
          <w:sz w:val="18"/>
          <w:szCs w:val="18"/>
          <w:color w:val="auto"/>
        </w:rPr>
      </w:pPr>
    </w:p>
    <w:p>
      <w:pPr>
        <w:ind w:left="780" w:right="80" w:hanging="257"/>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loss of $(0.11) to $(0.18) per diluted share. Because we expect to continue providing a full valuation allowance against our deferred tax assets, we do not expect to recognize any income tax benefit in fiscal 2018. This non-GAAP adjusted net loss was calculated, before Restructuring charges and CEO transition costs and assumes a tax rate benefit of 26%.</w:t>
      </w:r>
    </w:p>
    <w:p>
      <w:pPr>
        <w:spacing w:after="0" w:line="82" w:lineRule="exact"/>
        <w:rPr>
          <w:rFonts w:ascii="Arial" w:cs="Arial" w:eastAsia="Arial" w:hAnsi="Arial"/>
          <w:sz w:val="18"/>
          <w:szCs w:val="18"/>
          <w:color w:val="auto"/>
        </w:rPr>
      </w:pPr>
    </w:p>
    <w:p>
      <w:pPr>
        <w:ind w:left="780" w:hanging="25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adjusted for the Restructuring charges and CEO transition costs (“adjusted EBITDA”), of $20.0 million to $25.0 million.</w:t>
      </w:r>
    </w:p>
    <w:p>
      <w:pPr>
        <w:spacing w:after="0" w:line="111" w:lineRule="exact"/>
        <w:rPr>
          <w:rFonts w:ascii="Arial" w:cs="Arial" w:eastAsia="Arial" w:hAnsi="Arial"/>
          <w:sz w:val="18"/>
          <w:szCs w:val="18"/>
          <w:color w:val="auto"/>
        </w:rPr>
      </w:pPr>
    </w:p>
    <w:p>
      <w:pPr>
        <w:jc w:val="both"/>
        <w:ind w:left="780" w:right="80" w:hanging="257"/>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approximately $11.4 million, $2.1 million of which will be for new and remodeled stores to the DXL format and $9.3 million for digital and infrastructure projects, partially offset by approximately $1.1 million in tenant allowances. We expect to fund our capital expenditures from our operating cash flow.</w:t>
      </w:r>
    </w:p>
    <w:p>
      <w:pPr>
        <w:spacing w:after="0" w:line="82" w:lineRule="exact"/>
        <w:rPr>
          <w:rFonts w:ascii="Arial" w:cs="Arial" w:eastAsia="Arial" w:hAnsi="Arial"/>
          <w:sz w:val="18"/>
          <w:szCs w:val="18"/>
          <w:color w:val="auto"/>
        </w:rPr>
      </w:pPr>
    </w:p>
    <w:p>
      <w:pPr>
        <w:ind w:left="780" w:right="80" w:hanging="257"/>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fiscal 2018, we expect cash flow from operating activities of $20.5 million to $26.5 million (including tenant allowances), resulting in free cash flow, after all capital expenditures, of approximately $9.1 million to $15.1 million (inclusive of costs associated with restructuring and CEO transition).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First Six Months</w:t>
            </w:r>
          </w:p>
        </w:tc>
      </w:tr>
      <w:tr>
        <w:trPr>
          <w:trHeight w:val="152"/>
        </w:trPr>
        <w:tc>
          <w:tcPr>
            <w:tcW w:w="7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4"/>
                <w:szCs w:val="14"/>
                <w:i w:val="1"/>
                <w:iCs w:val="1"/>
                <w:color w:val="auto"/>
              </w:rPr>
              <w:t>(in millions)</w:t>
            </w:r>
          </w:p>
        </w:tc>
        <w:tc>
          <w:tcPr>
            <w:tcW w:w="1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fiscal 2017</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228.8</w:t>
            </w:r>
          </w:p>
        </w:tc>
        <w:tc>
          <w:tcPr>
            <w:tcW w:w="120" w:type="dxa"/>
            <w:vAlign w:val="bottom"/>
            <w:shd w:val="clear" w:color="auto" w:fill="CFF0FC"/>
          </w:tcPr>
          <w:p>
            <w:pPr>
              <w:spacing w:after="0"/>
              <w:rPr>
                <w:sz w:val="19"/>
                <w:szCs w:val="19"/>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8"/>
                <w:szCs w:val="18"/>
                <w:color w:val="auto"/>
              </w:rPr>
              <w:t>Less 2017 sales for stores that have closed /converted</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2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 to sales for the shift in calendar weeks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19"/>
        </w:trPr>
        <w:tc>
          <w:tcPr>
            <w:tcW w:w="786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116.9</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225.3</w:t>
            </w:r>
          </w:p>
        </w:tc>
        <w:tc>
          <w:tcPr>
            <w:tcW w:w="120" w:type="dxa"/>
            <w:vAlign w:val="bottom"/>
          </w:tcPr>
          <w:p>
            <w:pPr>
              <w:spacing w:after="0"/>
              <w:rPr>
                <w:sz w:val="19"/>
                <w:szCs w:val="19"/>
                <w:color w:val="auto"/>
              </w:rPr>
            </w:pPr>
          </w:p>
        </w:tc>
      </w:tr>
      <w:tr>
        <w:trPr>
          <w:trHeight w:val="225"/>
        </w:trPr>
        <w:tc>
          <w:tcPr>
            <w:tcW w:w="7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8"/>
                <w:szCs w:val="18"/>
                <w:color w:val="auto"/>
              </w:rPr>
              <w:t>Increase in comparable sales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26"/>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9"/>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Sales for fiscal 2018</w:t>
            </w:r>
          </w:p>
        </w:tc>
        <w:tc>
          <w:tcPr>
            <w:tcW w:w="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Total sales for the second quarter of fiscal 2018 increased 0.9% to $122.2 million from $121.1 million from the second quarter of fiscal 2017. The increase of $1.1 million in total sales was due to a comparable sales increase of 3.3%, or $3.8 million and an increase of $2.0 million in non-comparable sales from DXL stores open less than 13 months. These increases were partially offset by closed stores of $2.3 million and a $1.9 million shift in calendar weeks due to the 53rd week in fiscal 2017.</w:t>
      </w:r>
    </w:p>
    <w:p>
      <w:pPr>
        <w:spacing w:after="0" w:line="8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Our focus in fiscal 2018 is on achieving topline growth through customer acquisition, customer retention, and customer re-activation, and capturing a greater share of wallet by providing a great guest experience wherever our target customer decides to shop, whether in our stores or online. We are enhancing our digital presence and providing our customers with improved functionality and increased touchpoints across all of our e-commerce platforms with the objective of growing and retaining our customer base. On a trailing twelve-month basis, direct sales as a percentage of total sales were 21.2% at the end of the second quarter of fiscal 2018 as compared to 20.5% at the end of the second quarter of the prior year. For the first six months of fiscal 2018, our direct sales were 20.5%, up from 20.0% for the first six months of the prior year. We also saw increases in conversion, transactions and dollars per transactions during the second quarter, which contributed to topline growth.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end-of-rack customer represented 45.6% of our bottoms business, up slightly from 45.4% in the first six months of fiscal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second quarter of fiscal 2018, our gross margin rate, inclusive of occupancy costs, was 46.3% as compared to a gross margin rate of 46.1% for the second quarter of fiscal 2017. The 20 basis point improvement was the result of a 30 basis point decrease in occupancy costs as a percent of sales partially offset by a decrease of 10 basis points in merchandise margins.</w:t>
      </w:r>
    </w:p>
    <w:p>
      <w:pPr>
        <w:spacing w:after="0" w:line="8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For the first six months of fiscal 2018, our gross margin rate, inclusive of occupancy costs, was 45.5% as compared to 45.7% for the first six months of fiscal 2017. The decrease of 20 basis points was due to a decrease in merchandise margins of 70 basis points partially offset by a 50 basis point improvement in occupancy costs as a percent of sales.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decrease in merchandise margins for the second quarter and first six months of fiscal 2018 was related primarily to an increase in shipping costs. Occupancy costs, as a percentage of sales, improved as a result of the leveraging of the sales base. For the second quarter of fiscal 2018, occupancy costs decreased $0.2 million, related to closed stores, and were flat for the first six months of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a percentage of sales, SG&amp;A expenses for the second quarter of fiscal 2018 were 39.1% as compared to 40.5% for the second quarter of fiscal 2017. On a dollar basis, SG&amp;A decreased by $1.3 million for the second quarter of fiscal 2018. The decrease was due to a reduction in payroll and payroll related costs of $1.5 million and a $0.5 million decrease in marketing costs. These savings were partially offset by an increase of $0.8 million in costs related to e-commerce and technology initiatives.</w:t>
      </w:r>
    </w:p>
    <w:p>
      <w:pPr>
        <w:spacing w:after="0" w:line="8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first six months of fiscal 2018, SG&amp;A expenses were 39.6% as compared to 41.6% for the first six months of fiscal 2017. On a dollar basis, SG&amp;A expenses decreased $1.8 million, primarily due to a decrease in marketing costs of approximately $2.1 million, due to a reduction in the number of weeks in the Spring campaign, and a reduction in payroll and payroll related costs of approximately $1.1 million. These savings were partially offset by an increase of approximately $1.4 million in costs related to e-commerce and technology initiatives.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40"/>
        <w:spacing w:after="0" w:line="250" w:lineRule="auto"/>
        <w:rPr>
          <w:sz w:val="20"/>
          <w:szCs w:val="20"/>
          <w:color w:val="auto"/>
        </w:rPr>
      </w:pPr>
      <w:r>
        <w:rPr>
          <w:rFonts w:ascii="Arial" w:cs="Arial" w:eastAsia="Arial" w:hAnsi="Arial"/>
          <w:sz w:val="18"/>
          <w:szCs w:val="18"/>
          <w:color w:val="auto"/>
        </w:rPr>
        <w:t>SG&amp;A expenses are managed through two primary cost centers: Customer Facing Costs and Corporate Support Costs. Customer Facing Costs, which include store payroll, marketing, and other store operating costs, represented 23.6% of sales in the first six months of fiscal 2018 as compared to 24.6% of sales in the first six months of last year. Corporate Support Costs, which include the distribution center and corporate overhead costs, represented 16.1% of sales in the first six months of fiscal 2018 compared to 17.0% of sales in the first six months of last year. The Company will continue to address its SG&amp;A cost structure to improve its EBITDA margins and overall profitability.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1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the second quarter of fiscal 2017, we incurred an asset impairment charge of $1.7 million for the write-off of certain store assets. This amount was previously included in depreciation and amortization in the Consolidated Financial Statements for the second quarter and first six months of fiscal 2017 but was reclassified to impairment of assets in the Consolidated Financial Statements for fiscal year 2017. For consistency, the prior year results included in the Consolidated Financial Statements for the second quarter and first six months of fiscal 2018 reflect this year-end reclassification to impairment of assets.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Depreciation and amortization for the second quarter of fiscal 2018 decreased $0.5 million to $7.4 million as compared to $7.9 million for the second quarter of fiscal 2017. For the first six months of fiscal 2018, depreciation and amortization decreased $1.0 million to $14.7 million from $15.7 million for the first six months of fiscal 2017. With the DXL store growth substantially complete, our depreciation costs have started to decrease.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interest expense for the second quarter and first six months of fiscal 2018 of $1.0 million and $1.8 million, respectively, increased slightly from $0.8 million and $1.6 million for the second quarter and first six months of fiscal 2017, respectively. Net interest expense for the second quarter and first six months of fiscal 2018 include the write-off of approximately $0.2 million of unamortized debt issuance costs associated with entering into a New Credit Facility and the repayment of the Term Loan Facility, as discussed below. As a result of the New Credit Facility and the repayment of the Term Loan Facility, we expect to realize, on an annualized basis, savings of approximately $0.7 million due to more favorable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At August 4, 2018, we had total deferred tax assets of $52.8 million, total deferred tax liabilities of $4.7 million and a corresponding valuation allowance of</w:t>
      </w:r>
    </w:p>
    <w:p>
      <w:pPr>
        <w:spacing w:after="0" w:line="5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$48.1 million. The deferred tax assets included approximately $38.8 million of net operating loss carryforwards and approximately $2.8 million of deferred gain on our sale-leaseback and, to a lesser extent, other book/tax timing differences.</w:t>
      </w:r>
    </w:p>
    <w:p>
      <w:pPr>
        <w:spacing w:after="0" w:line="19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At the end of fiscal 2014, we established a full valuation allowance against our deferred tax assets. Based on our earnings guidance for fiscal 2018, we believe that a full valuation allowance continues to remain appropriate at this time.</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Beginning with the first quarter of fiscal 2018, we are calculating our tax provision based on the newly enacted U.S. statutory rate of 21%. Our tax provision for the second quarter and first six months of fiscal 2018 and fiscal 2017 was primarily due to current state margin tax. The second quarter and first six months of fiscal 2018 included a tax expense of $21,000 and $47,000, respectively, in other comprehensive income (loss), which resulted in a tax benefit on the Consolidated Statement of Operations related to the corresponding decrease in valuation allowance.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For the second quarter of fiscal 2018, we had a net loss of $(1.2) million, or $(0.02) per diluted share, compared with a net loss of $(3.7) million, or $(0.08) per diluted share, for the second quarter of fiscal 2017. For the first six months of fiscal 2018, we had a net loss of $(4.3) million, or $(0.09) per diluted share, as compared with a net loss of $(9.8) million, or $(0.20) per diluted share for the first six months of fiscal 2017.</w:t>
      </w:r>
    </w:p>
    <w:p>
      <w:pPr>
        <w:spacing w:after="0" w:line="66"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Results for the second quarter and first six months of fiscal 2018 include a charge of $1.6 million associated with the Company’s restructuring discussed above. Results for the second quarter and first six months of fiscal 2017 included an impairment charge of $1.7 million for the write-down of certain store assets.</w:t>
      </w:r>
    </w:p>
    <w:p>
      <w:pPr>
        <w:spacing w:after="0" w:line="8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On a non-GAAP basis, the adjusted net income (loss) for the second quarter and first six months of fiscal 2018 was $0.01 and $(0.04) per diluted share, respectively, as compared to the adjusted net loss of $(0.03) per diluted share and $(0.12) per diluted share for the second quarter and first six months of fiscal 2017, respectively. The second quarter and first six months of fiscal 2018 was adjusted for the restructuring charge of $1.6 million and the second quarter and first six months of fiscal 2017 was adjusted for the impairment charge of $1.7 million. Further, all periods were adjusted to assume a normalized tax rate of 26%.</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Inventory</w:t>
      </w:r>
    </w:p>
    <w:p>
      <w:pPr>
        <w:spacing w:after="0" w:line="111"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At August 4, 2018, total inventory was $102.9 million compared to $103.3 million at February 3, 2018 and $112.3 million at July 29, 2017. The 8.4% decrease of $9.4 million from July 29, 2017 was due to inventory initiatives that began in fiscal 2016 to improve timing of receipts and reduce weeks of supply on hand. At August 4, 2018, our clearance inventory, which includes inventory in our “dots” program as well as certain merchandise that has been permanently marked down, represented 10.1% of our total inventory, as compared to 9.8% at July 29, 2017. On a unit basis, our clearance inventory has decreased 6.2% from July 29, 2017 to August 4,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amended and restated in May 2018.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capital expenditures in fiscal 2018 are expected to be approximately $11.4 million, and while capital expenditures may have to be funded periodically during the year from our credit facility, by the end of fiscal 2018 all capital expenditures are expected to be funded from cash flow from operations. We currently believe that our existing cash generated by operations together with our credit facility will be sufficient within current forecasts for us to meet our foreseeable liquidity requirements.</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For fiscal 2018, we expect cash flow from operating activities of $20.5 million to $26.5 million (including tenant allowances), and positive free cash flow of $9.1 million to $15.1 million that we expect to use to reduce outstanding debt.</w:t>
      </w:r>
    </w:p>
    <w:p>
      <w:pPr>
        <w:spacing w:after="0" w:line="179"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Cash flow from operations for the first six months of fiscal 2018 was $6.8 million, compared to $14.3 million for the first six months of fiscal 2017. This decrease in cash flow from operations was primarily due to the prior year benefiting by approximately $5.0 million from inventory reduction initiatives and a decrease from the prior year in tenant allowances of approximately $3.0 million, which corresponds to our decrease in capital expenditures. Capital expenditures for the first six months of fiscal 2018 decreased to $7.4 million as compared to $13.8 million for the first six months of fiscal 2017, due to opening fewer stores. For the first six months of fiscal 2018, we opened two DXL stores, one DXL outlet store and rebranded three Casual Male XL stores to DXL stores, as compared to 15 store openings for the first six months of fiscal 2017. Partially offsetting this decrease in store capital was an increase in capital expenditures related to our IT and website initiatives. The majority of the planned capital for these IT and website initiatives was incurred in the first half of fiscal 2018. Free cash flow, a non-GAAP measure, was $(0.6) million for the first six months of fiscal 2018 as compared to $0.6 million for the first six months of fiscal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August 4, 2018 with the associated unamortized debt issuance costs: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w w:val="98"/>
              </w:rPr>
              <w:t>Gross Debt Outstanding</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5"/>
              </w:rPr>
              <w:t>Less Debt Issuance Costs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96"/>
              </w:rPr>
              <w:t>Net Debt Outstanding</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46,832</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spacing w:after="0"/>
              <w:rPr>
                <w:sz w:val="20"/>
                <w:szCs w:val="20"/>
                <w:color w:val="auto"/>
              </w:rPr>
            </w:pPr>
            <w:r>
              <w:rPr>
                <w:rFonts w:ascii="Arial" w:cs="Arial" w:eastAsia="Arial" w:hAnsi="Arial"/>
                <w:sz w:val="18"/>
                <w:szCs w:val="18"/>
                <w:color w:val="auto"/>
              </w:rPr>
              <w:t>FILO loan</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4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61,832</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(673)</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right"/>
              <w:ind w:right="1455"/>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New Credit Facility</w:t>
      </w:r>
    </w:p>
    <w:p>
      <w:pPr>
        <w:spacing w:after="0" w:line="11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In the second quarter of fiscal 2018, we amended and restated our credit facility with Bank of America, N.A (our “New Credit Facility”) which extended the maturity date to May 24, 2023. The New Credit Facility continues to provide for a maximum committed borrowing of $125.0 million, which, pursuant to an accordion feature, could be increased to $175.0 million upon our request and the agreement of the lender(s) participating in the increase (the “Revolving Facility”). The New Credit Facility includes a sublimit of $20.0 million for commercial and standby letters of credit and a sublimit of up to $15.0 million for swingline loans. Borrowings made pursuant to the Revolving Facility under the New Credit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7"/>
          <w:szCs w:val="17"/>
          <w:color w:val="000033"/>
        </w:rPr>
        <w:t>0.50%,</w:t>
      </w:r>
      <w:r>
        <w:rPr>
          <w:rFonts w:ascii="Arial" w:cs="Arial" w:eastAsia="Arial" w:hAnsi="Arial"/>
          <w:sz w:val="17"/>
          <w:szCs w:val="17"/>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7"/>
          <w:szCs w:val="17"/>
          <w:color w:val="000033"/>
        </w:rPr>
        <w:t>1.25% or 1.50%.</w:t>
      </w:r>
    </w:p>
    <w:p>
      <w:pPr>
        <w:spacing w:after="0" w:line="18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had outstanding borrowings of $46.8 million under the New Credit Facility at August 4, 2018. At August 4, 2018, outstanding standby letters of credit were $2.8 million and outstanding documentary letters of credit were $0.5 million. The average monthly borrowing outstanding under the our credit facility during the first six months ended August 4, 2018 was approximately $57.1 million, resulting in an average unused excess availability of approximately $33.3 million. Unused excess availability at August 4, 2018 was $41.3 million.</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New Credit Facility also included a FILO facility for $15.0 million, the proceeds of which were used to repay our previous Term Loan Facility. The total borrowing capacity under the FILO Facility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Facility during the first year. After its one-year anniversary, the FILO Facility can be repaid, in whole or in part, subject to certain payment conditions.</w:t>
      </w:r>
    </w:p>
    <w:p>
      <w:pPr>
        <w:spacing w:after="0" w:line="3"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color w:val="000033"/>
        </w:rPr>
        <w:t xml:space="preserve">Borrowings made under the FILO Facility will bear interest, </w:t>
      </w:r>
      <w:r>
        <w:rPr>
          <w:rFonts w:ascii="Arial" w:cs="Arial" w:eastAsia="Arial" w:hAnsi="Arial"/>
          <w:sz w:val="15"/>
          <w:szCs w:val="15"/>
          <w:color w:val="000000"/>
        </w:rPr>
        <w:t>calculated under either the Federal Funds rate or the LIBOR rate, at a rate equal to the following: (a)</w:t>
      </w:r>
      <w:r>
        <w:rPr>
          <w:rFonts w:ascii="Arial" w:cs="Arial" w:eastAsia="Arial" w:hAnsi="Arial"/>
          <w:sz w:val="15"/>
          <w:szCs w:val="15"/>
          <w:color w:val="000033"/>
        </w:rPr>
        <w:t xml:space="preserve"> </w:t>
      </w:r>
      <w:r>
        <w:rPr>
          <w:rFonts w:ascii="Arial" w:cs="Arial" w:eastAsia="Arial" w:hAnsi="Arial"/>
          <w:sz w:val="15"/>
          <w:szCs w:val="15"/>
          <w:color w:val="000000"/>
        </w:rPr>
        <w:t xml:space="preserve">the Federal Funds rate plus a varying percentage based on the Company’s excess availability, of either </w:t>
      </w:r>
      <w:r>
        <w:rPr>
          <w:rFonts w:ascii="Arial" w:cs="Arial" w:eastAsia="Arial" w:hAnsi="Arial"/>
          <w:sz w:val="15"/>
          <w:szCs w:val="15"/>
          <w:color w:val="000033"/>
        </w:rPr>
        <w:t>1.75% or 2.00%</w:t>
      </w:r>
      <w:r>
        <w:rPr>
          <w:rFonts w:ascii="Arial" w:cs="Arial" w:eastAsia="Arial" w:hAnsi="Arial"/>
          <w:sz w:val="15"/>
          <w:szCs w:val="15"/>
          <w:color w:val="000000"/>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5"/>
          <w:szCs w:val="15"/>
          <w:color w:val="000033"/>
        </w:rPr>
        <w:t>2.75% or 3.00%. At August 4, 2018, the outstanding balance of $15.0 million was in a 2-month LIBOR-based contract with an interest rate of 4.87%.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previously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were secured by a security interest in all of our rights, title and interest in and to certain equipment. The Notes accrued interest at fixed rates ranging from 3.07% to 3.50%. During the second quarter of fiscal 2018, the Company repaid in full the remaining balance on these Notes, without penalty.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previously had a senior secured term loan facility with Wells Fargo Bank, National Association as administrative and collateral agent (the “Term Loan Facility”). The interest rate on the Term Loan Facility was equal to the greater of (a) 1.00% and (b) the one-month LIBOR rate, plus 6.50%. The Term Loan Facility, with a maturity date of October 29, 2019 and an outstanding balance of $11.5 million, was repaid in full, without penalty, during the second quarter of fiscal 2018 in connection with the New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August 4, 2018 and July 29, 2017, respectively: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color w:val="auto"/>
                <w:w w:val="91"/>
              </w:rPr>
              <w:t>August 4, 2018</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900"/>
              <w:spacing w:after="0"/>
              <w:rPr>
                <w:sz w:val="20"/>
                <w:szCs w:val="20"/>
                <w:color w:val="auto"/>
              </w:rPr>
            </w:pPr>
            <w:r>
              <w:rPr>
                <w:rFonts w:ascii="Arial" w:cs="Arial" w:eastAsia="Arial" w:hAnsi="Arial"/>
                <w:sz w:val="14"/>
                <w:szCs w:val="14"/>
                <w:color w:val="auto"/>
                <w:w w:val="96"/>
              </w:rPr>
              <w:t>July 29, 2017</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580"/>
              <w:spacing w:after="0" w:line="146" w:lineRule="exact"/>
              <w:rPr>
                <w:sz w:val="20"/>
                <w:szCs w:val="20"/>
                <w:color w:val="auto"/>
              </w:rPr>
            </w:pPr>
            <w:r>
              <w:rPr>
                <w:rFonts w:ascii="Arial" w:cs="Arial" w:eastAsia="Arial" w:hAnsi="Arial"/>
                <w:sz w:val="14"/>
                <w:szCs w:val="14"/>
                <w:color w:val="auto"/>
                <w:w w:val="94"/>
              </w:rPr>
              <w:t>Number of</w:t>
            </w:r>
          </w:p>
        </w:tc>
        <w:tc>
          <w:tcPr>
            <w:tcW w:w="108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88"/>
              </w:rPr>
              <w:t>Square</w:t>
            </w:r>
          </w:p>
        </w:tc>
        <w:tc>
          <w:tcPr>
            <w:tcW w:w="1720" w:type="dxa"/>
            <w:vAlign w:val="bottom"/>
            <w:gridSpan w:val="3"/>
          </w:tcPr>
          <w:p>
            <w:pPr>
              <w:jc w:val="center"/>
              <w:ind w:right="560"/>
              <w:spacing w:after="0" w:line="146" w:lineRule="exact"/>
              <w:rPr>
                <w:sz w:val="20"/>
                <w:szCs w:val="20"/>
                <w:color w:val="auto"/>
              </w:rPr>
            </w:pPr>
            <w:r>
              <w:rPr>
                <w:rFonts w:ascii="Arial" w:cs="Arial" w:eastAsia="Arial" w:hAnsi="Arial"/>
                <w:sz w:val="14"/>
                <w:szCs w:val="14"/>
                <w:color w:val="auto"/>
                <w:w w:val="91"/>
              </w:rPr>
              <w:t>Number of</w:t>
            </w:r>
          </w:p>
        </w:tc>
        <w:tc>
          <w:tcPr>
            <w:tcW w:w="9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8"/>
              </w:rPr>
              <w:t>Square</w:t>
            </w:r>
          </w:p>
        </w:tc>
        <w:tc>
          <w:tcPr>
            <w:tcW w:w="20" w:type="dxa"/>
            <w:vAlign w:val="bottom"/>
          </w:tcPr>
          <w:p>
            <w:pPr>
              <w:spacing w:after="0"/>
              <w:rPr>
                <w:sz w:val="12"/>
                <w:szCs w:val="12"/>
                <w:color w:val="auto"/>
              </w:rPr>
            </w:pPr>
          </w:p>
        </w:tc>
      </w:tr>
      <w:tr>
        <w:trPr>
          <w:trHeight w:val="164"/>
        </w:trPr>
        <w:tc>
          <w:tcPr>
            <w:tcW w:w="3660" w:type="dxa"/>
            <w:vAlign w:val="bottom"/>
          </w:tcPr>
          <w:p>
            <w:pPr>
              <w:spacing w:after="0"/>
              <w:rPr>
                <w:sz w:val="20"/>
                <w:szCs w:val="20"/>
                <w:color w:val="auto"/>
              </w:rPr>
            </w:pPr>
            <w:r>
              <w:rPr>
                <w:rFonts w:ascii="Arial" w:cs="Arial" w:eastAsia="Arial" w:hAnsi="Arial"/>
                <w:sz w:val="14"/>
                <w:szCs w:val="14"/>
                <w:color w:val="auto"/>
              </w:rPr>
              <w:t>Store Concept</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4"/>
                <w:szCs w:val="14"/>
                <w:color w:val="auto"/>
                <w:w w:val="88"/>
              </w:rPr>
              <w:t>Stores</w:t>
            </w: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Footage</w:t>
            </w:r>
          </w:p>
        </w:tc>
        <w:tc>
          <w:tcPr>
            <w:tcW w:w="1720" w:type="dxa"/>
            <w:vAlign w:val="bottom"/>
            <w:gridSpan w:val="3"/>
          </w:tcPr>
          <w:p>
            <w:pPr>
              <w:jc w:val="center"/>
              <w:ind w:right="560"/>
              <w:spacing w:after="0"/>
              <w:rPr>
                <w:sz w:val="20"/>
                <w:szCs w:val="20"/>
                <w:color w:val="auto"/>
              </w:rPr>
            </w:pPr>
            <w:r>
              <w:rPr>
                <w:rFonts w:ascii="Arial" w:cs="Arial" w:eastAsia="Arial" w:hAnsi="Arial"/>
                <w:sz w:val="14"/>
                <w:szCs w:val="14"/>
                <w:color w:val="auto"/>
                <w:w w:val="88"/>
              </w:rPr>
              <w:t>Stores</w:t>
            </w:r>
          </w:p>
        </w:tc>
        <w:tc>
          <w:tcPr>
            <w:tcW w:w="96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Footage</w:t>
            </w:r>
          </w:p>
        </w:tc>
        <w:tc>
          <w:tcPr>
            <w:tcW w:w="20" w:type="dxa"/>
            <w:vAlign w:val="bottom"/>
          </w:tcPr>
          <w:p>
            <w:pPr>
              <w:spacing w:after="0"/>
              <w:rPr>
                <w:sz w:val="14"/>
                <w:szCs w:val="14"/>
                <w:color w:val="auto"/>
              </w:rPr>
            </w:pPr>
          </w:p>
        </w:tc>
      </w:tr>
      <w:tr>
        <w:trPr>
          <w:trHeight w:val="194"/>
        </w:trPr>
        <w:tc>
          <w:tcPr>
            <w:tcW w:w="36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(square footage in thousands)</w:t>
            </w:r>
          </w:p>
        </w:tc>
        <w:tc>
          <w:tcPr>
            <w:tcW w:w="2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36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DXL Retail</w:t>
            </w:r>
          </w:p>
        </w:tc>
        <w:tc>
          <w:tcPr>
            <w:tcW w:w="3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DXL Outlets</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3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Casual Male Outlets</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2280" w:type="dxa"/>
            <w:vAlign w:val="bottom"/>
            <w:gridSpan w:val="2"/>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660" w:type="dxa"/>
            <w:vAlign w:val="bottom"/>
          </w:tcPr>
          <w:p>
            <w:pPr>
              <w:spacing w:after="0"/>
              <w:rPr>
                <w:sz w:val="20"/>
                <w:szCs w:val="20"/>
                <w:color w:val="auto"/>
              </w:rPr>
            </w:pPr>
            <w:r>
              <w:rPr>
                <w:rFonts w:ascii="Arial" w:cs="Arial" w:eastAsia="Arial" w:hAnsi="Arial"/>
                <w:sz w:val="18"/>
                <w:szCs w:val="18"/>
                <w:color w:val="auto"/>
              </w:rPr>
              <w:t>Total Stores</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4"/>
        </w:trPr>
        <w:tc>
          <w:tcPr>
            <w:tcW w:w="36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36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Below is a summary of store openings and closings from February 3, 2018 to August 4,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DXL</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Casual Male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Casual Male</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Rochester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Stores:</w:t>
            </w: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DXL</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Outlets</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XL Retail</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XL Outlets</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Clothing</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Total Stores</w:t>
            </w:r>
          </w:p>
        </w:tc>
        <w:tc>
          <w:tcPr>
            <w:tcW w:w="100" w:type="dxa"/>
            <w:vAlign w:val="bottom"/>
            <w:tcBorders>
              <w:bottom w:val="single" w:sz="8" w:color="CFF0FC"/>
            </w:tcBorders>
          </w:tcPr>
          <w:p>
            <w:pPr>
              <w:spacing w:after="0"/>
              <w:rPr>
                <w:sz w:val="19"/>
                <w:szCs w:val="19"/>
                <w:color w:val="auto"/>
              </w:rPr>
            </w:pPr>
          </w:p>
        </w:tc>
      </w:tr>
      <w:tr>
        <w:trPr>
          <w:trHeight w:val="21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At February 3, 2018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r>
      <w:tr>
        <w:trPr>
          <w:trHeight w:val="225"/>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Rebranded stores </w:t>
            </w:r>
            <w:r>
              <w:rPr>
                <w:rFonts w:ascii="Arial" w:cs="Arial" w:eastAsia="Arial" w:hAnsi="Arial"/>
                <w:sz w:val="15"/>
                <w:szCs w:val="15"/>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5"/>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(4)</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18"/>
        </w:trPr>
        <w:tc>
          <w:tcPr>
            <w:tcW w:w="4740" w:type="dxa"/>
            <w:vAlign w:val="bottom"/>
            <w:gridSpan w:val="2"/>
          </w:tcPr>
          <w:p>
            <w:pPr>
              <w:spacing w:after="0"/>
              <w:rPr>
                <w:sz w:val="20"/>
                <w:szCs w:val="20"/>
                <w:color w:val="auto"/>
              </w:rPr>
            </w:pPr>
            <w:r>
              <w:rPr>
                <w:rFonts w:ascii="Arial" w:cs="Arial" w:eastAsia="Arial" w:hAnsi="Arial"/>
                <w:sz w:val="18"/>
                <w:szCs w:val="18"/>
                <w:color w:val="auto"/>
              </w:rPr>
              <w:t>At August 4,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r>
    </w:tbl>
    <w:p>
      <w:pPr>
        <w:ind w:left="520" w:hanging="514"/>
        <w:spacing w:after="0" w:line="237" w:lineRule="auto"/>
        <w:tabs>
          <w:tab w:leader="none" w:pos="520" w:val="left"/>
        </w:tabs>
        <w:numPr>
          <w:ilvl w:val="0"/>
          <w:numId w:val="8"/>
        </w:numPr>
        <w:rPr>
          <w:rFonts w:ascii="Arial" w:cs="Arial" w:eastAsia="Arial" w:hAnsi="Arial"/>
          <w:sz w:val="28"/>
          <w:szCs w:val="28"/>
          <w:color w:val="auto"/>
          <w:vertAlign w:val="superscript"/>
        </w:rPr>
      </w:pPr>
      <w:r>
        <w:rPr>
          <w:rFonts w:ascii="Arial" w:cs="Arial" w:eastAsia="Arial" w:hAnsi="Arial"/>
          <w:sz w:val="18"/>
          <w:szCs w:val="18"/>
          <w:color w:val="auto"/>
        </w:rPr>
        <w:t>Represents stores opened in new markets.</w:t>
      </w:r>
    </w:p>
    <w:p>
      <w:pPr>
        <w:spacing w:after="0" w:line="2" w:lineRule="exact"/>
        <w:rPr>
          <w:rFonts w:ascii="Arial" w:cs="Arial" w:eastAsia="Arial" w:hAnsi="Arial"/>
          <w:sz w:val="28"/>
          <w:szCs w:val="28"/>
          <w:color w:val="auto"/>
          <w:vertAlign w:val="superscript"/>
        </w:rPr>
      </w:pPr>
    </w:p>
    <w:p>
      <w:pPr>
        <w:ind w:left="520" w:hanging="514"/>
        <w:spacing w:after="0" w:line="182"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Represents Casual Male XL stores that were remodeled and rebranded to a DXL store.</w:t>
      </w:r>
    </w:p>
    <w:p>
      <w:pPr>
        <w:spacing w:after="0" w:line="2" w:lineRule="exact"/>
        <w:rPr>
          <w:rFonts w:ascii="Arial" w:cs="Arial" w:eastAsia="Arial" w:hAnsi="Arial"/>
          <w:sz w:val="24"/>
          <w:szCs w:val="24"/>
          <w:color w:val="auto"/>
          <w:vertAlign w:val="superscript"/>
        </w:rPr>
      </w:pPr>
    </w:p>
    <w:p>
      <w:pPr>
        <w:ind w:left="520" w:right="400" w:hanging="514"/>
        <w:spacing w:after="0" w:line="191" w:lineRule="auto"/>
        <w:tabs>
          <w:tab w:leader="none" w:pos="520" w:val="left"/>
        </w:tabs>
        <w:numPr>
          <w:ilvl w:val="0"/>
          <w:numId w:val="8"/>
        </w:numPr>
        <w:rPr>
          <w:rFonts w:ascii="Arial" w:cs="Arial" w:eastAsia="Arial" w:hAnsi="Arial"/>
          <w:sz w:val="28"/>
          <w:szCs w:val="28"/>
          <w:color w:val="auto"/>
          <w:vertAlign w:val="superscript"/>
        </w:rPr>
      </w:pPr>
      <w:r>
        <w:rPr>
          <w:rFonts w:ascii="Arial" w:cs="Arial" w:eastAsia="Arial" w:hAnsi="Arial"/>
          <w:sz w:val="18"/>
          <w:szCs w:val="18"/>
          <w:color w:val="auto"/>
        </w:rPr>
        <w:t>Represents the total number of DXL stores opened in existing markets with the corresponding total number of Casual Male XL stores closed in such markets in connection with those DXL store openings.</w:t>
      </w:r>
    </w:p>
    <w:p>
      <w:pPr>
        <w:ind w:left="520" w:hanging="514"/>
        <w:spacing w:after="0" w:line="184" w:lineRule="auto"/>
        <w:tabs>
          <w:tab w:leader="none" w:pos="52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Represents closed stores for which there were no corresponding openings in the same market.</w:t>
      </w:r>
    </w:p>
    <w:p>
      <w:pPr>
        <w:spacing w:after="0" w:line="201"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Our capital expenditures for the first six months of fiscal 2018 were $7.4 million as compared to $13.8 million for the first six months of fiscal 2017. We have opened 2 DXL retail stores, 1 DXL outlet and rebranded 3 Casual Male XL stores to a DXL during the first six months of fiscal 2018 as compared to 14 DXL retail stores and 1 DXL outlet for the first six months of fiscal 2017.</w:t>
      </w:r>
    </w:p>
    <w:p>
      <w:pPr>
        <w:spacing w:after="0" w:line="18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For fiscal 2018, our capital expenditures are expected to be approximately $11.4 million and we expect to receive approximately $1.1 million in tenant allowances to offset these expenditures. This includes approximately $2.1 million, excluding any allowance, related to the opening of 2 new DXL retail stores, the remodeling of 3 Casual Male XL to DXL retail stores and 1 DXL outlet store, and approximately $9.3 million for continued information technology projects, website initiatives and general overhead projects. In addition, for fiscal 2018, we expect to close approximately 9 Casual Male XL stores, 3 Casual Male XL outlet stores and 1 DXL store.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3"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There have been no material changes to the critical accounting policies and estimates disclosed in our Form 10-K for the year ended February 3, 2018. See Note 1 to the Consolidated Financial Statements included in this report for information on recent accounting pronouncements and changes in accounting principles.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Adjusted net income (loss), adjusted net income (loss) per diluted share, free cash flow, EBITDA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w:t>
      </w:r>
      <w:r>
        <w:rPr>
          <w:rFonts w:ascii="Arial" w:cs="Arial" w:eastAsia="Arial" w:hAnsi="Arial"/>
          <w:sz w:val="17"/>
          <w:szCs w:val="17"/>
          <w:color w:val="auto"/>
        </w:rPr>
        <w:t xml:space="preserve"> </w:t>
      </w:r>
      <w:r>
        <w:rPr>
          <w:rFonts w:ascii="Arial" w:cs="Arial" w:eastAsia="Arial" w:hAnsi="Arial"/>
          <w:sz w:val="17"/>
          <w:szCs w:val="17"/>
          <w:i w:val="1"/>
          <w:iCs w:val="1"/>
          <w:color w:val="auto"/>
        </w:rPr>
        <w:t>rounding)</w:t>
      </w:r>
      <w:r>
        <w:rPr>
          <w:rFonts w:ascii="Arial" w:cs="Arial" w:eastAsia="Arial" w:hAnsi="Arial"/>
          <w:sz w:val="17"/>
          <w:szCs w:val="17"/>
          <w:color w:val="auto"/>
        </w:rPr>
        <w:t>:</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u w:val="single" w:color="auto"/>
          <w:color w:val="auto"/>
        </w:rPr>
        <w:t>Adjusted net income (loss) and adjusted net income (loss) per diluted share</w:t>
      </w:r>
      <w:r>
        <w:rPr>
          <w:rFonts w:ascii="Arial" w:cs="Arial" w:eastAsia="Arial" w:hAnsi="Arial"/>
          <w:sz w:val="18"/>
          <w:szCs w:val="18"/>
          <w:color w:val="auto"/>
        </w:rPr>
        <w:t>. The above discussion includes an adjusted net income (loss) for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first six months of fiscal 2018 and fiscal 2017 on a non-GAAP basis, which reflected results before corporate restructuring, impairment charges and assumes a normal tax rate of 26%.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effective tax rate of 26%.</w:t>
      </w:r>
    </w:p>
    <w:p>
      <w:pPr>
        <w:spacing w:after="0" w:line="195"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following is a reconciliation of the net loss to adjusted net income (loss), adjusted for corporate restructuring charge and impairment charges and assumes a normal tax rate of 26% for the second quarter and first six months of fiscal 2018 and fiscal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tcPr>
          <w:p>
            <w:pPr>
              <w:jc w:val="right"/>
              <w:ind w:right="160"/>
              <w:spacing w:after="0"/>
              <w:rPr>
                <w:sz w:val="20"/>
                <w:szCs w:val="20"/>
                <w:color w:val="auto"/>
              </w:rPr>
            </w:pPr>
            <w:r>
              <w:rPr>
                <w:rFonts w:ascii="Arial" w:cs="Arial" w:eastAsia="Arial" w:hAnsi="Arial"/>
                <w:sz w:val="14"/>
                <w:szCs w:val="14"/>
                <w:color w:val="auto"/>
                <w:w w:val="90"/>
              </w:rPr>
              <w:t>For the three months ended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140"/>
              <w:spacing w:after="0"/>
              <w:rPr>
                <w:sz w:val="20"/>
                <w:szCs w:val="20"/>
                <w:color w:val="auto"/>
              </w:rPr>
            </w:pPr>
            <w:r>
              <w:rPr>
                <w:rFonts w:ascii="Arial" w:cs="Arial" w:eastAsia="Arial" w:hAnsi="Arial"/>
                <w:sz w:val="14"/>
                <w:szCs w:val="14"/>
                <w:color w:val="auto"/>
                <w:w w:val="91"/>
              </w:rPr>
              <w:t>For the six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color w:val="auto"/>
              </w:rPr>
              <w:t>August 4, 2018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color w:val="auto"/>
              </w:rPr>
              <w:t>July 29, 2017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color w:val="auto"/>
              </w:rPr>
              <w:t>August 4, 2018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color w:val="auto"/>
              </w:rPr>
              <w:t>July 29, 2017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9"/>
              <w:spacing w:after="0" w:line="134" w:lineRule="exact"/>
              <w:rPr>
                <w:sz w:val="20"/>
                <w:szCs w:val="20"/>
                <w:color w:val="auto"/>
              </w:rPr>
            </w:pPr>
            <w:r>
              <w:rPr>
                <w:rFonts w:ascii="Arial" w:cs="Arial" w:eastAsia="Arial" w:hAnsi="Arial"/>
                <w:sz w:val="14"/>
                <w:szCs w:val="14"/>
                <w:color w:val="auto"/>
                <w:w w:val="89"/>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9"/>
              <w:spacing w:after="0" w:line="134" w:lineRule="exact"/>
              <w:rPr>
                <w:sz w:val="20"/>
                <w:szCs w:val="20"/>
                <w:color w:val="auto"/>
              </w:rPr>
            </w:pPr>
            <w:r>
              <w:rPr>
                <w:rFonts w:ascii="Arial" w:cs="Arial" w:eastAsia="Arial" w:hAnsi="Arial"/>
                <w:sz w:val="14"/>
                <w:szCs w:val="14"/>
                <w:color w:val="auto"/>
                <w:w w:val="89"/>
              </w:rPr>
              <w:t>Per 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9"/>
              <w:spacing w:after="0" w:line="134" w:lineRule="exact"/>
              <w:rPr>
                <w:sz w:val="20"/>
                <w:szCs w:val="20"/>
                <w:color w:val="auto"/>
              </w:rPr>
            </w:pPr>
            <w:r>
              <w:rPr>
                <w:rFonts w:ascii="Arial" w:cs="Arial" w:eastAsia="Arial" w:hAnsi="Arial"/>
                <w:sz w:val="14"/>
                <w:szCs w:val="14"/>
                <w:color w:val="auto"/>
                <w:w w:val="95"/>
              </w:rPr>
              <w:t>Per 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color w:val="auto"/>
                <w:w w:val="98"/>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3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39"/>
        </w:trPr>
        <w:tc>
          <w:tcPr>
            <w:tcW w:w="4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Net loss (GAAP basis)</w:t>
            </w:r>
          </w:p>
        </w:tc>
        <w:tc>
          <w:tcPr>
            <w:tcW w:w="22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(1,185)</w:t>
            </w:r>
          </w:p>
        </w:tc>
        <w:tc>
          <w:tcPr>
            <w:tcW w:w="1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00"/>
              <w:spacing w:after="0" w:line="153" w:lineRule="exact"/>
              <w:rPr>
                <w:sz w:val="20"/>
                <w:szCs w:val="20"/>
                <w:color w:val="auto"/>
              </w:rPr>
            </w:pPr>
            <w:r>
              <w:rPr>
                <w:rFonts w:ascii="Arial" w:cs="Arial" w:eastAsia="Arial" w:hAnsi="Arial"/>
                <w:sz w:val="14"/>
                <w:szCs w:val="14"/>
                <w:color w:val="auto"/>
              </w:rPr>
              <w:t>(0.02)</w:t>
            </w:r>
          </w:p>
        </w:tc>
        <w:tc>
          <w:tcPr>
            <w:tcW w:w="22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80"/>
              <w:spacing w:after="0" w:line="153" w:lineRule="exact"/>
              <w:rPr>
                <w:sz w:val="20"/>
                <w:szCs w:val="20"/>
                <w:color w:val="auto"/>
              </w:rPr>
            </w:pPr>
            <w:r>
              <w:rPr>
                <w:rFonts w:ascii="Arial" w:cs="Arial" w:eastAsia="Arial" w:hAnsi="Arial"/>
                <w:sz w:val="14"/>
                <w:szCs w:val="14"/>
                <w:color w:val="auto"/>
              </w:rPr>
              <w:t>(3,731)</w:t>
            </w:r>
          </w:p>
        </w:tc>
        <w:tc>
          <w:tcPr>
            <w:tcW w:w="8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(0.08)</w:t>
            </w:r>
          </w:p>
        </w:tc>
        <w:tc>
          <w:tcPr>
            <w:tcW w:w="240" w:type="dxa"/>
            <w:vAlign w:val="bottom"/>
            <w:gridSpan w:val="2"/>
            <w:shd w:val="clear" w:color="auto" w:fill="CFF0FC"/>
          </w:tcPr>
          <w:p>
            <w:pPr>
              <w:jc w:val="right"/>
              <w:ind w:right="50"/>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(4,295)</w:t>
            </w:r>
          </w:p>
        </w:tc>
        <w:tc>
          <w:tcPr>
            <w:tcW w:w="16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(0.09)</w:t>
            </w:r>
          </w:p>
        </w:tc>
        <w:tc>
          <w:tcPr>
            <w:tcW w:w="220" w:type="dxa"/>
            <w:vAlign w:val="bottom"/>
            <w:gridSpan w:val="2"/>
            <w:shd w:val="clear" w:color="auto" w:fill="CFF0FC"/>
          </w:tcPr>
          <w:p>
            <w:pPr>
              <w:jc w:val="right"/>
              <w:ind w:right="30"/>
              <w:spacing w:after="0" w:line="15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80"/>
              <w:spacing w:after="0" w:line="153" w:lineRule="exact"/>
              <w:rPr>
                <w:sz w:val="20"/>
                <w:szCs w:val="20"/>
                <w:color w:val="auto"/>
              </w:rPr>
            </w:pPr>
            <w:r>
              <w:rPr>
                <w:rFonts w:ascii="Arial" w:cs="Arial" w:eastAsia="Arial" w:hAnsi="Arial"/>
                <w:sz w:val="14"/>
                <w:szCs w:val="14"/>
                <w:color w:val="auto"/>
              </w:rPr>
              <w:t>(9,796)</w:t>
            </w:r>
          </w:p>
        </w:tc>
        <w:tc>
          <w:tcPr>
            <w:tcW w:w="200" w:type="dxa"/>
            <w:vAlign w:val="bottom"/>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40"/>
              <w:spacing w:after="0" w:line="153"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Adjust: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shd w:val="clear" w:color="auto" w:fill="CFF0FC"/>
          </w:tcPr>
          <w:p>
            <w:pPr>
              <w:ind w:left="100"/>
              <w:spacing w:after="0" w:line="159" w:lineRule="exact"/>
              <w:rPr>
                <w:sz w:val="20"/>
                <w:szCs w:val="20"/>
                <w:color w:val="auto"/>
              </w:rPr>
            </w:pPr>
            <w:r>
              <w:rPr>
                <w:rFonts w:ascii="Arial" w:cs="Arial" w:eastAsia="Arial" w:hAnsi="Arial"/>
                <w:sz w:val="14"/>
                <w:szCs w:val="14"/>
                <w:color w:val="auto"/>
              </w:rPr>
              <w:t>Corporate restructuring</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1,570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Impairment of 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1,718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1,718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shd w:val="clear" w:color="auto" w:fill="CFF0FC"/>
          </w:tcPr>
          <w:p>
            <w:pPr>
              <w:ind w:left="100"/>
              <w:spacing w:after="0" w:line="159" w:lineRule="exact"/>
              <w:rPr>
                <w:sz w:val="20"/>
                <w:szCs w:val="20"/>
                <w:color w:val="auto"/>
              </w:rPr>
            </w:pPr>
            <w:r>
              <w:rPr>
                <w:rFonts w:ascii="Arial" w:cs="Arial" w:eastAsia="Arial" w:hAnsi="Arial"/>
                <w:sz w:val="14"/>
                <w:szCs w:val="14"/>
                <w:color w:val="auto"/>
              </w:rPr>
              <w:t>Add back actual income tax provision</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64</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5"/>
              </w:rPr>
              <w:t>Add income tax (provision) benefit, assuming a normal tax rate of 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514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2,084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00" w:type="dxa"/>
            <w:vAlign w:val="bottom"/>
            <w:gridSpan w:val="3"/>
          </w:tcPr>
          <w:p>
            <w:pPr>
              <w:spacing w:after="0" w:line="153" w:lineRule="exact"/>
              <w:rPr>
                <w:sz w:val="20"/>
                <w:szCs w:val="20"/>
                <w:color w:val="auto"/>
              </w:rPr>
            </w:pPr>
            <w:r>
              <w:rPr>
                <w:rFonts w:ascii="Arial" w:cs="Arial" w:eastAsia="Arial" w:hAnsi="Arial"/>
                <w:sz w:val="14"/>
                <w:szCs w:val="14"/>
                <w:color w:val="auto"/>
              </w:rPr>
              <w:t>Adjusted net income (loss) (non-GAAP basis)</w:t>
            </w:r>
          </w:p>
        </w:tc>
        <w:tc>
          <w:tcPr>
            <w:tcW w:w="12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3" w:lineRule="exact"/>
              <w:rPr>
                <w:sz w:val="20"/>
                <w:szCs w:val="20"/>
                <w:color w:val="auto"/>
              </w:rPr>
            </w:pPr>
            <w:r>
              <w:rPr>
                <w:rFonts w:ascii="Arial" w:cs="Arial" w:eastAsia="Arial" w:hAnsi="Arial"/>
                <w:sz w:val="14"/>
                <w:szCs w:val="14"/>
                <w:color w:val="auto"/>
              </w:rPr>
              <w:t>289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0.01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3" w:lineRule="exact"/>
              <w:rPr>
                <w:sz w:val="20"/>
                <w:szCs w:val="20"/>
                <w:color w:val="auto"/>
              </w:rPr>
            </w:pPr>
            <w:r>
              <w:rPr>
                <w:rFonts w:ascii="Arial" w:cs="Arial" w:eastAsia="Arial" w:hAnsi="Arial"/>
                <w:sz w:val="14"/>
                <w:szCs w:val="14"/>
                <w:color w:val="auto"/>
                <w:w w:val="99"/>
              </w:rPr>
              <w:t>(1,464)</w:t>
            </w:r>
          </w:p>
        </w:tc>
        <w:tc>
          <w:tcPr>
            <w:tcW w:w="220" w:type="dxa"/>
            <w:vAlign w:val="bottom"/>
          </w:tcPr>
          <w:p>
            <w:pPr>
              <w:spacing w:after="0"/>
              <w:rPr>
                <w:sz w:val="13"/>
                <w:szCs w:val="13"/>
                <w:color w:val="auto"/>
              </w:rPr>
            </w:pP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(0.03)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3" w:lineRule="exact"/>
              <w:rPr>
                <w:sz w:val="20"/>
                <w:szCs w:val="20"/>
                <w:color w:val="auto"/>
              </w:rPr>
            </w:pPr>
            <w:r>
              <w:rPr>
                <w:rFonts w:ascii="Arial" w:cs="Arial" w:eastAsia="Arial" w:hAnsi="Arial"/>
                <w:sz w:val="14"/>
                <w:szCs w:val="14"/>
                <w:color w:val="auto"/>
                <w:w w:val="99"/>
              </w:rPr>
              <w:t>(2,014)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3" w:lineRule="exact"/>
              <w:rPr>
                <w:sz w:val="20"/>
                <w:szCs w:val="20"/>
                <w:color w:val="auto"/>
              </w:rPr>
            </w:pPr>
            <w:r>
              <w:rPr>
                <w:rFonts w:ascii="Arial" w:cs="Arial" w:eastAsia="Arial" w:hAnsi="Arial"/>
                <w:sz w:val="14"/>
                <w:szCs w:val="14"/>
                <w:color w:val="auto"/>
                <w:w w:val="99"/>
              </w:rPr>
              <w:t>(5,930)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4280" w:type="dxa"/>
            <w:vAlign w:val="bottom"/>
            <w:gridSpan w:val="2"/>
          </w:tcPr>
          <w:p>
            <w:pPr>
              <w:spacing w:after="0" w:line="159" w:lineRule="exact"/>
              <w:rPr>
                <w:sz w:val="20"/>
                <w:szCs w:val="20"/>
                <w:color w:val="auto"/>
              </w:rPr>
            </w:pPr>
            <w:r>
              <w:rPr>
                <w:rFonts w:ascii="Arial" w:cs="Arial" w:eastAsia="Arial" w:hAnsi="Arial"/>
                <w:sz w:val="14"/>
                <w:szCs w:val="14"/>
                <w:color w:val="auto"/>
              </w:rPr>
              <w:t>Weighted average number of common shares outstanding on 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2"/>
            <w:shd w:val="clear" w:color="auto" w:fill="CFF0FC"/>
          </w:tcPr>
          <w:p>
            <w:pPr>
              <w:ind w:left="100"/>
              <w:spacing w:after="0" w:line="159" w:lineRule="exact"/>
              <w:rPr>
                <w:sz w:val="20"/>
                <w:szCs w:val="20"/>
                <w:color w:val="auto"/>
              </w:rPr>
            </w:pPr>
            <w:r>
              <w:rPr>
                <w:rFonts w:ascii="Arial" w:cs="Arial" w:eastAsia="Arial" w:hAnsi="Arial"/>
                <w:sz w:val="14"/>
                <w:szCs w:val="14"/>
                <w:color w:val="auto"/>
              </w:rPr>
              <w:t>diluted basis for a net loss position</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49,060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48,556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48,926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49,146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80" w:type="dxa"/>
            <w:vAlign w:val="bottom"/>
            <w:gridSpan w:val="2"/>
          </w:tcPr>
          <w:p>
            <w:pPr>
              <w:ind w:left="100"/>
              <w:spacing w:after="0"/>
              <w:rPr>
                <w:sz w:val="20"/>
                <w:szCs w:val="20"/>
                <w:color w:val="auto"/>
              </w:rPr>
            </w:pPr>
            <w:r>
              <w:rPr>
                <w:rFonts w:ascii="Arial" w:cs="Arial" w:eastAsia="Arial" w:hAnsi="Arial"/>
                <w:sz w:val="14"/>
                <w:szCs w:val="14"/>
                <w:color w:val="auto"/>
              </w:rPr>
              <w:t>diluted basis for a net income position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49,549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We expect to fund our ongoing capital expenditures with cash flow from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right"/>
              <w:ind w:right="55"/>
              <w:spacing w:after="0"/>
              <w:rPr>
                <w:sz w:val="20"/>
                <w:szCs w:val="20"/>
                <w:color w:val="auto"/>
              </w:rPr>
            </w:pPr>
            <w:r>
              <w:rPr>
                <w:rFonts w:ascii="Arial" w:cs="Arial" w:eastAsia="Arial" w:hAnsi="Arial"/>
                <w:sz w:val="14"/>
                <w:szCs w:val="14"/>
                <w:color w:val="auto"/>
              </w:rPr>
              <w:t>For the six months ended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00"/>
              <w:spacing w:after="0"/>
              <w:rPr>
                <w:sz w:val="20"/>
                <w:szCs w:val="20"/>
                <w:color w:val="auto"/>
              </w:rPr>
            </w:pPr>
            <w:r>
              <w:rPr>
                <w:rFonts w:ascii="Arial" w:cs="Arial" w:eastAsia="Arial" w:hAnsi="Arial"/>
                <w:sz w:val="14"/>
                <w:szCs w:val="14"/>
                <w:color w:val="auto"/>
              </w:rPr>
              <w:t>August 4, 2018</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color w:val="auto"/>
              </w:rPr>
              <w:t>July 29, 2017</w:t>
            </w:r>
          </w:p>
        </w:tc>
      </w:tr>
      <w:tr>
        <w:trPr>
          <w:trHeight w:val="152"/>
        </w:trPr>
        <w:tc>
          <w:tcPr>
            <w:tcW w:w="664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60" w:type="dxa"/>
            <w:vAlign w:val="bottom"/>
            <w:tcBorders>
              <w:top w:val="single" w:sz="8" w:color="auto"/>
            </w:tcBorders>
            <w:shd w:val="clear" w:color="auto" w:fill="CFF0FC"/>
          </w:tcPr>
          <w:p>
            <w:pPr>
              <w:jc w:val="right"/>
              <w:ind w:right="209"/>
              <w:spacing w:after="0" w:line="153"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6.8</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515"/>
              <w:spacing w:after="0"/>
              <w:rPr>
                <w:sz w:val="20"/>
                <w:szCs w:val="20"/>
                <w:color w:val="auto"/>
              </w:rPr>
            </w:pPr>
            <w:r>
              <w:rPr>
                <w:rFonts w:ascii="Arial" w:cs="Arial" w:eastAsia="Arial" w:hAnsi="Arial"/>
                <w:sz w:val="5"/>
                <w:szCs w:val="5"/>
                <w:color w:val="auto"/>
                <w:w w:val="70"/>
              </w:rPr>
              <w:t>$</w:t>
            </w:r>
          </w:p>
        </w:tc>
        <w:tc>
          <w:tcPr>
            <w:tcW w:w="15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CFF0FC"/>
            </w:tcBorders>
            <w:shd w:val="clear" w:color="auto" w:fill="CFF0FC"/>
          </w:tcPr>
          <w:p>
            <w:pPr>
              <w:spacing w:after="0"/>
              <w:rPr>
                <w:sz w:val="13"/>
                <w:szCs w:val="13"/>
                <w:color w:val="auto"/>
              </w:rPr>
            </w:pPr>
          </w:p>
        </w:tc>
      </w:tr>
      <w:tr>
        <w:trPr>
          <w:trHeight w:val="159"/>
        </w:trPr>
        <w:tc>
          <w:tcPr>
            <w:tcW w:w="6640" w:type="dxa"/>
            <w:vAlign w:val="bottom"/>
          </w:tcPr>
          <w:p>
            <w:pPr>
              <w:spacing w:after="0" w:line="159" w:lineRule="exact"/>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3"/>
                <w:szCs w:val="13"/>
                <w:color w:val="auto"/>
              </w:rPr>
            </w:pPr>
          </w:p>
        </w:tc>
        <w:tc>
          <w:tcPr>
            <w:tcW w:w="21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(3.6)</w:t>
            </w:r>
          </w:p>
        </w:tc>
      </w:tr>
      <w:tr>
        <w:trPr>
          <w:trHeight w:val="159"/>
        </w:trPr>
        <w:tc>
          <w:tcPr>
            <w:tcW w:w="66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Capital expenditures for DXL stores</w:t>
            </w:r>
          </w:p>
        </w:tc>
        <w:tc>
          <w:tcPr>
            <w:tcW w:w="360" w:type="dxa"/>
            <w:vAlign w:val="bottom"/>
            <w:shd w:val="clear" w:color="auto" w:fill="CFF0FC"/>
          </w:tcPr>
          <w:p>
            <w:pPr>
              <w:spacing w:after="0"/>
              <w:rPr>
                <w:sz w:val="13"/>
                <w:szCs w:val="13"/>
                <w:color w:val="auto"/>
              </w:rPr>
            </w:pPr>
          </w:p>
        </w:tc>
        <w:tc>
          <w:tcPr>
            <w:tcW w:w="2160" w:type="dxa"/>
            <w:vAlign w:val="bottom"/>
            <w:gridSpan w:val="2"/>
            <w:shd w:val="clear" w:color="auto" w:fill="CFF0FC"/>
          </w:tcPr>
          <w:p>
            <w:pPr>
              <w:jc w:val="right"/>
              <w:ind w:right="300"/>
              <w:spacing w:after="0" w:line="159" w:lineRule="exact"/>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(10.2)</w:t>
            </w:r>
          </w:p>
        </w:tc>
      </w:tr>
      <w:tr>
        <w:trPr>
          <w:trHeight w:val="152"/>
        </w:trPr>
        <w:tc>
          <w:tcPr>
            <w:tcW w:w="6640" w:type="dxa"/>
            <w:vAlign w:val="bottom"/>
          </w:tcPr>
          <w:p>
            <w:pPr>
              <w:ind w:left="120"/>
              <w:spacing w:after="0" w:line="153"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tcPr>
          <w:p>
            <w:pPr>
              <w:jc w:val="right"/>
              <w:ind w:right="209"/>
              <w:spacing w:after="0" w:line="153"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(0.6)</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5"/>
                <w:szCs w:val="5"/>
                <w:color w:val="auto"/>
                <w:w w:val="70"/>
              </w:rPr>
              <w:t>$</w:t>
            </w:r>
          </w:p>
        </w:tc>
        <w:tc>
          <w:tcPr>
            <w:tcW w:w="1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26" w:name="page27"/>
    <w:bookmarkEnd w:id="26"/>
    <w:p>
      <w:pPr>
        <w:ind w:left="1020" w:hanging="643"/>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Cash flow from operating activities includes lease incentives received against our capital expenditures, which are deferred and amortized into earnings over the lease term.</w:t>
      </w:r>
    </w:p>
    <w:p>
      <w:pPr>
        <w:spacing w:after="0" w:line="215"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i w:val="1"/>
          <w:iCs w:val="1"/>
          <w:u w:val="single" w:color="auto"/>
          <w:color w:val="auto"/>
        </w:rPr>
        <w:t>EBITDA and Adjusted EBITDA</w:t>
      </w:r>
      <w:r>
        <w:rPr>
          <w:rFonts w:ascii="Arial" w:cs="Arial" w:eastAsia="Arial" w:hAnsi="Arial"/>
          <w:sz w:val="15"/>
          <w:szCs w:val="15"/>
          <w:i w:val="1"/>
          <w:iCs w:val="1"/>
          <w:color w:val="auto"/>
        </w:rPr>
        <w:t xml:space="preserve">. </w:t>
      </w:r>
      <w:r>
        <w:rPr>
          <w:rFonts w:ascii="Arial" w:cs="Arial" w:eastAsia="Arial" w:hAnsi="Arial"/>
          <w:sz w:val="15"/>
          <w:szCs w:val="15"/>
          <w:color w:val="auto"/>
        </w:rPr>
        <w:t>EBITDA is calculated as earnings before interest, taxes, depreciation and amortization. Adjusted EBITDA is calculated as</w:t>
      </w:r>
      <w:r>
        <w:rPr>
          <w:rFonts w:ascii="Arial" w:cs="Arial" w:eastAsia="Arial" w:hAnsi="Arial"/>
          <w:sz w:val="15"/>
          <w:szCs w:val="15"/>
          <w:i w:val="1"/>
          <w:iCs w:val="1"/>
          <w:color w:val="auto"/>
        </w:rPr>
        <w:t xml:space="preserve"> </w:t>
      </w:r>
      <w:r>
        <w:rPr>
          <w:rFonts w:ascii="Arial" w:cs="Arial" w:eastAsia="Arial" w:hAnsi="Arial"/>
          <w:sz w:val="15"/>
          <w:szCs w:val="15"/>
          <w:color w:val="auto"/>
        </w:rPr>
        <w:t>EBITDA before restructuring charges, impairment charges and CEO transition costs. We believe that EBITDA and adjusted EBITDA are useful to investors in evaluating our performance. With the significant capital investment we have made over the past several years in connection with DXL store openings, we have increased levels of depreciation and interest, and therefore, management uses EBITDA as a key metric to measure profitability and economic productivity.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loss to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900" w:type="dxa"/>
            <w:vAlign w:val="bottom"/>
            <w:gridSpan w:val="4"/>
          </w:tcPr>
          <w:p>
            <w:pPr>
              <w:jc w:val="right"/>
              <w:ind w:right="463"/>
              <w:spacing w:after="0"/>
              <w:rPr>
                <w:sz w:val="20"/>
                <w:szCs w:val="20"/>
                <w:color w:val="auto"/>
              </w:rPr>
            </w:pPr>
            <w:r>
              <w:rPr>
                <w:rFonts w:ascii="Arial" w:cs="Arial" w:eastAsia="Arial" w:hAnsi="Arial"/>
                <w:sz w:val="14"/>
                <w:szCs w:val="14"/>
                <w:color w:val="auto"/>
              </w:rPr>
              <w:t>For the 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5"/>
          </w:tcPr>
          <w:p>
            <w:pPr>
              <w:jc w:val="right"/>
              <w:ind w:right="116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4, 2018</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July 29, 2017</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99"/>
              </w:rPr>
              <w:t>August 4, 2018</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July 29, 2017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54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millions)</w:t>
            </w:r>
          </w:p>
        </w:tc>
        <w:tc>
          <w:tcPr>
            <w:tcW w:w="1160" w:type="dxa"/>
            <w:vAlign w:val="bottom"/>
            <w:vMerge w:val="restart"/>
          </w:tcPr>
          <w:p>
            <w:pPr>
              <w:jc w:val="right"/>
              <w:ind w:right="1009"/>
              <w:spacing w:after="0"/>
              <w:rPr>
                <w:sz w:val="20"/>
                <w:szCs w:val="20"/>
                <w:color w:val="auto"/>
              </w:rPr>
            </w:pPr>
            <w:r>
              <w:rPr>
                <w:rFonts w:ascii="Arial" w:cs="Arial" w:eastAsia="Arial" w:hAnsi="Arial"/>
                <w:sz w:val="14"/>
                <w:szCs w:val="14"/>
                <w:color w:val="auto"/>
                <w:w w:val="76"/>
              </w:rPr>
              <w:t>$</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w:t>
            </w:r>
          </w:p>
        </w:tc>
        <w:tc>
          <w:tcPr>
            <w:tcW w:w="1180" w:type="dxa"/>
            <w:vAlign w:val="bottom"/>
            <w:vMerge w:val="restart"/>
          </w:tcPr>
          <w:p>
            <w:pPr>
              <w:jc w:val="right"/>
              <w:ind w:right="1063"/>
              <w:spacing w:after="0"/>
              <w:rPr>
                <w:sz w:val="20"/>
                <w:szCs w:val="20"/>
                <w:color w:val="auto"/>
              </w:rPr>
            </w:pPr>
            <w:r>
              <w:rPr>
                <w:rFonts w:ascii="Arial" w:cs="Arial" w:eastAsia="Arial" w:hAnsi="Arial"/>
                <w:sz w:val="10"/>
                <w:szCs w:val="10"/>
                <w:color w:val="auto"/>
                <w:w w:val="71"/>
              </w:rPr>
              <w:t>$</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(3.7)</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(4.3)</w:t>
            </w:r>
          </w:p>
        </w:tc>
        <w:tc>
          <w:tcPr>
            <w:tcW w:w="220" w:type="dxa"/>
            <w:vAlign w:val="bottom"/>
            <w:vMerge w:val="restart"/>
          </w:tcPr>
          <w:p>
            <w:pPr>
              <w:jc w:val="right"/>
              <w:ind w:right="110"/>
              <w:spacing w:after="0"/>
              <w:rPr>
                <w:sz w:val="20"/>
                <w:szCs w:val="20"/>
                <w:color w:val="auto"/>
              </w:rPr>
            </w:pPr>
            <w:r>
              <w:rPr>
                <w:rFonts w:ascii="Arial" w:cs="Arial" w:eastAsia="Arial" w:hAnsi="Arial"/>
                <w:sz w:val="10"/>
                <w:szCs w:val="10"/>
                <w:color w:val="auto"/>
                <w:w w:val="71"/>
              </w:rPr>
              <w:t>$</w:t>
            </w: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540" w:type="dxa"/>
            <w:vAlign w:val="bottom"/>
            <w:gridSpan w:val="2"/>
          </w:tcPr>
          <w:p>
            <w:pPr>
              <w:spacing w:after="0" w:line="153" w:lineRule="exact"/>
              <w:rPr>
                <w:sz w:val="20"/>
                <w:szCs w:val="20"/>
                <w:color w:val="auto"/>
              </w:rPr>
            </w:pPr>
            <w:r>
              <w:rPr>
                <w:rFonts w:ascii="Arial" w:cs="Arial" w:eastAsia="Arial" w:hAnsi="Arial"/>
                <w:sz w:val="14"/>
                <w:szCs w:val="14"/>
                <w:color w:val="auto"/>
              </w:rPr>
              <w:t>Net loss (GAAP basis)</w:t>
            </w:r>
          </w:p>
        </w:tc>
        <w:tc>
          <w:tcPr>
            <w:tcW w:w="116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Add back:</w:t>
            </w: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gridSpan w:val="2"/>
          </w:tcPr>
          <w:p>
            <w:pPr>
              <w:spacing w:after="0" w:line="159" w:lineRule="exact"/>
              <w:rPr>
                <w:sz w:val="20"/>
                <w:szCs w:val="20"/>
                <w:color w:val="auto"/>
              </w:rPr>
            </w:pPr>
            <w:r>
              <w:rPr>
                <w:rFonts w:ascii="Arial" w:cs="Arial" w:eastAsia="Arial" w:hAnsi="Arial"/>
                <w:sz w:val="14"/>
                <w:szCs w:val="14"/>
                <w:color w:val="auto"/>
              </w:rPr>
              <w:t>Corporate restructuring</w:t>
            </w:r>
          </w:p>
        </w:tc>
        <w:tc>
          <w:tcPr>
            <w:tcW w:w="11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Impairment of assets</w:t>
            </w: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gridSpan w:val="2"/>
          </w:tcPr>
          <w:p>
            <w:pPr>
              <w:spacing w:after="0" w:line="159" w:lineRule="exact"/>
              <w:rPr>
                <w:sz w:val="20"/>
                <w:szCs w:val="20"/>
                <w:color w:val="auto"/>
              </w:rPr>
            </w:pPr>
            <w:r>
              <w:rPr>
                <w:rFonts w:ascii="Arial" w:cs="Arial" w:eastAsia="Arial" w:hAnsi="Arial"/>
                <w:sz w:val="14"/>
                <w:szCs w:val="14"/>
                <w:color w:val="auto"/>
              </w:rPr>
              <w:t>Provision for income taxes</w:t>
            </w:r>
          </w:p>
        </w:tc>
        <w:tc>
          <w:tcPr>
            <w:tcW w:w="11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Interest expense</w:t>
            </w: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w:t>
            </w: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1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w:t>
            </w:r>
          </w:p>
        </w:tc>
        <w:tc>
          <w:tcPr>
            <w:tcW w:w="2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7.9</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14.7</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15.7</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40" w:type="dxa"/>
            <w:vAlign w:val="bottom"/>
            <w:tcBorders>
              <w:bottom w:val="single" w:sz="8" w:color="CFF0FC"/>
            </w:tcBorders>
            <w:gridSpan w:val="2"/>
            <w:shd w:val="clear" w:color="auto" w:fill="CFF0FC"/>
          </w:tcPr>
          <w:p>
            <w:pPr>
              <w:spacing w:after="0" w:line="153" w:lineRule="exact"/>
              <w:rPr>
                <w:sz w:val="20"/>
                <w:szCs w:val="20"/>
                <w:color w:val="auto"/>
              </w:rPr>
            </w:pPr>
            <w:r>
              <w:rPr>
                <w:rFonts w:ascii="Arial" w:cs="Arial" w:eastAsia="Arial" w:hAnsi="Arial"/>
                <w:sz w:val="14"/>
                <w:szCs w:val="14"/>
                <w:color w:val="auto"/>
              </w:rPr>
              <w:t>Adjusted EBITDA (non-GAAP basis)</w:t>
            </w:r>
          </w:p>
        </w:tc>
        <w:tc>
          <w:tcPr>
            <w:tcW w:w="1160" w:type="dxa"/>
            <w:vAlign w:val="bottom"/>
            <w:tcBorders>
              <w:bottom w:val="single" w:sz="8" w:color="auto"/>
            </w:tcBorders>
            <w:shd w:val="clear" w:color="auto" w:fill="CFF0FC"/>
          </w:tcPr>
          <w:p>
            <w:pPr>
              <w:jc w:val="right"/>
              <w:ind w:right="1009"/>
              <w:spacing w:after="0" w:line="153"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8.8</w:t>
            </w:r>
          </w:p>
        </w:tc>
        <w:tc>
          <w:tcPr>
            <w:tcW w:w="28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ind w:right="1063"/>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6.7</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9"/>
              <w:spacing w:after="0" w:line="153"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13.9</w:t>
            </w:r>
          </w:p>
        </w:tc>
        <w:tc>
          <w:tcPr>
            <w:tcW w:w="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9.3</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Outlook - GAAP to Non-GAAP Reconciliations.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2018 Outlook:</w:t>
      </w:r>
    </w:p>
    <w:p>
      <w:pPr>
        <w:spacing w:after="0" w:line="39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5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9"/>
              <w:spacing w:after="0" w:line="153"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Net loss (GAAP basis)</w:t>
            </w:r>
          </w:p>
        </w:tc>
        <w:tc>
          <w:tcPr>
            <w:tcW w:w="352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Restructuring charge and CEO transition costs</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5.9</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Provision for income taxes</w:t>
            </w:r>
          </w:p>
        </w:tc>
        <w:tc>
          <w:tcPr>
            <w:tcW w:w="212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Interest expense</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29.1</w:t>
            </w:r>
          </w:p>
        </w:tc>
        <w:tc>
          <w:tcPr>
            <w:tcW w:w="8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80" w:type="dxa"/>
            <w:vAlign w:val="bottom"/>
            <w:tcBorders>
              <w:bottom w:val="single" w:sz="8" w:color="CFF0FC"/>
            </w:tcBorders>
            <w:gridSpan w:val="2"/>
            <w:shd w:val="clear" w:color="auto" w:fill="CFF0FC"/>
          </w:tcPr>
          <w:p>
            <w:pPr>
              <w:spacing w:after="0" w:line="153"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$20.0-$25.0</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Net loss (GAAP basis)</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$(0.27)-$(0.37)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Add back restructuring charge and CEO transition costs</w:t>
            </w:r>
          </w:p>
        </w:tc>
        <w:tc>
          <w:tcPr>
            <w:tcW w:w="2120" w:type="dxa"/>
            <w:vAlign w:val="bottom"/>
          </w:tcPr>
          <w:p>
            <w:pPr>
              <w:jc w:val="right"/>
              <w:spacing w:after="0" w:line="159" w:lineRule="exact"/>
              <w:rPr>
                <w:sz w:val="20"/>
                <w:szCs w:val="20"/>
                <w:color w:val="auto"/>
              </w:rPr>
            </w:pPr>
            <w:r>
              <w:rPr>
                <w:rFonts w:ascii="Arial" w:cs="Arial" w:eastAsia="Arial" w:hAnsi="Arial"/>
                <w:sz w:val="14"/>
                <w:szCs w:val="14"/>
                <w:color w:val="auto"/>
              </w:rPr>
              <w:t>5.9</w:t>
            </w:r>
          </w:p>
        </w:tc>
        <w:tc>
          <w:tcPr>
            <w:tcW w:w="840" w:type="dxa"/>
            <w:vAlign w:val="bottom"/>
          </w:tcPr>
          <w:p>
            <w:pPr>
              <w:spacing w:after="0"/>
              <w:rPr>
                <w:sz w:val="13"/>
                <w:szCs w:val="13"/>
                <w:color w:val="auto"/>
              </w:rPr>
            </w:pPr>
          </w:p>
        </w:tc>
        <w:tc>
          <w:tcPr>
            <w:tcW w:w="1880" w:type="dxa"/>
            <w:vAlign w:val="bottom"/>
          </w:tcPr>
          <w:p>
            <w:pPr>
              <w:jc w:val="right"/>
              <w:spacing w:after="0" w:line="15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2.0 - 3.2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$0.04-$0.07</w:t>
            </w:r>
          </w:p>
        </w:tc>
        <w:tc>
          <w:tcPr>
            <w:tcW w:w="0" w:type="dxa"/>
            <w:vAlign w:val="bottom"/>
          </w:tcPr>
          <w:p>
            <w:pPr>
              <w:spacing w:after="0"/>
              <w:rPr>
                <w:sz w:val="1"/>
                <w:szCs w:val="1"/>
                <w:color w:val="auto"/>
              </w:rPr>
            </w:pPr>
          </w:p>
        </w:tc>
      </w:tr>
      <w:tr>
        <w:trPr>
          <w:trHeight w:val="192"/>
        </w:trPr>
        <w:tc>
          <w:tcPr>
            <w:tcW w:w="5500" w:type="dxa"/>
            <w:vAlign w:val="bottom"/>
            <w:gridSpan w:val="3"/>
          </w:tcPr>
          <w:p>
            <w:pPr>
              <w:spacing w:after="0" w:line="153"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$(5.3) -$(9.1)</w:t>
            </w:r>
          </w:p>
        </w:tc>
        <w:tc>
          <w:tcPr>
            <w:tcW w:w="840" w:type="dxa"/>
            <w:vAlign w:val="bottom"/>
          </w:tcPr>
          <w:p>
            <w:pPr>
              <w:spacing w:after="0"/>
              <w:rPr>
                <w:sz w:val="16"/>
                <w:szCs w:val="16"/>
                <w:color w:val="auto"/>
              </w:rPr>
            </w:pPr>
          </w:p>
        </w:tc>
        <w:tc>
          <w:tcPr>
            <w:tcW w:w="1880" w:type="dxa"/>
            <w:vAlign w:val="bottom"/>
          </w:tcPr>
          <w:p>
            <w:pPr>
              <w:jc w:val="right"/>
              <w:spacing w:after="0" w:line="153" w:lineRule="exact"/>
              <w:rPr>
                <w:sz w:val="20"/>
                <w:szCs w:val="20"/>
                <w:color w:val="auto"/>
              </w:rPr>
            </w:pPr>
            <w:r>
              <w:rPr>
                <w:rFonts w:ascii="Arial" w:cs="Arial" w:eastAsia="Arial" w:hAnsi="Arial"/>
                <w:sz w:val="14"/>
                <w:szCs w:val="14"/>
                <w:color w:val="auto"/>
              </w:rPr>
              <w:t>$(0.11)-$(0.18)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80" w:type="dxa"/>
            <w:vAlign w:val="bottom"/>
            <w:tcBorders>
              <w:top w:val="single" w:sz="8" w:color="CFF0FC"/>
            </w:tcBorders>
            <w:gridSpan w:val="2"/>
            <w:shd w:val="clear" w:color="auto" w:fill="CFF0FC"/>
          </w:tcPr>
          <w:p>
            <w:pPr>
              <w:spacing w:after="0" w:line="139"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39" w:lineRule="exact"/>
              <w:rPr>
                <w:sz w:val="20"/>
                <w:szCs w:val="20"/>
                <w:color w:val="auto"/>
              </w:rPr>
            </w:pPr>
            <w:r>
              <w:rPr>
                <w:rFonts w:ascii="Arial" w:cs="Arial" w:eastAsia="Arial" w:hAnsi="Arial"/>
                <w:sz w:val="14"/>
                <w:szCs w:val="14"/>
                <w:color w:val="auto"/>
              </w:rPr>
              <w:t>49.1</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$20.5 -$26.5</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29"/>
              <w:spacing w:after="0" w:line="159" w:lineRule="exact"/>
              <w:rPr>
                <w:sz w:val="20"/>
                <w:szCs w:val="20"/>
                <w:color w:val="auto"/>
              </w:rPr>
            </w:pPr>
            <w:r>
              <w:rPr>
                <w:rFonts w:ascii="Arial" w:cs="Arial" w:eastAsia="Arial" w:hAnsi="Arial"/>
                <w:sz w:val="14"/>
                <w:szCs w:val="14"/>
                <w:color w:val="auto"/>
              </w:rPr>
              <w:t>(9.3)</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shd w:val="clear" w:color="auto" w:fill="CFF0FC"/>
          </w:tcPr>
          <w:p>
            <w:pPr>
              <w:jc w:val="right"/>
              <w:ind w:right="729"/>
              <w:spacing w:after="0" w:line="159" w:lineRule="exact"/>
              <w:rPr>
                <w:sz w:val="20"/>
                <w:szCs w:val="20"/>
                <w:color w:val="auto"/>
              </w:rPr>
            </w:pPr>
            <w:r>
              <w:rPr>
                <w:rFonts w:ascii="Arial" w:cs="Arial" w:eastAsia="Arial" w:hAnsi="Arial"/>
                <w:sz w:val="14"/>
                <w:szCs w:val="14"/>
                <w:color w:val="auto"/>
              </w:rPr>
              <w:t>(2.1)</w:t>
            </w: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8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$9.1-$15.1</w:t>
            </w: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 xml:space="preserve">We utilize cash from operations and from the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w:t>
      </w:r>
      <w:r>
        <w:rPr>
          <w:rFonts w:ascii="Arial" w:cs="Arial" w:eastAsia="Arial" w:hAnsi="Arial"/>
          <w:sz w:val="17"/>
          <w:szCs w:val="17"/>
          <w:color w:val="000033"/>
        </w:rPr>
        <w:t>May 24, 2023</w:t>
      </w:r>
      <w:r>
        <w:rPr>
          <w:rFonts w:ascii="Arial" w:cs="Arial" w:eastAsia="Arial" w:hAnsi="Arial"/>
          <w:sz w:val="17"/>
          <w:szCs w:val="17"/>
          <w:color w:val="auto"/>
        </w:rPr>
        <w:t>, bear interest at variable rates based on Bank of America’s prime rate or LIBOR. At August 4, 2018, the interest rate on our prime based borrowings was 5.25%. At August 4, 2018, the $15.0 million outstanding under our FILO loan were in a LIBOR contract with an interest rate of 4.87% and approximately $42.0 million of our outstanding borrowings under our Revolving Facility were in LIBOR contracts with an interest rate of 3.25%.</w:t>
      </w:r>
    </w:p>
    <w:p>
      <w:pPr>
        <w:spacing w:after="0" w:line="74"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Based upon a sensitivity analysis as of August 4, 2018, assuming average outstanding borrowing during the first three months of fiscal 2018 of $57.1 million under our Revolving Facility and $15.0 million outstanding under our FILO loan, a 50 basis point increase in interest rates would have resulted in a potential increase in interest expense of approximately $360,500 on an annualized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Ontario, Canada conduct business in Canadian dollars. As of August 4, 2018, sales from these stores were immaterial to consolidated sales. As such, we believe that movement in foreign currency exchange rates will not have a material adverse effect on our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4, 2018.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4, 2018, our disclosure controls and procedures were effective.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1"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August 4, 2018 that has materially affected, or is reasonably likely to materially affect, our internal control over financial reporting.</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left="300" w:right="240"/>
        <w:spacing w:after="0" w:line="265"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There have been no material changes to the risk factors as previously disclosed in Part I, Item 1A of our Form 10-K for the year ended February 3, 2018.</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480" w:val="left"/>
        </w:tabs>
        <w:rPr>
          <w:rFonts w:ascii="Arial" w:cs="Arial" w:eastAsia="Arial" w:hAnsi="Arial"/>
          <w:sz w:val="15"/>
          <w:szCs w:val="15"/>
          <w:u w:val="single" w:color="auto"/>
          <w:color w:val="0000EE"/>
        </w:rPr>
      </w:pPr>
      <w:r>
        <w:rPr>
          <w:rFonts w:ascii="Arial" w:cs="Arial" w:eastAsia="Arial" w:hAnsi="Arial"/>
          <w:sz w:val="18"/>
          <w:szCs w:val="18"/>
          <w:color w:val="auto"/>
        </w:rPr>
        <w:t>3.1</w:t>
      </w:r>
      <w:r>
        <w:rPr>
          <w:sz w:val="20"/>
          <w:szCs w:val="20"/>
          <w:color w:val="auto"/>
        </w:rPr>
        <w:tab/>
      </w:r>
      <w:hyperlink w:anchor="page32">
        <w:r>
          <w:rPr>
            <w:rFonts w:ascii="Arial" w:cs="Arial" w:eastAsia="Arial" w:hAnsi="Arial"/>
            <w:sz w:val="15"/>
            <w:szCs w:val="15"/>
            <w:u w:val="single" w:color="auto"/>
            <w:color w:val="0000EE"/>
          </w:rPr>
          <w:t>Restated Certificate of Incorporation of the Company (conformed copy incorporating all amendments through August 9, 2018).</w:t>
        </w:r>
      </w:hyperlink>
    </w:p>
    <w:p>
      <w:pPr>
        <w:spacing w:after="0" w:line="124" w:lineRule="exact"/>
        <w:rPr>
          <w:sz w:val="20"/>
          <w:szCs w:val="20"/>
          <w:color w:val="auto"/>
        </w:rPr>
      </w:pPr>
    </w:p>
    <w:p>
      <w:pPr>
        <w:ind w:left="500" w:hanging="436"/>
        <w:spacing w:after="0" w:line="252"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48">
        <w:r>
          <w:rPr>
            <w:rFonts w:ascii="Arial" w:cs="Arial" w:eastAsia="Arial" w:hAnsi="Arial"/>
            <w:sz w:val="18"/>
            <w:szCs w:val="18"/>
            <w:u w:val="single" w:color="auto"/>
            <w:color w:val="0000EE"/>
          </w:rPr>
          <w:t>Seventh Amended and Restated Credit Agreement, dated as of May 24, 2018, by and among Bank of America, N.A., as Administrative Agent and</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Collateral Agent, the Lenders identified therein, the Company, as Lead Borrower, the Company and CMRG Apparel, LLC, as Borrowers, and the</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Guarantors identified therein (included as Exhibit 10.1 to the Company’s Current Report on Form 8-K filed on May 30, 2018, and incorporated herein by</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reference).</w:t>
        </w:r>
        <w:r>
          <w:rPr>
            <w:rFonts w:ascii="Arial" w:cs="Arial" w:eastAsia="Arial" w:hAnsi="Arial"/>
            <w:sz w:val="18"/>
            <w:szCs w:val="18"/>
            <w:u w:val="single" w:color="auto"/>
            <w:color w:val="000000"/>
          </w:rPr>
          <w:t>*</w:t>
        </w:r>
      </w:hyperlink>
    </w:p>
    <w:p>
      <w:pPr>
        <w:spacing w:after="0" w:line="99" w:lineRule="exact"/>
        <w:rPr>
          <w:rFonts w:ascii="Arial" w:cs="Arial" w:eastAsia="Arial" w:hAnsi="Arial"/>
          <w:sz w:val="18"/>
          <w:szCs w:val="18"/>
          <w:u w:val="single" w:color="auto"/>
          <w:color w:val="0000EE"/>
        </w:rPr>
      </w:pPr>
    </w:p>
    <w:p>
      <w:pPr>
        <w:ind w:left="60"/>
        <w:spacing w:after="0"/>
        <w:rPr>
          <w:rFonts w:ascii="Arial" w:cs="Arial" w:eastAsia="Arial" w:hAnsi="Arial"/>
          <w:sz w:val="15"/>
          <w:szCs w:val="15"/>
          <w:color w:val="auto"/>
        </w:rPr>
      </w:pPr>
      <w:r>
        <w:rPr>
          <w:rFonts w:ascii="Arial" w:cs="Arial" w:eastAsia="Arial" w:hAnsi="Arial"/>
          <w:sz w:val="15"/>
          <w:szCs w:val="15"/>
          <w:color w:val="auto"/>
        </w:rPr>
        <w:t xml:space="preserve">10.2  </w:t>
      </w:r>
      <w:hyperlink r:id="rId49">
        <w:r>
          <w:rPr>
            <w:rFonts w:ascii="Arial" w:cs="Arial" w:eastAsia="Arial" w:hAnsi="Arial"/>
            <w:sz w:val="15"/>
            <w:szCs w:val="15"/>
            <w:u w:val="single" w:color="auto"/>
            <w:color w:val="0000EE"/>
          </w:rPr>
          <w:t>Second Amended and Restated Long-Term Incentive Plan (included as Exhibit 10.1 to the Company’s Current Report on Form 8-K filed on June 22,</w:t>
        </w:r>
      </w:hyperlink>
    </w:p>
    <w:p>
      <w:pPr>
        <w:spacing w:after="0" w:line="51" w:lineRule="exact"/>
        <w:rPr>
          <w:rFonts w:ascii="Arial" w:cs="Arial" w:eastAsia="Arial" w:hAnsi="Arial"/>
          <w:sz w:val="18"/>
          <w:szCs w:val="18"/>
          <w:u w:val="single" w:color="auto"/>
          <w:color w:val="0000EE"/>
        </w:rPr>
      </w:pPr>
    </w:p>
    <w:p>
      <w:pPr>
        <w:ind w:left="500"/>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2018, and incorporated herein by reference).</w:t>
        </w:r>
      </w:hyperlink>
    </w:p>
    <w:p>
      <w:pPr>
        <w:spacing w:after="0" w:line="113" w:lineRule="exact"/>
        <w:rPr>
          <w:rFonts w:ascii="Arial" w:cs="Arial" w:eastAsia="Arial" w:hAnsi="Arial"/>
          <w:sz w:val="18"/>
          <w:szCs w:val="18"/>
          <w:u w:val="single" w:color="auto"/>
          <w:color w:val="0000EE"/>
        </w:rPr>
      </w:pPr>
    </w:p>
    <w:p>
      <w:pPr>
        <w:ind w:left="500" w:right="400" w:hanging="436"/>
        <w:spacing w:after="0" w:line="26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50">
        <w:r>
          <w:rPr>
            <w:rFonts w:ascii="Arial" w:cs="Arial" w:eastAsia="Arial" w:hAnsi="Arial"/>
            <w:sz w:val="18"/>
            <w:szCs w:val="18"/>
            <w:u w:val="single" w:color="auto"/>
            <w:color w:val="0000EE"/>
          </w:rPr>
          <w:t>First Amendment to the Transition Agreement dated as of June 25, 2018 between the Company and David A. Levin (included as Exhibit 10.1 to the</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Company’s Current Report on Form 8-K filed on June 25, 2018, and incorporated herein by reference).</w:t>
        </w:r>
      </w:hyperlink>
    </w:p>
    <w:p>
      <w:pPr>
        <w:spacing w:after="0" w:line="87" w:lineRule="exact"/>
        <w:rPr>
          <w:sz w:val="20"/>
          <w:szCs w:val="20"/>
          <w:color w:val="auto"/>
        </w:rPr>
      </w:pPr>
    </w:p>
    <w:p>
      <w:pPr>
        <w:ind w:left="500" w:right="220" w:hanging="436"/>
        <w:spacing w:after="0" w:line="26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10.4 </w:t>
      </w:r>
      <w:hyperlink r:id="rId51">
        <w:r>
          <w:rPr>
            <w:rFonts w:ascii="Arial" w:cs="Arial" w:eastAsia="Arial" w:hAnsi="Arial"/>
            <w:sz w:val="18"/>
            <w:szCs w:val="18"/>
            <w:u w:val="single" w:color="auto"/>
            <w:color w:val="0000EE"/>
          </w:rPr>
          <w:t>Second Amendment to the Transition Agreement dated as of July 31, 2018 between the Company and David A. Levin (included as Exhibit 10.1 to the</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Company’s Current Report on Form 8-K filed on July 31, 2018, and incorporated herein by reference).</w:t>
        </w:r>
      </w:hyperlink>
    </w:p>
    <w:p>
      <w:pPr>
        <w:spacing w:after="0" w:line="87" w:lineRule="exact"/>
        <w:rPr>
          <w:sz w:val="20"/>
          <w:szCs w:val="20"/>
          <w:color w:val="auto"/>
        </w:rPr>
      </w:pPr>
    </w:p>
    <w:p>
      <w:pPr>
        <w:ind w:left="500" w:right="440" w:hanging="436"/>
        <w:spacing w:after="0" w:line="265"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52">
        <w:r>
          <w:rPr>
            <w:rFonts w:ascii="Arial" w:cs="Arial" w:eastAsia="Arial" w:hAnsi="Arial"/>
            <w:sz w:val="18"/>
            <w:szCs w:val="18"/>
            <w:u w:val="single" w:color="auto"/>
            <w:color w:val="0000EE"/>
          </w:rPr>
          <w:t>Letter Agreement, dated June 11, 2018, by and among the Company and J. Carlo Cannell and Capital Cannell LLC (included as Exhibit 10.1 to the</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Company’s Current Report on Form 8-K filed on June 12, 2018, and incorporated herein by reference).</w:t>
        </w:r>
      </w:hyperlink>
    </w:p>
    <w:p>
      <w:pPr>
        <w:spacing w:after="0" w:line="87"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3">
        <w:r>
          <w:rPr>
            <w:rFonts w:ascii="Arial" w:cs="Arial" w:eastAsia="Arial" w:hAnsi="Arial"/>
            <w:sz w:val="18"/>
            <w:szCs w:val="18"/>
            <w:u w:val="single" w:color="auto"/>
            <w:color w:val="0000EE"/>
          </w:rPr>
          <w:t>Certification of the Chief Executive Officer of the Company pursuant to Rule 13a-14(a) under the Securities Exchange Act of 1934.</w:t>
        </w:r>
      </w:hyperlink>
    </w:p>
    <w:p>
      <w:pPr>
        <w:spacing w:after="0" w:line="124"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4">
        <w:r>
          <w:rPr>
            <w:rFonts w:ascii="Arial" w:cs="Arial" w:eastAsia="Arial" w:hAnsi="Arial"/>
            <w:sz w:val="18"/>
            <w:szCs w:val="18"/>
            <w:u w:val="single" w:color="auto"/>
            <w:color w:val="0000EE"/>
          </w:rPr>
          <w:t>Certification of the Chief Financial Officer of the Company pursuant to Rule 13a-14(a) under the Securities Exchange Act of 1934.</w:t>
        </w:r>
      </w:hyperlink>
    </w:p>
    <w:p>
      <w:pPr>
        <w:spacing w:after="0" w:line="124" w:lineRule="exact"/>
        <w:rPr>
          <w:sz w:val="20"/>
          <w:szCs w:val="20"/>
          <w:color w:val="auto"/>
        </w:rPr>
      </w:pPr>
    </w:p>
    <w:p>
      <w:pPr>
        <w:ind w:left="60"/>
        <w:spacing w:after="0"/>
        <w:rPr>
          <w:rFonts w:ascii="Arial" w:cs="Arial" w:eastAsia="Arial" w:hAnsi="Arial"/>
          <w:sz w:val="15"/>
          <w:szCs w:val="15"/>
          <w:color w:val="auto"/>
        </w:rPr>
      </w:pPr>
      <w:r>
        <w:rPr>
          <w:rFonts w:ascii="Arial" w:cs="Arial" w:eastAsia="Arial" w:hAnsi="Arial"/>
          <w:sz w:val="15"/>
          <w:szCs w:val="15"/>
          <w:color w:val="auto"/>
        </w:rPr>
        <w:t xml:space="preserve">32.1  </w:t>
      </w:r>
      <w:hyperlink w:anchor="page45">
        <w:r>
          <w:rPr>
            <w:rFonts w:ascii="Arial" w:cs="Arial" w:eastAsia="Arial" w:hAnsi="Arial"/>
            <w:sz w:val="15"/>
            <w:szCs w:val="15"/>
            <w:u w:val="single" w:color="auto"/>
            <w:color w:val="0000EE"/>
          </w:rPr>
          <w:t>Certification of Chief Executive Officer pursuant to 18 U.S.C. Section 1350, as adopted pursuant to Section 906 of the Sarbanes-Oxley Act of 2002.</w:t>
        </w:r>
      </w:hyperlink>
    </w:p>
    <w:p>
      <w:pPr>
        <w:spacing w:after="0" w:line="146" w:lineRule="exact"/>
        <w:rPr>
          <w:sz w:val="20"/>
          <w:szCs w:val="20"/>
          <w:color w:val="auto"/>
        </w:rPr>
      </w:pPr>
    </w:p>
    <w:p>
      <w:pPr>
        <w:ind w:left="60"/>
        <w:spacing w:after="0"/>
        <w:rPr>
          <w:rFonts w:ascii="Arial" w:cs="Arial" w:eastAsia="Arial" w:hAnsi="Arial"/>
          <w:sz w:val="15"/>
          <w:szCs w:val="15"/>
          <w:color w:val="auto"/>
        </w:rPr>
      </w:pPr>
      <w:r>
        <w:rPr>
          <w:rFonts w:ascii="Arial" w:cs="Arial" w:eastAsia="Arial" w:hAnsi="Arial"/>
          <w:sz w:val="15"/>
          <w:szCs w:val="15"/>
          <w:color w:val="auto"/>
        </w:rPr>
        <w:t xml:space="preserve">32.2  </w:t>
      </w:r>
      <w:hyperlink w:anchor="page46">
        <w:r>
          <w:rPr>
            <w:rFonts w:ascii="Arial" w:cs="Arial" w:eastAsia="Arial" w:hAnsi="Arial"/>
            <w:sz w:val="15"/>
            <w:szCs w:val="15"/>
            <w:u w:val="single" w:color="auto"/>
            <w:color w:val="0000EE"/>
          </w:rPr>
          <w:t>Certification of Chief Financial Officer pursuant to 18 U.S.C. Section 1350, as adopted pursuant to Section 906 of the Sarbanes-Oxley Act of 2002.</w:t>
        </w:r>
      </w:hyperlink>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9" w:name="page30"/>
    <w:bookmarkEnd w:id="29"/>
    <w:p>
      <w:pPr>
        <w:ind w:left="441" w:hanging="441"/>
        <w:spacing w:after="0" w:line="252"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August 4, 2018,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17" w:lineRule="exact"/>
        <w:rPr>
          <w:rFonts w:ascii="Arial" w:cs="Arial" w:eastAsia="Arial" w:hAnsi="Arial"/>
          <w:sz w:val="18"/>
          <w:szCs w:val="18"/>
          <w:color w:val="auto"/>
        </w:rPr>
      </w:pPr>
    </w:p>
    <w:p>
      <w:pPr>
        <w:ind w:left="701"/>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66040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61"/>
          </w:cols>
          <w:pgMar w:left="299" w:top="12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SIGNATURES</w:t>
      </w:r>
    </w:p>
    <w:p>
      <w:pPr>
        <w:spacing w:after="0" w:line="217" w:lineRule="exact"/>
        <w:rPr>
          <w:sz w:val="20"/>
          <w:szCs w:val="20"/>
          <w:color w:val="auto"/>
        </w:rPr>
      </w:pPr>
    </w:p>
    <w:p>
      <w:pPr>
        <w:ind w:right="100" w:firstLine="25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7380" w:type="dxa"/>
            <w:vAlign w:val="bottom"/>
            <w:gridSpan w:val="2"/>
          </w:tcPr>
          <w:p>
            <w:pPr>
              <w:ind w:left="2440"/>
              <w:spacing w:after="0"/>
              <w:rPr>
                <w:sz w:val="20"/>
                <w:szCs w:val="20"/>
                <w:color w:val="auto"/>
              </w:rPr>
            </w:pPr>
            <w:r>
              <w:rPr>
                <w:rFonts w:ascii="Arial" w:cs="Arial" w:eastAsia="Arial" w:hAnsi="Arial"/>
                <w:sz w:val="18"/>
                <w:szCs w:val="18"/>
                <w:color w:val="auto"/>
              </w:rPr>
              <w:t>DESTINATION XL GROUP, INC.</w:t>
            </w:r>
          </w:p>
        </w:tc>
      </w:tr>
      <w:tr>
        <w:trPr>
          <w:trHeight w:val="451"/>
        </w:trPr>
        <w:tc>
          <w:tcPr>
            <w:tcW w:w="4040" w:type="dxa"/>
            <w:vAlign w:val="bottom"/>
          </w:tcPr>
          <w:p>
            <w:pPr>
              <w:spacing w:after="0"/>
              <w:rPr>
                <w:sz w:val="20"/>
                <w:szCs w:val="20"/>
                <w:color w:val="auto"/>
              </w:rPr>
            </w:pPr>
            <w:r>
              <w:rPr>
                <w:rFonts w:ascii="Arial" w:cs="Arial" w:eastAsia="Arial" w:hAnsi="Arial"/>
                <w:sz w:val="18"/>
                <w:szCs w:val="18"/>
                <w:color w:val="auto"/>
              </w:rPr>
              <w:t>Date: August 30, 2018</w:t>
            </w:r>
          </w:p>
        </w:tc>
        <w:tc>
          <w:tcPr>
            <w:tcW w:w="7380" w:type="dxa"/>
            <w:vAlign w:val="bottom"/>
            <w:gridSpan w:val="2"/>
          </w:tcPr>
          <w:p>
            <w:pPr>
              <w:ind w:left="2440"/>
              <w:spacing w:after="0"/>
              <w:rPr>
                <w:sz w:val="20"/>
                <w:szCs w:val="20"/>
                <w:color w:val="auto"/>
              </w:rPr>
            </w:pPr>
            <w:r>
              <w:rPr>
                <w:rFonts w:ascii="Arial" w:cs="Arial" w:eastAsia="Arial" w:hAnsi="Arial"/>
                <w:sz w:val="18"/>
                <w:szCs w:val="18"/>
                <w:color w:val="auto"/>
              </w:rPr>
              <w:t>By:  /S/ John F. Cooney</w:t>
            </w:r>
          </w:p>
        </w:tc>
      </w:tr>
      <w:tr>
        <w:trPr>
          <w:trHeight w:val="194"/>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John F. Cooney</w:t>
            </w:r>
          </w:p>
        </w:tc>
      </w:tr>
      <w:tr>
        <w:trPr>
          <w:trHeight w:val="212"/>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Vice President, Managing Director, Chief Accounting Officer</w:t>
            </w:r>
          </w:p>
        </w:tc>
      </w:tr>
      <w:tr>
        <w:trPr>
          <w:trHeight w:val="212"/>
        </w:trPr>
        <w:tc>
          <w:tcPr>
            <w:tcW w:w="4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and Corporate Controller (Duly Authorized Officer and Chief</w:t>
            </w:r>
          </w:p>
        </w:tc>
      </w:tr>
      <w:tr>
        <w:trPr>
          <w:trHeight w:val="223"/>
        </w:trPr>
        <w:tc>
          <w:tcPr>
            <w:tcW w:w="40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1"/>
          <w:szCs w:val="21"/>
          <w:b w:val="1"/>
          <w:bCs w:val="1"/>
          <w:color w:val="auto"/>
        </w:rPr>
        <w:t>Exh 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CERTIFICATE OF INCORPORATION</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21"/>
          <w:szCs w:val="21"/>
          <w:b w:val="1"/>
          <w:bCs w:val="1"/>
          <w:color w:val="auto"/>
        </w:rPr>
        <w:t>OF</w:t>
      </w:r>
    </w:p>
    <w:p>
      <w:pPr>
        <w:spacing w:after="0" w:line="209"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DESTINATION XL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Conformed copy incorporating all amendments through August 9, 2018</w:t>
      </w:r>
      <w:r>
        <w:rPr>
          <w:rFonts w:ascii="Arial" w:cs="Arial" w:eastAsia="Arial" w:hAnsi="Arial"/>
          <w:sz w:val="21"/>
          <w:szCs w:val="21"/>
          <w:color w:val="auto"/>
        </w:rPr>
        <w:t>)</w:t>
      </w:r>
    </w:p>
    <w:p>
      <w:pPr>
        <w:spacing w:after="0" w:line="191" w:lineRule="exact"/>
        <w:rPr>
          <w:sz w:val="20"/>
          <w:szCs w:val="20"/>
          <w:color w:val="auto"/>
        </w:rPr>
      </w:pPr>
    </w:p>
    <w:p>
      <w:pPr>
        <w:ind w:right="480" w:firstLine="1756"/>
        <w:spacing w:after="0" w:line="266" w:lineRule="auto"/>
        <w:rPr>
          <w:sz w:val="20"/>
          <w:szCs w:val="20"/>
          <w:color w:val="auto"/>
        </w:rPr>
      </w:pPr>
      <w:r>
        <w:rPr>
          <w:rFonts w:ascii="Arial" w:cs="Arial" w:eastAsia="Arial" w:hAnsi="Arial"/>
          <w:sz w:val="21"/>
          <w:szCs w:val="21"/>
          <w:color w:val="auto"/>
        </w:rPr>
        <w:t>The undersigned, a duly authorized officer of Destination XL Group, Inc. (the “Corporation”), a corporation organized and existing under the Laws of the State of Delaware, does hereby certify as follows:</w:t>
      </w:r>
    </w:p>
    <w:p>
      <w:pPr>
        <w:spacing w:after="0" w:line="154" w:lineRule="exact"/>
        <w:rPr>
          <w:sz w:val="20"/>
          <w:szCs w:val="20"/>
          <w:color w:val="auto"/>
        </w:rPr>
      </w:pPr>
    </w:p>
    <w:p>
      <w:pPr>
        <w:ind w:right="180" w:firstLine="884"/>
        <w:spacing w:after="0" w:line="251" w:lineRule="auto"/>
        <w:tabs>
          <w:tab w:leader="none" w:pos="1726"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name of the Corporation is Destination XL Group, Inc., originally incorporated under the name “KARA ENTERPRISES, INC.” The Corporation’s original Certificate of Incorporation was filed with the Secretary of the State of Delaware on January 26, 1976.</w:t>
      </w:r>
    </w:p>
    <w:p>
      <w:pPr>
        <w:spacing w:after="0" w:line="170" w:lineRule="exact"/>
        <w:rPr>
          <w:sz w:val="20"/>
          <w:szCs w:val="20"/>
          <w:color w:val="auto"/>
        </w:rPr>
      </w:pPr>
    </w:p>
    <w:p>
      <w:pPr>
        <w:ind w:right="40" w:firstLine="878"/>
        <w:spacing w:after="0" w:line="263" w:lineRule="auto"/>
        <w:rPr>
          <w:sz w:val="20"/>
          <w:szCs w:val="20"/>
          <w:color w:val="auto"/>
        </w:rPr>
      </w:pPr>
      <w:r>
        <w:rPr>
          <w:rFonts w:ascii="Arial" w:cs="Arial" w:eastAsia="Arial" w:hAnsi="Arial"/>
          <w:sz w:val="20"/>
          <w:szCs w:val="20"/>
          <w:color w:val="auto"/>
        </w:rPr>
        <w:t>This Restated Certificate of Incorporation (the “Restated Certificate of Incorporation”) was duly adopted in accordance with the provisions of Section 245 of the General Corporation Law of the State of Delaware and only restates and integrates and does not further amend the provisions of the Corporation’s Certificate of Incorporation as heretofore amended or supplemented and there is no discrepancy between those provisions and the provisions of the Restated Certificate of Incorporation.</w:t>
      </w:r>
    </w:p>
    <w:p>
      <w:pPr>
        <w:spacing w:after="0" w:line="159" w:lineRule="exact"/>
        <w:rPr>
          <w:sz w:val="20"/>
          <w:szCs w:val="20"/>
          <w:color w:val="auto"/>
        </w:rPr>
      </w:pPr>
    </w:p>
    <w:p>
      <w:pPr>
        <w:ind w:left="2360" w:hanging="1476"/>
        <w:spacing w:after="0"/>
        <w:tabs>
          <w:tab w:leader="none" w:pos="23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Certificate of Incorporation of the Corporation is hereby restated so as to read in its entirety as</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follows:</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auto"/>
        </w:rPr>
        <w:t>FIRST</w:t>
      </w:r>
      <w:r>
        <w:rPr>
          <w:rFonts w:ascii="Arial" w:cs="Arial" w:eastAsia="Arial" w:hAnsi="Arial"/>
          <w:sz w:val="21"/>
          <w:szCs w:val="21"/>
          <w:color w:val="auto"/>
        </w:rPr>
        <w:t>: The name of this corporation is Destination XL Group, Inc.</w:t>
      </w:r>
    </w:p>
    <w:p>
      <w:pPr>
        <w:spacing w:after="0" w:line="209" w:lineRule="exact"/>
        <w:rPr>
          <w:sz w:val="20"/>
          <w:szCs w:val="20"/>
          <w:color w:val="auto"/>
        </w:rPr>
      </w:pPr>
    </w:p>
    <w:p>
      <w:pPr>
        <w:ind w:right="280" w:firstLine="1756"/>
        <w:spacing w:after="0" w:line="326" w:lineRule="auto"/>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address of the registered office of the Corporation in the State of Delaware is 1209 Orange</w:t>
      </w:r>
      <w:r>
        <w:rPr>
          <w:rFonts w:ascii="Arial" w:cs="Arial" w:eastAsia="Arial" w:hAnsi="Arial"/>
          <w:sz w:val="19"/>
          <w:szCs w:val="19"/>
          <w:b w:val="1"/>
          <w:bCs w:val="1"/>
          <w:color w:val="auto"/>
        </w:rPr>
        <w:t xml:space="preserve"> </w:t>
      </w:r>
      <w:r>
        <w:rPr>
          <w:rFonts w:ascii="Arial" w:cs="Arial" w:eastAsia="Arial" w:hAnsi="Arial"/>
          <w:sz w:val="19"/>
          <w:szCs w:val="19"/>
          <w:color w:val="auto"/>
        </w:rPr>
        <w:t>Street, Wilmington, County of New Castle, and the name of its registered agent at such address is The Corporation Trust Company.</w:t>
      </w:r>
    </w:p>
    <w:p>
      <w:pPr>
        <w:spacing w:after="0" w:line="96"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auto"/>
        </w:rPr>
        <w:t>THIRD</w:t>
      </w:r>
      <w:r>
        <w:rPr>
          <w:rFonts w:ascii="Arial" w:cs="Arial" w:eastAsia="Arial" w:hAnsi="Arial"/>
          <w:sz w:val="21"/>
          <w:szCs w:val="21"/>
          <w:color w:val="auto"/>
        </w:rPr>
        <w:t>: The nature of the business or purposes to be conducted or promoted is as follows:</w:t>
      </w:r>
    </w:p>
    <w:p>
      <w:pPr>
        <w:spacing w:after="0" w:line="215" w:lineRule="exact"/>
        <w:rPr>
          <w:sz w:val="20"/>
          <w:szCs w:val="20"/>
          <w:color w:val="auto"/>
        </w:rPr>
      </w:pPr>
    </w:p>
    <w:p>
      <w:pPr>
        <w:ind w:right="180" w:firstLine="1756"/>
        <w:spacing w:after="0" w:line="276" w:lineRule="auto"/>
        <w:rPr>
          <w:sz w:val="20"/>
          <w:szCs w:val="20"/>
          <w:color w:val="auto"/>
        </w:rPr>
      </w:pPr>
      <w:r>
        <w:rPr>
          <w:rFonts w:ascii="Arial" w:cs="Arial" w:eastAsia="Arial" w:hAnsi="Arial"/>
          <w:sz w:val="19"/>
          <w:szCs w:val="19"/>
          <w:color w:val="auto"/>
        </w:rPr>
        <w:t>To engage in retail or wholesale distribution, marketing and sale of clothing, apparel and related goods and products; to purchase or lease and maintain real property for the purpose of operating retail stores or outlets, warehouses, corporate headquarters or other related facilities; to develop, market and distribute financial, merchandising and data processing systems (including, without limitation, computer software programs) for inventory and cost control, sales reporting, financial accounting and other financial and managerial control purposes; and to engage in any businesses related to or arising from the foregoing.</w:t>
      </w:r>
    </w:p>
    <w:p>
      <w:pPr>
        <w:spacing w:after="0" w:line="149" w:lineRule="exact"/>
        <w:rPr>
          <w:sz w:val="20"/>
          <w:szCs w:val="20"/>
          <w:color w:val="auto"/>
        </w:rPr>
      </w:pPr>
    </w:p>
    <w:p>
      <w:pPr>
        <w:jc w:val="center"/>
        <w:ind w:left="400"/>
        <w:spacing w:after="0"/>
        <w:rPr>
          <w:sz w:val="20"/>
          <w:szCs w:val="20"/>
          <w:color w:val="auto"/>
        </w:rPr>
      </w:pPr>
      <w:r>
        <w:rPr>
          <w:rFonts w:ascii="Arial" w:cs="Arial" w:eastAsia="Arial" w:hAnsi="Arial"/>
          <w:sz w:val="21"/>
          <w:szCs w:val="21"/>
          <w:color w:val="auto"/>
        </w:rPr>
        <w:t>To conduct or engage in any lawful act or activity for which corporations may be organized 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left="1760"/>
        <w:spacing w:after="0"/>
        <w:rPr>
          <w:sz w:val="20"/>
          <w:szCs w:val="20"/>
          <w:color w:val="auto"/>
        </w:rPr>
      </w:pPr>
      <w:r>
        <w:rPr>
          <w:rFonts w:ascii="Arial" w:cs="Arial" w:eastAsia="Arial" w:hAnsi="Arial"/>
          <w:sz w:val="21"/>
          <w:szCs w:val="21"/>
          <w:b w:val="1"/>
          <w:bCs w:val="1"/>
          <w:color w:val="auto"/>
        </w:rPr>
        <w:t>FOURTH: Shares, Reclassification, and Transfer Restrictions</w:t>
      </w:r>
    </w:p>
    <w:p>
      <w:pPr>
        <w:spacing w:after="0" w:line="215"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9"/>
          <w:szCs w:val="19"/>
          <w:i w:val="1"/>
          <w:iCs w:val="1"/>
          <w:color w:val="auto"/>
        </w:rPr>
        <w:t>Authorized Shares.</w:t>
      </w:r>
    </w:p>
    <w:p>
      <w:pPr>
        <w:spacing w:after="0" w:line="209" w:lineRule="exact"/>
        <w:rPr>
          <w:sz w:val="20"/>
          <w:szCs w:val="20"/>
          <w:color w:val="auto"/>
        </w:rPr>
      </w:pPr>
    </w:p>
    <w:p>
      <w:pPr>
        <w:ind w:right="60" w:firstLine="1756"/>
        <w:spacing w:after="0" w:line="251" w:lineRule="auto"/>
        <w:rPr>
          <w:sz w:val="20"/>
          <w:szCs w:val="20"/>
          <w:color w:val="auto"/>
        </w:rPr>
      </w:pPr>
      <w:r>
        <w:rPr>
          <w:rFonts w:ascii="Arial" w:cs="Arial" w:eastAsia="Arial" w:hAnsi="Arial"/>
          <w:sz w:val="21"/>
          <w:szCs w:val="21"/>
          <w:color w:val="auto"/>
        </w:rPr>
        <w:t>The total authorized stock of the Corporation shall be 101,000,000 shares, divided into: (i) 100,000,000 shares of Common Stock having a par value of $0.01 per share (“</w:t>
      </w:r>
      <w:r>
        <w:rPr>
          <w:rFonts w:ascii="Arial" w:cs="Arial" w:eastAsia="Arial" w:hAnsi="Arial"/>
          <w:sz w:val="21"/>
          <w:szCs w:val="21"/>
          <w:b w:val="1"/>
          <w:bCs w:val="1"/>
          <w:color w:val="auto"/>
        </w:rPr>
        <w:t>Common Stock</w:t>
      </w:r>
      <w:r>
        <w:rPr>
          <w:rFonts w:ascii="Arial" w:cs="Arial" w:eastAsia="Arial" w:hAnsi="Arial"/>
          <w:sz w:val="21"/>
          <w:szCs w:val="21"/>
          <w:color w:val="auto"/>
        </w:rPr>
        <w:t>”); and (ii) 1,000,000 shares of Preferred Stock having a par value of $0.01 per share (“</w:t>
      </w:r>
      <w:r>
        <w:rPr>
          <w:rFonts w:ascii="Arial" w:cs="Arial" w:eastAsia="Arial" w:hAnsi="Arial"/>
          <w:sz w:val="21"/>
          <w:szCs w:val="21"/>
          <w:b w:val="1"/>
          <w:bCs w:val="1"/>
          <w:color w:val="auto"/>
        </w:rPr>
        <w:t>Preferred Stock</w:t>
      </w:r>
      <w:r>
        <w:rPr>
          <w:rFonts w:ascii="Arial" w:cs="Arial" w:eastAsia="Arial" w:hAnsi="Arial"/>
          <w:sz w:val="21"/>
          <w:szCs w:val="21"/>
          <w:color w:val="auto"/>
        </w:rPr>
        <w:t>”).</w:t>
      </w:r>
    </w:p>
    <w:p>
      <w:pPr>
        <w:spacing w:after="0" w:line="197"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color w:val="auto"/>
        </w:rPr>
        <w:t>[Reserved]</w:t>
      </w:r>
    </w:p>
    <w:p>
      <w:pPr>
        <w:spacing w:after="0" w:line="223"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i w:val="1"/>
          <w:iCs w:val="1"/>
          <w:color w:val="auto"/>
        </w:rPr>
        <w:t>Transfer Restrictions.</w:t>
      </w:r>
    </w:p>
    <w:p>
      <w:pPr>
        <w:spacing w:after="0" w:line="209" w:lineRule="exact"/>
        <w:rPr>
          <w:sz w:val="20"/>
          <w:szCs w:val="20"/>
          <w:color w:val="auto"/>
        </w:rPr>
      </w:pPr>
    </w:p>
    <w:p>
      <w:pPr>
        <w:ind w:left="2500"/>
        <w:spacing w:after="0"/>
        <w:rPr>
          <w:sz w:val="20"/>
          <w:szCs w:val="20"/>
          <w:color w:val="auto"/>
        </w:rPr>
      </w:pPr>
      <w:r>
        <w:rPr>
          <w:rFonts w:ascii="Arial" w:cs="Arial" w:eastAsia="Arial" w:hAnsi="Arial"/>
          <w:sz w:val="21"/>
          <w:szCs w:val="21"/>
          <w:i w:val="1"/>
          <w:iCs w:val="1"/>
          <w:color w:val="auto"/>
        </w:rPr>
        <w:t>Section 4.3.1. Certain Definitions.</w:t>
      </w:r>
    </w:p>
    <w:p>
      <w:pPr>
        <w:spacing w:after="0" w:line="209" w:lineRule="exact"/>
        <w:rPr>
          <w:sz w:val="20"/>
          <w:szCs w:val="20"/>
          <w:color w:val="auto"/>
        </w:rPr>
      </w:pPr>
    </w:p>
    <w:p>
      <w:pPr>
        <w:ind w:left="2500"/>
        <w:spacing w:after="0"/>
        <w:rPr>
          <w:sz w:val="20"/>
          <w:szCs w:val="20"/>
          <w:color w:val="auto"/>
        </w:rPr>
      </w:pPr>
      <w:r>
        <w:rPr>
          <w:rFonts w:ascii="Arial" w:cs="Arial" w:eastAsia="Arial" w:hAnsi="Arial"/>
          <w:sz w:val="21"/>
          <w:szCs w:val="21"/>
          <w:color w:val="auto"/>
        </w:rPr>
        <w:t>As used in this Section 4.3:</w:t>
      </w:r>
    </w:p>
    <w:p>
      <w:pPr>
        <w:spacing w:after="0" w:line="203" w:lineRule="exact"/>
        <w:rPr>
          <w:sz w:val="20"/>
          <w:szCs w:val="20"/>
          <w:color w:val="auto"/>
        </w:rPr>
      </w:pPr>
    </w:p>
    <w:p>
      <w:pPr>
        <w:ind w:right="240" w:firstLine="175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w:t>
      </w:r>
      <w:r>
        <w:rPr>
          <w:rFonts w:ascii="Arial" w:cs="Arial" w:eastAsia="Arial" w:hAnsi="Arial"/>
          <w:sz w:val="19"/>
          <w:szCs w:val="19"/>
          <w:color w:val="auto"/>
        </w:rPr>
        <w:t>” or “</w:t>
      </w:r>
      <w:r>
        <w:rPr>
          <w:rFonts w:ascii="Arial" w:cs="Arial" w:eastAsia="Arial" w:hAnsi="Arial"/>
          <w:sz w:val="19"/>
          <w:szCs w:val="19"/>
          <w:b w:val="1"/>
          <w:bCs w:val="1"/>
          <w:color w:val="auto"/>
        </w:rPr>
        <w:t>Acquisition</w:t>
      </w:r>
      <w:r>
        <w:rPr>
          <w:rFonts w:ascii="Arial" w:cs="Arial" w:eastAsia="Arial" w:hAnsi="Arial"/>
          <w:sz w:val="19"/>
          <w:szCs w:val="19"/>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140" w:lineRule="exact"/>
        <w:rPr>
          <w:sz w:val="20"/>
          <w:szCs w:val="20"/>
          <w:color w:val="auto"/>
        </w:rPr>
      </w:pPr>
    </w:p>
    <w:p>
      <w:pPr>
        <w:ind w:right="760"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Saturday, Sunday or day on which banks located in Boston, Massachusetts, are authorized or required by law to close.</w:t>
      </w:r>
    </w:p>
    <w:p>
      <w:pPr>
        <w:spacing w:after="0" w:line="142"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as amended.</w:t>
      </w:r>
    </w:p>
    <w:p>
      <w:pPr>
        <w:spacing w:after="0" w:line="209" w:lineRule="exact"/>
        <w:rPr>
          <w:sz w:val="20"/>
          <w:szCs w:val="20"/>
          <w:color w:val="auto"/>
        </w:rPr>
      </w:pPr>
    </w:p>
    <w:p>
      <w:pPr>
        <w:ind w:right="60" w:firstLine="175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Corporation Securities</w:t>
      </w:r>
      <w:r>
        <w:rPr>
          <w:rFonts w:ascii="Arial" w:cs="Arial" w:eastAsia="Arial" w:hAnsi="Arial"/>
          <w:sz w:val="21"/>
          <w:szCs w:val="21"/>
          <w:color w:val="auto"/>
        </w:rPr>
        <w:t>” means (a) shares of Common Stock, (b) shares of Preferred Stock of any class or series of Preferred Stock, (c) warrants, rights or options (including within the meaning of Treasury Regulation Section 1.382-2T(h)(4) (v)) to purchase stock of the Corporation, and (d) any other interests that would be treated as “stock” of the Corporation pursuant to Treasury Regulation Section 1.382-2T(f)(18).</w:t>
      </w:r>
    </w:p>
    <w:p>
      <w:pPr>
        <w:spacing w:after="0" w:line="169"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means August 27, 2009.</w:t>
      </w:r>
    </w:p>
    <w:p>
      <w:pPr>
        <w:spacing w:after="0" w:line="209"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Entity</w:t>
      </w:r>
      <w:r>
        <w:rPr>
          <w:rFonts w:ascii="Arial" w:cs="Arial" w:eastAsia="Arial" w:hAnsi="Arial"/>
          <w:sz w:val="21"/>
          <w:szCs w:val="21"/>
          <w:color w:val="auto"/>
        </w:rPr>
        <w:t>” means an entity within the meaning of Treasury Regulation Section 1.382-3(a)(1).</w:t>
      </w:r>
    </w:p>
    <w:p>
      <w:pPr>
        <w:spacing w:after="0" w:line="209" w:lineRule="exact"/>
        <w:rPr>
          <w:sz w:val="20"/>
          <w:szCs w:val="20"/>
          <w:color w:val="auto"/>
        </w:rPr>
      </w:pPr>
    </w:p>
    <w:p>
      <w:pPr>
        <w:ind w:firstLine="175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Five Percent Shareholder</w:t>
      </w:r>
      <w:r>
        <w:rPr>
          <w:rFonts w:ascii="Arial" w:cs="Arial" w:eastAsia="Arial" w:hAnsi="Arial"/>
          <w:sz w:val="21"/>
          <w:szCs w:val="21"/>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amended (or any similar schedules) as of any date, and (b) its actual knowledge of the ownership of the Corporation Securities.</w:t>
      </w:r>
    </w:p>
    <w:p>
      <w:pPr>
        <w:spacing w:after="0" w:line="215" w:lineRule="exact"/>
        <w:rPr>
          <w:sz w:val="20"/>
          <w:szCs w:val="20"/>
          <w:color w:val="auto"/>
        </w:rPr>
      </w:pPr>
    </w:p>
    <w:p>
      <w:pPr>
        <w:ind w:right="860"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Percentage Stock Ownership</w:t>
      </w:r>
      <w:r>
        <w:rPr>
          <w:rFonts w:ascii="Arial" w:cs="Arial" w:eastAsia="Arial" w:hAnsi="Arial"/>
          <w:sz w:val="21"/>
          <w:szCs w:val="21"/>
          <w:color w:val="auto"/>
        </w:rPr>
        <w:t>” and similar terms means percentage stock ownership as determined in accordance with Treasury Regulation Section 1.382-2T(g), (h), (j) and (k).</w:t>
      </w:r>
    </w:p>
    <w:p>
      <w:pPr>
        <w:spacing w:after="0" w:line="142" w:lineRule="exact"/>
        <w:rPr>
          <w:sz w:val="20"/>
          <w:szCs w:val="20"/>
          <w:color w:val="auto"/>
        </w:rPr>
      </w:pPr>
    </w:p>
    <w:p>
      <w:pPr>
        <w:jc w:val="both"/>
        <w:ind w:right="60" w:firstLine="175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161" w:lineRule="exact"/>
        <w:rPr>
          <w:sz w:val="20"/>
          <w:szCs w:val="20"/>
          <w:color w:val="auto"/>
        </w:rPr>
      </w:pPr>
    </w:p>
    <w:p>
      <w:pPr>
        <w:ind w:right="20" w:firstLine="175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Prohibited Transfer</w:t>
      </w:r>
      <w:r>
        <w:rPr>
          <w:rFonts w:ascii="Arial" w:cs="Arial" w:eastAsia="Arial" w:hAnsi="Arial"/>
          <w:sz w:val="21"/>
          <w:szCs w:val="21"/>
          <w:color w:val="auto"/>
        </w:rPr>
        <w:t>” means any purported Transfer of Corporation Securities to the extent that such a Transfer is prohibited and/or void under this Article FOURTH, unless, with respect to any Transfer that would not result in an “ownership change” of the Corporation Securities (within the meaning of Section 382(g) of the Code), the Board of Directors determines that such a Transfer is not a Prohibited Transfer, in its sole discretion and subject to any conditions that it deems reasonable and appropriate in connection with its determination.</w:t>
      </w:r>
    </w:p>
    <w:p>
      <w:pPr>
        <w:spacing w:after="0" w:line="168" w:lineRule="exact"/>
        <w:rPr>
          <w:sz w:val="20"/>
          <w:szCs w:val="20"/>
          <w:color w:val="auto"/>
        </w:rPr>
      </w:pPr>
    </w:p>
    <w:p>
      <w:pPr>
        <w:ind w:right="120" w:firstLine="175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Restriction Release Date</w:t>
      </w:r>
      <w:r>
        <w:rPr>
          <w:rFonts w:ascii="Arial" w:cs="Arial" w:eastAsia="Arial" w:hAnsi="Arial"/>
          <w:sz w:val="21"/>
          <w:szCs w:val="21"/>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61" w:lineRule="exact"/>
        <w:rPr>
          <w:sz w:val="20"/>
          <w:szCs w:val="20"/>
          <w:color w:val="auto"/>
        </w:rPr>
      </w:pPr>
    </w:p>
    <w:p>
      <w:pPr>
        <w:ind w:right="120" w:firstLine="175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Holder</w:t>
      </w:r>
      <w:r>
        <w:rPr>
          <w:rFonts w:ascii="Arial" w:cs="Arial" w:eastAsia="Arial" w:hAnsi="Arial"/>
          <w:sz w:val="21"/>
          <w:szCs w:val="21"/>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61" w:lineRule="exact"/>
        <w:rPr>
          <w:sz w:val="20"/>
          <w:szCs w:val="20"/>
          <w:color w:val="auto"/>
        </w:rPr>
      </w:pPr>
    </w:p>
    <w:p>
      <w:pPr>
        <w:ind w:right="220" w:firstLine="175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Benefits</w:t>
      </w:r>
      <w:r>
        <w:rPr>
          <w:rFonts w:ascii="Arial" w:cs="Arial" w:eastAsia="Arial" w:hAnsi="Arial"/>
          <w:sz w:val="20"/>
          <w:szCs w:val="20"/>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43" w:lineRule="exact"/>
        <w:rPr>
          <w:sz w:val="20"/>
          <w:szCs w:val="20"/>
          <w:color w:val="auto"/>
        </w:rPr>
      </w:pPr>
    </w:p>
    <w:p>
      <w:pPr>
        <w:ind w:right="160" w:firstLine="175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w:t>
      </w:r>
      <w:r>
        <w:rPr>
          <w:rFonts w:ascii="Arial" w:cs="Arial" w:eastAsia="Arial" w:hAnsi="Arial"/>
          <w:sz w:val="21"/>
          <w:szCs w:val="21"/>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Treasury Regulation</w:t>
      </w:r>
      <w:r>
        <w:rPr>
          <w:rFonts w:ascii="Arial" w:cs="Arial" w:eastAsia="Arial" w:hAnsi="Arial"/>
          <w:sz w:val="21"/>
          <w:szCs w:val="21"/>
          <w:color w:val="auto"/>
        </w:rPr>
        <w:t>” means a Treasury Regulation promulgated under the Code.</w:t>
      </w:r>
    </w:p>
    <w:p>
      <w:pPr>
        <w:spacing w:after="0" w:line="229" w:lineRule="exact"/>
        <w:rPr>
          <w:sz w:val="20"/>
          <w:szCs w:val="20"/>
          <w:color w:val="auto"/>
        </w:rPr>
      </w:pPr>
    </w:p>
    <w:p>
      <w:pPr>
        <w:ind w:left="2640"/>
        <w:spacing w:after="0"/>
        <w:rPr>
          <w:sz w:val="20"/>
          <w:szCs w:val="20"/>
          <w:color w:val="auto"/>
        </w:rPr>
      </w:pPr>
      <w:r>
        <w:rPr>
          <w:rFonts w:ascii="Arial" w:cs="Arial" w:eastAsia="Arial" w:hAnsi="Arial"/>
          <w:sz w:val="21"/>
          <w:szCs w:val="21"/>
          <w:i w:val="1"/>
          <w:iCs w:val="1"/>
          <w:color w:val="auto"/>
        </w:rPr>
        <w:t>Section 4.3.2. Transfer Restrictions.</w:t>
      </w:r>
    </w:p>
    <w:p>
      <w:pPr>
        <w:spacing w:after="0" w:line="209" w:lineRule="exact"/>
        <w:rPr>
          <w:sz w:val="20"/>
          <w:szCs w:val="20"/>
          <w:color w:val="auto"/>
        </w:rPr>
      </w:pPr>
    </w:p>
    <w:p>
      <w:pPr>
        <w:ind w:firstLine="2641"/>
        <w:spacing w:after="0" w:line="251" w:lineRule="auto"/>
        <w:tabs>
          <w:tab w:leader="none" w:pos="35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From and after the Effective Date and prior to the Restriction Release Date, subject to Section 4.3.2(b) and (c), no Transfer shall be permitted, and any such purported Transfer shall be void </w:t>
      </w:r>
      <w:r>
        <w:rPr>
          <w:rFonts w:ascii="Arial" w:cs="Arial" w:eastAsia="Arial" w:hAnsi="Arial"/>
          <w:sz w:val="21"/>
          <w:szCs w:val="21"/>
          <w:i w:val="1"/>
          <w:iCs w:val="1"/>
          <w:color w:val="auto"/>
        </w:rPr>
        <w:t>ab initio</w:t>
      </w:r>
      <w:r>
        <w:rPr>
          <w:rFonts w:ascii="Arial" w:cs="Arial" w:eastAsia="Arial" w:hAnsi="Arial"/>
          <w:sz w:val="21"/>
          <w:szCs w:val="21"/>
          <w:color w:val="auto"/>
        </w:rPr>
        <w:t>, to the extent that after giving effect to such purported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34" w:name="page35"/>
    <w:bookmarkEnd w:id="34"/>
    <w:p>
      <w:pPr>
        <w:ind w:right="40"/>
        <w:spacing w:after="0" w:line="243" w:lineRule="auto"/>
        <w:rPr>
          <w:sz w:val="20"/>
          <w:szCs w:val="20"/>
          <w:color w:val="auto"/>
        </w:rPr>
      </w:pPr>
      <w:r>
        <w:rPr>
          <w:rFonts w:ascii="Arial" w:cs="Arial" w:eastAsia="Arial" w:hAnsi="Arial"/>
          <w:sz w:val="21"/>
          <w:szCs w:val="21"/>
          <w:color w:val="auto"/>
        </w:rPr>
        <w:t>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77" w:lineRule="exact"/>
        <w:rPr>
          <w:sz w:val="20"/>
          <w:szCs w:val="20"/>
          <w:color w:val="auto"/>
        </w:rPr>
      </w:pPr>
    </w:p>
    <w:p>
      <w:pPr>
        <w:ind w:firstLine="2641"/>
        <w:spacing w:after="0" w:line="264" w:lineRule="auto"/>
        <w:tabs>
          <w:tab w:leader="none" w:pos="357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9"/>
          <w:szCs w:val="19"/>
          <w:b w:val="1"/>
          <w:bCs w:val="1"/>
          <w:color w:val="auto"/>
        </w:rPr>
        <w:t>Request</w:t>
      </w:r>
      <w:r>
        <w:rPr>
          <w:rFonts w:ascii="Arial" w:cs="Arial" w:eastAsia="Arial" w:hAnsi="Arial"/>
          <w:sz w:val="19"/>
          <w:szCs w:val="19"/>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 (i) 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Subject to Section 4.3.2(c), unless and until the Board of Directors determines to authorize a proposed Acquisition by a Restricted Holder, the consummation of such Acquisition shall be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advisors engaged by the Board of Directors to advise the Board of Directors or deliver an opinion thereto.</w:t>
      </w:r>
    </w:p>
    <w:p>
      <w:pPr>
        <w:spacing w:after="0" w:line="209" w:lineRule="exact"/>
        <w:rPr>
          <w:sz w:val="20"/>
          <w:szCs w:val="20"/>
          <w:color w:val="auto"/>
        </w:rPr>
      </w:pPr>
    </w:p>
    <w:p>
      <w:pPr>
        <w:ind w:firstLine="2641"/>
        <w:spacing w:after="0" w:line="255" w:lineRule="auto"/>
        <w:tabs>
          <w:tab w:leader="none" w:pos="35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Notwithstanding the foregoing Section 4.3.2(b), the Board of Directors may also authorize a purported prior Acquisition in respect of a Prohibited Transfer, if such Acquisition would not result in an “ownership change” of the Corporation Securities (within the meaning of Section 382(g) of the Code) and the Board of Directors determines, in its sole discretion, that, after taking into account the preservation of the Tax Benefits, such Acquisition would be in the best interests of the Corporation and its stockholders. Any determination by the Board of Directors not to authorize any purported prior Acquisition shall cause such purported prior Acquisition to continue to be deemed a Prohibited Transfer. The Request and Board of Director approval procedures set forth in Section 4.3.2(b) applicable to Restricted Holders with respect to proposed Acquisitions shall also apply to purported prior Acquisitions by any Person or group of Persons.</w:t>
      </w:r>
    </w:p>
    <w:p>
      <w:pPr>
        <w:spacing w:after="0" w:line="180" w:lineRule="exact"/>
        <w:rPr>
          <w:sz w:val="20"/>
          <w:szCs w:val="20"/>
          <w:color w:val="auto"/>
        </w:rPr>
      </w:pPr>
    </w:p>
    <w:p>
      <w:pPr>
        <w:ind w:left="2640"/>
        <w:spacing w:after="0"/>
        <w:rPr>
          <w:sz w:val="20"/>
          <w:szCs w:val="20"/>
          <w:color w:val="auto"/>
        </w:rPr>
      </w:pPr>
      <w:r>
        <w:rPr>
          <w:rFonts w:ascii="Arial" w:cs="Arial" w:eastAsia="Arial" w:hAnsi="Arial"/>
          <w:sz w:val="21"/>
          <w:szCs w:val="21"/>
          <w:i w:val="1"/>
          <w:iCs w:val="1"/>
          <w:color w:val="auto"/>
        </w:rPr>
        <w:t>Section 4.3.3. Treatment of Excess Securities.</w:t>
      </w:r>
    </w:p>
    <w:p>
      <w:pPr>
        <w:spacing w:after="0" w:line="209" w:lineRule="exact"/>
        <w:rPr>
          <w:sz w:val="20"/>
          <w:szCs w:val="20"/>
          <w:color w:val="auto"/>
        </w:rPr>
      </w:pPr>
    </w:p>
    <w:p>
      <w:pPr>
        <w:ind w:right="100" w:firstLine="2641"/>
        <w:spacing w:after="0" w:line="256" w:lineRule="auto"/>
        <w:tabs>
          <w:tab w:leader="none" w:pos="3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 employee or agent of the Corporation shall record any Prohibited Transfer, and the purported transferee of a Prohibited Transfer (the “</w:t>
      </w:r>
      <w:r>
        <w:rPr>
          <w:rFonts w:ascii="Arial" w:cs="Arial" w:eastAsia="Arial" w:hAnsi="Arial"/>
          <w:sz w:val="20"/>
          <w:szCs w:val="20"/>
          <w:b w:val="1"/>
          <w:bCs w:val="1"/>
          <w:color w:val="auto"/>
        </w:rPr>
        <w:t>Purported Transferee</w:t>
      </w:r>
      <w:r>
        <w:rPr>
          <w:rFonts w:ascii="Arial" w:cs="Arial" w:eastAsia="Arial" w:hAnsi="Arial"/>
          <w:sz w:val="20"/>
          <w:szCs w:val="20"/>
          <w:color w:val="auto"/>
        </w:rPr>
        <w:t>”) shall not be recognized as a stockholder of the Corporation for any purpose whatsoever in respect of the Corporation Securities which are the subject of the Prohibited Transfer (the “</w:t>
      </w:r>
      <w:r>
        <w:rPr>
          <w:rFonts w:ascii="Arial" w:cs="Arial" w:eastAsia="Arial" w:hAnsi="Arial"/>
          <w:sz w:val="20"/>
          <w:szCs w:val="20"/>
          <w:b w:val="1"/>
          <w:bCs w:val="1"/>
          <w:color w:val="auto"/>
        </w:rPr>
        <w:t>Excess Securities</w:t>
      </w:r>
      <w:r>
        <w:rPr>
          <w:rFonts w:ascii="Arial" w:cs="Arial" w:eastAsia="Arial" w:hAnsi="Arial"/>
          <w:sz w:val="20"/>
          <w:szCs w:val="20"/>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65" w:lineRule="exact"/>
        <w:rPr>
          <w:rFonts w:ascii="Arial" w:cs="Arial" w:eastAsia="Arial" w:hAnsi="Arial"/>
          <w:sz w:val="20"/>
          <w:szCs w:val="20"/>
          <w:color w:val="auto"/>
        </w:rPr>
      </w:pPr>
    </w:p>
    <w:p>
      <w:pPr>
        <w:ind w:right="20" w:firstLine="2641"/>
        <w:spacing w:after="0" w:line="266" w:lineRule="auto"/>
        <w:tabs>
          <w:tab w:leader="none" w:pos="3572"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9"/>
          <w:szCs w:val="19"/>
          <w:b w:val="1"/>
          <w:bCs w:val="1"/>
          <w:color w:val="auto"/>
        </w:rPr>
        <w:t>Prohibited Distributions</w:t>
      </w:r>
      <w:r>
        <w:rPr>
          <w:rFonts w:ascii="Arial" w:cs="Arial" w:eastAsia="Arial" w:hAnsi="Arial"/>
          <w:sz w:val="19"/>
          <w:szCs w:val="19"/>
          <w:color w:val="auto"/>
        </w:rPr>
        <w:t>”), to an agent designated by the Board of Directors (the “</w:t>
      </w:r>
      <w:r>
        <w:rPr>
          <w:rFonts w:ascii="Arial" w:cs="Arial" w:eastAsia="Arial" w:hAnsi="Arial"/>
          <w:sz w:val="19"/>
          <w:szCs w:val="19"/>
          <w:b w:val="1"/>
          <w:bCs w:val="1"/>
          <w:color w:val="auto"/>
        </w:rPr>
        <w:t>Agent</w:t>
      </w:r>
      <w:r>
        <w:rPr>
          <w:rFonts w:ascii="Arial" w:cs="Arial" w:eastAsia="Arial" w:hAnsi="Arial"/>
          <w:sz w:val="19"/>
          <w:szCs w:val="19"/>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20"/>
          <w:szCs w:val="20"/>
          <w:color w:val="auto"/>
        </w:rPr>
        <w:t>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65" w:lineRule="exact"/>
        <w:rPr>
          <w:sz w:val="20"/>
          <w:szCs w:val="20"/>
          <w:color w:val="auto"/>
        </w:rPr>
      </w:pPr>
    </w:p>
    <w:p>
      <w:pPr>
        <w:ind w:right="20" w:firstLine="2641"/>
        <w:spacing w:after="0" w:line="264" w:lineRule="auto"/>
        <w:tabs>
          <w:tab w:leader="none" w:pos="35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w:t>
      </w:r>
    </w:p>
    <w:p>
      <w:pPr>
        <w:spacing w:after="0" w:line="1" w:lineRule="exact"/>
        <w:rPr>
          <w:rFonts w:ascii="Arial" w:cs="Arial" w:eastAsia="Arial" w:hAnsi="Arial"/>
          <w:sz w:val="19"/>
          <w:szCs w:val="19"/>
          <w:color w:val="auto"/>
        </w:rPr>
      </w:pPr>
    </w:p>
    <w:p>
      <w:pPr>
        <w:ind w:right="300"/>
        <w:spacing w:after="0" w:line="242" w:lineRule="auto"/>
        <w:rPr>
          <w:rFonts w:ascii="Arial" w:cs="Arial" w:eastAsia="Arial" w:hAnsi="Arial"/>
          <w:sz w:val="19"/>
          <w:szCs w:val="19"/>
          <w:color w:val="auto"/>
        </w:rPr>
      </w:pPr>
      <w:r>
        <w:rPr>
          <w:rFonts w:ascii="Arial" w:cs="Arial" w:eastAsia="Arial" w:hAnsi="Arial"/>
          <w:sz w:val="21"/>
          <w:szCs w:val="21"/>
          <w:color w:val="auto"/>
        </w:rPr>
        <w:t>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79" w:lineRule="exact"/>
        <w:rPr>
          <w:rFonts w:ascii="Arial" w:cs="Arial" w:eastAsia="Arial" w:hAnsi="Arial"/>
          <w:sz w:val="19"/>
          <w:szCs w:val="19"/>
          <w:color w:val="auto"/>
        </w:rPr>
      </w:pPr>
    </w:p>
    <w:p>
      <w:pPr>
        <w:ind w:right="80" w:firstLine="2641"/>
        <w:spacing w:after="0" w:line="246" w:lineRule="auto"/>
        <w:tabs>
          <w:tab w:leader="none" w:pos="3572" w:val="left"/>
        </w:tabs>
        <w:numPr>
          <w:ilvl w:val="0"/>
          <w:numId w:val="17"/>
        </w:numPr>
        <w:rPr>
          <w:rFonts w:ascii="Arial" w:cs="Arial" w:eastAsia="Arial" w:hAnsi="Arial"/>
          <w:sz w:val="21"/>
          <w:szCs w:val="21"/>
          <w:color w:val="auto"/>
        </w:rPr>
      </w:pPr>
      <w:r>
        <w:rPr>
          <w:rFonts w:ascii="Arial" w:cs="Arial" w:eastAsia="Arial" w:hAnsi="Arial"/>
          <w:sz w:val="21"/>
          <w:szCs w:val="21"/>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76" w:lineRule="exact"/>
        <w:rPr>
          <w:rFonts w:ascii="Arial" w:cs="Arial" w:eastAsia="Arial" w:hAnsi="Arial"/>
          <w:sz w:val="21"/>
          <w:szCs w:val="21"/>
          <w:color w:val="auto"/>
        </w:rPr>
      </w:pPr>
    </w:p>
    <w:p>
      <w:pPr>
        <w:ind w:firstLine="2641"/>
        <w:spacing w:after="0" w:line="259" w:lineRule="auto"/>
        <w:tabs>
          <w:tab w:leader="none" w:pos="35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any Person shall knowingly violate, or knowingly cause any other Person under control of such Person (a “</w:t>
      </w:r>
      <w:r>
        <w:rPr>
          <w:rFonts w:ascii="Arial" w:cs="Arial" w:eastAsia="Arial" w:hAnsi="Arial"/>
          <w:sz w:val="20"/>
          <w:szCs w:val="20"/>
          <w:b w:val="1"/>
          <w:bCs w:val="1"/>
          <w:color w:val="auto"/>
        </w:rPr>
        <w:t>Controlled Person</w:t>
      </w:r>
      <w:r>
        <w:rPr>
          <w:rFonts w:ascii="Arial" w:cs="Arial" w:eastAsia="Arial" w:hAnsi="Arial"/>
          <w:sz w:val="20"/>
          <w:szCs w:val="20"/>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65" w:lineRule="exact"/>
        <w:rPr>
          <w:sz w:val="20"/>
          <w:szCs w:val="20"/>
          <w:color w:val="auto"/>
        </w:rPr>
      </w:pPr>
    </w:p>
    <w:p>
      <w:pPr>
        <w:ind w:left="2640"/>
        <w:spacing w:after="0"/>
        <w:rPr>
          <w:sz w:val="20"/>
          <w:szCs w:val="20"/>
          <w:color w:val="auto"/>
        </w:rPr>
      </w:pPr>
      <w:r>
        <w:rPr>
          <w:rFonts w:ascii="Arial" w:cs="Arial" w:eastAsia="Arial" w:hAnsi="Arial"/>
          <w:sz w:val="21"/>
          <w:szCs w:val="21"/>
          <w:i w:val="1"/>
          <w:iCs w:val="1"/>
          <w:color w:val="auto"/>
        </w:rPr>
        <w:t>Section 4.3.4. Legends; Compliance</w:t>
      </w:r>
    </w:p>
    <w:p>
      <w:pPr>
        <w:spacing w:after="0" w:line="209" w:lineRule="exact"/>
        <w:rPr>
          <w:sz w:val="20"/>
          <w:szCs w:val="20"/>
          <w:color w:val="auto"/>
        </w:rPr>
      </w:pPr>
    </w:p>
    <w:p>
      <w:pPr>
        <w:ind w:left="3560" w:hanging="919"/>
        <w:spacing w:after="0"/>
        <w:tabs>
          <w:tab w:leader="none" w:pos="35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certificates reflecting Corporation Securities on or after the Effective Date shall, until</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the Restriction Release Date, bear a conspicuous legend in substantially the following form: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37" w:name="page38"/>
    <w:bookmarkEnd w:id="37"/>
    <w:p>
      <w:pPr>
        <w:ind w:right="120" w:firstLine="2635"/>
        <w:spacing w:after="0" w:line="246" w:lineRule="auto"/>
        <w:rPr>
          <w:sz w:val="20"/>
          <w:szCs w:val="20"/>
          <w:color w:val="auto"/>
        </w:rPr>
      </w:pPr>
      <w:r>
        <w:rPr>
          <w:rFonts w:ascii="Arial" w:cs="Arial" w:eastAsia="Arial" w:hAnsi="Arial"/>
          <w:sz w:val="21"/>
          <w:szCs w:val="21"/>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177" w:lineRule="exact"/>
        <w:rPr>
          <w:sz w:val="20"/>
          <w:szCs w:val="20"/>
          <w:color w:val="auto"/>
        </w:rPr>
      </w:pPr>
    </w:p>
    <w:p>
      <w:pPr>
        <w:ind w:right="120" w:firstLine="2641"/>
        <w:spacing w:after="0" w:line="291" w:lineRule="auto"/>
        <w:tabs>
          <w:tab w:leader="none" w:pos="3572"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33" w:lineRule="exact"/>
        <w:rPr>
          <w:rFonts w:ascii="Arial" w:cs="Arial" w:eastAsia="Arial" w:hAnsi="Arial"/>
          <w:sz w:val="19"/>
          <w:szCs w:val="19"/>
          <w:color w:val="auto"/>
        </w:rPr>
      </w:pPr>
    </w:p>
    <w:p>
      <w:pPr>
        <w:ind w:firstLine="2641"/>
        <w:spacing w:after="0" w:line="251" w:lineRule="auto"/>
        <w:tabs>
          <w:tab w:leader="none" w:pos="35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80" w:lineRule="exact"/>
        <w:rPr>
          <w:rFonts w:ascii="Arial" w:cs="Arial" w:eastAsia="Arial" w:hAnsi="Arial"/>
          <w:sz w:val="20"/>
          <w:szCs w:val="20"/>
          <w:color w:val="auto"/>
        </w:rPr>
      </w:pPr>
    </w:p>
    <w:p>
      <w:pPr>
        <w:ind w:right="40" w:firstLine="2641"/>
        <w:spacing w:after="0" w:line="251" w:lineRule="auto"/>
        <w:tabs>
          <w:tab w:leader="none" w:pos="3572" w:val="left"/>
        </w:tabs>
        <w:numPr>
          <w:ilvl w:val="0"/>
          <w:numId w:val="19"/>
        </w:numPr>
        <w:rPr>
          <w:rFonts w:ascii="Arial" w:cs="Arial" w:eastAsia="Arial" w:hAnsi="Arial"/>
          <w:sz w:val="21"/>
          <w:szCs w:val="21"/>
          <w:color w:val="auto"/>
        </w:rPr>
      </w:pPr>
      <w:r>
        <w:rPr>
          <w:rFonts w:ascii="Arial" w:cs="Arial" w:eastAsia="Arial" w:hAnsi="Arial"/>
          <w:sz w:val="21"/>
          <w:szCs w:val="21"/>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170" w:lineRule="exact"/>
        <w:rPr>
          <w:rFonts w:ascii="Arial" w:cs="Arial" w:eastAsia="Arial" w:hAnsi="Arial"/>
          <w:sz w:val="21"/>
          <w:szCs w:val="21"/>
          <w:color w:val="auto"/>
        </w:rPr>
      </w:pPr>
    </w:p>
    <w:p>
      <w:pPr>
        <w:ind w:right="280" w:firstLine="2641"/>
        <w:spacing w:after="0" w:line="270" w:lineRule="auto"/>
        <w:tabs>
          <w:tab w:leader="none" w:pos="35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52" w:lineRule="exact"/>
        <w:rPr>
          <w:sz w:val="20"/>
          <w:szCs w:val="20"/>
          <w:color w:val="auto"/>
        </w:rPr>
      </w:pPr>
    </w:p>
    <w:p>
      <w:pPr>
        <w:jc w:val="both"/>
        <w:ind w:right="340" w:firstLine="1756"/>
        <w:spacing w:after="0" w:line="251"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Voting Power, Preferences, and Other Rights of Capital Stock.</w:t>
      </w:r>
      <w:r>
        <w:rPr>
          <w:rFonts w:ascii="Arial" w:cs="Arial" w:eastAsia="Arial" w:hAnsi="Arial"/>
          <w:sz w:val="21"/>
          <w:szCs w:val="21"/>
          <w:color w:val="auto"/>
        </w:rPr>
        <w:t xml:space="preserve"> The voting power, preferences and relative participating, optional or other special rights and the qualifications, limitations or restrictions of the Common Stock and Preferred Stock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84" w:right="239" w:bottom="1440" w:gutter="0" w:footer="0" w:header="0"/>
        </w:sectPr>
      </w:pPr>
    </w:p>
    <w:bookmarkStart w:id="38" w:name="page39"/>
    <w:bookmarkEnd w:id="38"/>
    <w:p>
      <w:pPr>
        <w:ind w:right="20" w:firstLine="2635"/>
        <w:spacing w:after="0" w:line="252" w:lineRule="auto"/>
        <w:rPr>
          <w:sz w:val="20"/>
          <w:szCs w:val="20"/>
          <w:color w:val="auto"/>
        </w:rPr>
      </w:pPr>
      <w:r>
        <w:rPr>
          <w:rFonts w:ascii="Arial" w:cs="Arial" w:eastAsia="Arial" w:hAnsi="Arial"/>
          <w:sz w:val="20"/>
          <w:szCs w:val="20"/>
          <w:i w:val="1"/>
          <w:iCs w:val="1"/>
          <w:color w:val="auto"/>
        </w:rPr>
        <w:t xml:space="preserve">Section 4.4.1. Common Stock. </w:t>
      </w:r>
      <w:r>
        <w:rPr>
          <w:rFonts w:ascii="Arial" w:cs="Arial" w:eastAsia="Arial" w:hAnsi="Arial"/>
          <w:sz w:val="20"/>
          <w:szCs w:val="20"/>
          <w:color w:val="auto"/>
        </w:rPr>
        <w:t>The holders of the Common Stock shall be entitled to one vote for each</w:t>
      </w:r>
      <w:r>
        <w:rPr>
          <w:rFonts w:ascii="Arial" w:cs="Arial" w:eastAsia="Arial" w:hAnsi="Arial"/>
          <w:sz w:val="20"/>
          <w:szCs w:val="20"/>
          <w:i w:val="1"/>
          <w:iCs w:val="1"/>
          <w:color w:val="auto"/>
        </w:rPr>
        <w:t xml:space="preserve"> </w:t>
      </w:r>
      <w:r>
        <w:rPr>
          <w:rFonts w:ascii="Arial" w:cs="Arial" w:eastAsia="Arial" w:hAnsi="Arial"/>
          <w:sz w:val="20"/>
          <w:szCs w:val="20"/>
          <w:color w:val="auto"/>
        </w:rPr>
        <w:t>share of Common Stock registered in the name of 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70" w:lineRule="exact"/>
        <w:rPr>
          <w:sz w:val="20"/>
          <w:szCs w:val="20"/>
          <w:color w:val="auto"/>
        </w:rPr>
      </w:pPr>
    </w:p>
    <w:p>
      <w:pPr>
        <w:ind w:right="120" w:firstLine="2635"/>
        <w:spacing w:after="0" w:line="281" w:lineRule="auto"/>
        <w:rPr>
          <w:sz w:val="20"/>
          <w:szCs w:val="20"/>
          <w:color w:val="auto"/>
        </w:rPr>
      </w:pPr>
      <w:r>
        <w:rPr>
          <w:rFonts w:ascii="Arial" w:cs="Arial" w:eastAsia="Arial" w:hAnsi="Arial"/>
          <w:sz w:val="19"/>
          <w:szCs w:val="19"/>
          <w:i w:val="1"/>
          <w:iCs w:val="1"/>
          <w:color w:val="auto"/>
        </w:rPr>
        <w:t xml:space="preserve">Section 4.4.2. Preferred Stock. </w:t>
      </w:r>
      <w:r>
        <w:rPr>
          <w:rFonts w:ascii="Arial" w:cs="Arial" w:eastAsia="Arial" w:hAnsi="Arial"/>
          <w:sz w:val="19"/>
          <w:szCs w:val="19"/>
          <w:color w:val="auto"/>
        </w:rPr>
        <w:t>The Board of Directors is authorized, subject to limitations prescribed</w:t>
      </w:r>
      <w:r>
        <w:rPr>
          <w:rFonts w:ascii="Arial" w:cs="Arial" w:eastAsia="Arial" w:hAnsi="Arial"/>
          <w:sz w:val="19"/>
          <w:szCs w:val="19"/>
          <w:i w:val="1"/>
          <w:iCs w:val="1"/>
          <w:color w:val="auto"/>
        </w:rPr>
        <w:t xml:space="preserve"> </w:t>
      </w:r>
      <w:r>
        <w:rPr>
          <w:rFonts w:ascii="Arial" w:cs="Arial" w:eastAsia="Arial" w:hAnsi="Arial"/>
          <w:sz w:val="19"/>
          <w:szCs w:val="19"/>
          <w:color w:val="auto"/>
        </w:rPr>
        <w:t>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44" w:lineRule="exact"/>
        <w:rPr>
          <w:sz w:val="20"/>
          <w:szCs w:val="20"/>
          <w:color w:val="auto"/>
        </w:rPr>
      </w:pPr>
    </w:p>
    <w:p>
      <w:pPr>
        <w:ind w:right="140" w:firstLine="2635"/>
        <w:spacing w:after="0" w:line="266" w:lineRule="auto"/>
        <w:rPr>
          <w:sz w:val="20"/>
          <w:szCs w:val="20"/>
          <w:color w:val="auto"/>
        </w:rPr>
      </w:pPr>
      <w:r>
        <w:rPr>
          <w:rFonts w:ascii="Arial" w:cs="Arial" w:eastAsia="Arial" w:hAnsi="Arial"/>
          <w:sz w:val="21"/>
          <w:szCs w:val="21"/>
          <w:color w:val="auto"/>
        </w:rPr>
        <w:t>The authority of the Board of Directors with respect to each series shall include, but not be limited to, determination of the following:</w:t>
      </w:r>
    </w:p>
    <w:p>
      <w:pPr>
        <w:spacing w:after="0" w:line="154" w:lineRule="exact"/>
        <w:rPr>
          <w:sz w:val="20"/>
          <w:szCs w:val="20"/>
          <w:color w:val="auto"/>
        </w:rPr>
      </w:pPr>
    </w:p>
    <w:p>
      <w:pPr>
        <w:ind w:left="3560" w:hanging="919"/>
        <w:spacing w:after="0"/>
        <w:tabs>
          <w:tab w:leader="none" w:pos="35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number of shares constituting that series and the distinctive designation of that series;</w:t>
      </w:r>
    </w:p>
    <w:p>
      <w:pPr>
        <w:spacing w:after="0" w:line="232" w:lineRule="exact"/>
        <w:rPr>
          <w:rFonts w:ascii="Arial" w:cs="Arial" w:eastAsia="Arial" w:hAnsi="Arial"/>
          <w:sz w:val="19"/>
          <w:szCs w:val="19"/>
          <w:color w:val="auto"/>
        </w:rPr>
      </w:pPr>
    </w:p>
    <w:p>
      <w:pPr>
        <w:ind w:left="3580" w:hanging="939"/>
        <w:spacing w:after="0"/>
        <w:tabs>
          <w:tab w:leader="none" w:pos="35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dividend rate on the shares of that series, whether dividends shall be cumulative, and, if</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so, from which date or dates, and the relative rights of priority, if any, of payment of dividends on shares of that series;</w:t>
      </w:r>
    </w:p>
    <w:p>
      <w:pPr>
        <w:spacing w:after="0" w:line="191" w:lineRule="exact"/>
        <w:rPr>
          <w:rFonts w:ascii="Arial" w:cs="Arial" w:eastAsia="Arial" w:hAnsi="Arial"/>
          <w:sz w:val="19"/>
          <w:szCs w:val="19"/>
          <w:color w:val="auto"/>
        </w:rPr>
      </w:pPr>
    </w:p>
    <w:p>
      <w:pPr>
        <w:ind w:left="3560" w:hanging="919"/>
        <w:spacing w:after="0"/>
        <w:tabs>
          <w:tab w:leader="none" w:pos="35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Whether that series shall have voting rights, in addition to the voting rights provided by law,</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 if so, the terms of such voting rights;</w:t>
      </w:r>
    </w:p>
    <w:p>
      <w:pPr>
        <w:spacing w:after="0" w:line="191" w:lineRule="exact"/>
        <w:rPr>
          <w:rFonts w:ascii="Arial" w:cs="Arial" w:eastAsia="Arial" w:hAnsi="Arial"/>
          <w:sz w:val="19"/>
          <w:szCs w:val="19"/>
          <w:color w:val="auto"/>
        </w:rPr>
      </w:pPr>
    </w:p>
    <w:p>
      <w:pPr>
        <w:ind w:right="100" w:firstLine="2641"/>
        <w:spacing w:after="0" w:line="319" w:lineRule="auto"/>
        <w:tabs>
          <w:tab w:leader="none" w:pos="3572" w:val="left"/>
        </w:tabs>
        <w:numPr>
          <w:ilvl w:val="0"/>
          <w:numId w:val="20"/>
        </w:numPr>
        <w:rPr>
          <w:rFonts w:ascii="Arial" w:cs="Arial" w:eastAsia="Arial" w:hAnsi="Arial"/>
          <w:sz w:val="19"/>
          <w:szCs w:val="19"/>
          <w:color w:val="auto"/>
        </w:rPr>
      </w:pPr>
      <w:r>
        <w:rPr>
          <w:rFonts w:ascii="Arial" w:cs="Arial" w:eastAsia="Arial" w:hAnsi="Arial"/>
          <w:sz w:val="19"/>
          <w:szCs w:val="19"/>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08" w:lineRule="exact"/>
        <w:rPr>
          <w:rFonts w:ascii="Arial" w:cs="Arial" w:eastAsia="Arial" w:hAnsi="Arial"/>
          <w:sz w:val="19"/>
          <w:szCs w:val="19"/>
          <w:color w:val="auto"/>
        </w:rPr>
      </w:pPr>
    </w:p>
    <w:p>
      <w:pPr>
        <w:ind w:right="640" w:firstLine="2641"/>
        <w:spacing w:after="0" w:line="266" w:lineRule="auto"/>
        <w:tabs>
          <w:tab w:leader="none" w:pos="35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Whether or not the shares of that series shall be redeemable, and, if so, the terms and conditions of such redemption, including the date or dates upon or after which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bookmarkStart w:id="39" w:name="page40"/>
    <w:bookmarkEnd w:id="39"/>
    <w:p>
      <w:pPr>
        <w:spacing w:after="0" w:line="266" w:lineRule="auto"/>
        <w:rPr>
          <w:sz w:val="20"/>
          <w:szCs w:val="20"/>
          <w:color w:val="auto"/>
        </w:rPr>
      </w:pPr>
      <w:r>
        <w:rPr>
          <w:rFonts w:ascii="Arial" w:cs="Arial" w:eastAsia="Arial" w:hAnsi="Arial"/>
          <w:sz w:val="21"/>
          <w:szCs w:val="21"/>
          <w:color w:val="auto"/>
        </w:rPr>
        <w:t>they shall be redeemable, and the amount per share payable in case of redemption, which amount may vary under different conditions and at different redemption dates;</w:t>
      </w:r>
    </w:p>
    <w:p>
      <w:pPr>
        <w:spacing w:after="0" w:line="154" w:lineRule="exact"/>
        <w:rPr>
          <w:sz w:val="20"/>
          <w:szCs w:val="20"/>
          <w:color w:val="auto"/>
        </w:rPr>
      </w:pPr>
    </w:p>
    <w:p>
      <w:pPr>
        <w:ind w:right="300" w:firstLine="2641"/>
        <w:spacing w:after="0" w:line="266" w:lineRule="auto"/>
        <w:tabs>
          <w:tab w:leader="none" w:pos="3536" w:val="left"/>
        </w:tabs>
        <w:numPr>
          <w:ilvl w:val="0"/>
          <w:numId w:val="21"/>
        </w:numPr>
        <w:rPr>
          <w:rFonts w:ascii="Arial" w:cs="Arial" w:eastAsia="Arial" w:hAnsi="Arial"/>
          <w:sz w:val="21"/>
          <w:szCs w:val="21"/>
          <w:color w:val="auto"/>
        </w:rPr>
      </w:pPr>
      <w:r>
        <w:rPr>
          <w:rFonts w:ascii="Arial" w:cs="Arial" w:eastAsia="Arial" w:hAnsi="Arial"/>
          <w:sz w:val="21"/>
          <w:szCs w:val="21"/>
          <w:color w:val="auto"/>
        </w:rPr>
        <w:t>Whether that series shall have a sinking fund for the redemption or purchase of shares of that series, and, if so, the terms and amount of such sinking fund;</w:t>
      </w:r>
    </w:p>
    <w:p>
      <w:pPr>
        <w:spacing w:after="0" w:line="154" w:lineRule="exact"/>
        <w:rPr>
          <w:rFonts w:ascii="Arial" w:cs="Arial" w:eastAsia="Arial" w:hAnsi="Arial"/>
          <w:sz w:val="21"/>
          <w:szCs w:val="21"/>
          <w:color w:val="auto"/>
        </w:rPr>
      </w:pPr>
    </w:p>
    <w:p>
      <w:pPr>
        <w:ind w:right="220" w:firstLine="2641"/>
        <w:spacing w:after="0" w:line="319" w:lineRule="auto"/>
        <w:tabs>
          <w:tab w:leader="none" w:pos="357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08" w:lineRule="exact"/>
        <w:rPr>
          <w:rFonts w:ascii="Arial" w:cs="Arial" w:eastAsia="Arial" w:hAnsi="Arial"/>
          <w:sz w:val="19"/>
          <w:szCs w:val="19"/>
          <w:color w:val="auto"/>
        </w:rPr>
      </w:pPr>
    </w:p>
    <w:p>
      <w:pPr>
        <w:ind w:left="3580" w:hanging="939"/>
        <w:spacing w:after="0"/>
        <w:tabs>
          <w:tab w:leader="none" w:pos="35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Any other relative powers, rights, preferences and limitations of that series.</w:t>
      </w:r>
    </w:p>
    <w:p>
      <w:pPr>
        <w:spacing w:after="0" w:line="203"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auto"/>
        </w:rPr>
        <w:t>FIFTH</w:t>
      </w:r>
      <w:r>
        <w:rPr>
          <w:rFonts w:ascii="Arial" w:cs="Arial" w:eastAsia="Arial" w:hAnsi="Arial"/>
          <w:sz w:val="21"/>
          <w:szCs w:val="21"/>
          <w:color w:val="auto"/>
        </w:rPr>
        <w:t>: In furtherance of and not in limitation of powers conferred by statute, it is further provided that:</w:t>
      </w:r>
    </w:p>
    <w:p>
      <w:pPr>
        <w:spacing w:after="0" w:line="215" w:lineRule="exact"/>
        <w:rPr>
          <w:sz w:val="20"/>
          <w:szCs w:val="20"/>
          <w:color w:val="auto"/>
        </w:rPr>
      </w:pPr>
    </w:p>
    <w:p>
      <w:pPr>
        <w:ind w:right="200" w:firstLine="1762"/>
        <w:spacing w:after="0" w:line="266" w:lineRule="auto"/>
        <w:tabs>
          <w:tab w:leader="none" w:pos="2627"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Subject to the limitations and exceptions, if any, contained in the by-laws of the Corporation, the by-laws may be adopted, amended or repealed by the Board of Directors of the Corporation.</w:t>
      </w:r>
    </w:p>
    <w:p>
      <w:pPr>
        <w:spacing w:after="0" w:line="154" w:lineRule="exact"/>
        <w:rPr>
          <w:rFonts w:ascii="Arial" w:cs="Arial" w:eastAsia="Arial" w:hAnsi="Arial"/>
          <w:sz w:val="21"/>
          <w:szCs w:val="21"/>
          <w:color w:val="auto"/>
        </w:rPr>
      </w:pPr>
    </w:p>
    <w:p>
      <w:pPr>
        <w:ind w:left="2640" w:hanging="878"/>
        <w:spacing w:after="0"/>
        <w:tabs>
          <w:tab w:leader="none" w:pos="2640" w:val="left"/>
        </w:tabs>
        <w:numPr>
          <w:ilvl w:val="0"/>
          <w:numId w:val="22"/>
        </w:numPr>
        <w:rPr>
          <w:rFonts w:ascii="Arial" w:cs="Arial" w:eastAsia="Arial" w:hAnsi="Arial"/>
          <w:sz w:val="21"/>
          <w:szCs w:val="21"/>
          <w:color w:val="auto"/>
        </w:rPr>
      </w:pPr>
      <w:r>
        <w:rPr>
          <w:rFonts w:ascii="Arial" w:cs="Arial" w:eastAsia="Arial" w:hAnsi="Arial"/>
          <w:sz w:val="21"/>
          <w:szCs w:val="21"/>
          <w:color w:val="auto"/>
        </w:rPr>
        <w:t>Elections of directors need not be by written ballot.</w:t>
      </w:r>
    </w:p>
    <w:p>
      <w:pPr>
        <w:spacing w:after="0" w:line="209" w:lineRule="exact"/>
        <w:rPr>
          <w:rFonts w:ascii="Arial" w:cs="Arial" w:eastAsia="Arial" w:hAnsi="Arial"/>
          <w:sz w:val="21"/>
          <w:szCs w:val="21"/>
          <w:color w:val="auto"/>
        </w:rPr>
      </w:pPr>
    </w:p>
    <w:p>
      <w:pPr>
        <w:ind w:right="240" w:firstLine="1762"/>
        <w:spacing w:after="0" w:line="319" w:lineRule="auto"/>
        <w:tabs>
          <w:tab w:leader="none" w:pos="2627" w:val="left"/>
        </w:tabs>
        <w:numPr>
          <w:ilvl w:val="0"/>
          <w:numId w:val="22"/>
        </w:numPr>
        <w:rPr>
          <w:rFonts w:ascii="Arial" w:cs="Arial" w:eastAsia="Arial" w:hAnsi="Arial"/>
          <w:sz w:val="19"/>
          <w:szCs w:val="19"/>
          <w:color w:val="auto"/>
        </w:rPr>
      </w:pPr>
      <w:r>
        <w:rPr>
          <w:rFonts w:ascii="Arial" w:cs="Arial" w:eastAsia="Arial" w:hAnsi="Arial"/>
          <w:sz w:val="19"/>
          <w:szCs w:val="19"/>
          <w:color w:val="auto"/>
        </w:rPr>
        <w:t>Subject to any applicable requirements of law, the books of the Corporation may be kept outside the State of Delaware at such location as may be designated by the Board of Directors or in the by-laws of the Corporation.</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auto"/>
        </w:rPr>
        <w:t>SIXTH</w:t>
      </w:r>
      <w:r>
        <w:rPr>
          <w:rFonts w:ascii="Arial" w:cs="Arial" w:eastAsia="Arial" w:hAnsi="Arial"/>
          <w:sz w:val="21"/>
          <w:szCs w:val="21"/>
          <w:color w:val="auto"/>
        </w:rPr>
        <w:t>: The Corporation is to have perpetual existence.</w:t>
      </w:r>
    </w:p>
    <w:p>
      <w:pPr>
        <w:spacing w:after="0" w:line="209" w:lineRule="exact"/>
        <w:rPr>
          <w:sz w:val="20"/>
          <w:szCs w:val="20"/>
          <w:color w:val="auto"/>
        </w:rPr>
      </w:pPr>
    </w:p>
    <w:p>
      <w:pPr>
        <w:ind w:firstLine="1756"/>
        <w:spacing w:after="0" w:line="268" w:lineRule="auto"/>
        <w:rPr>
          <w:sz w:val="20"/>
          <w:szCs w:val="20"/>
          <w:color w:val="auto"/>
        </w:rPr>
      </w:pPr>
      <w:r>
        <w:rPr>
          <w:rFonts w:ascii="Arial" w:cs="Arial" w:eastAsia="Arial" w:hAnsi="Arial"/>
          <w:sz w:val="19"/>
          <w:szCs w:val="19"/>
          <w:b w:val="1"/>
          <w:bCs w:val="1"/>
          <w:color w:val="auto"/>
        </w:rPr>
        <w:t>SEVENTH</w:t>
      </w:r>
      <w:r>
        <w:rPr>
          <w:rFonts w:ascii="Arial" w:cs="Arial" w:eastAsia="Arial" w:hAnsi="Arial"/>
          <w:sz w:val="19"/>
          <w:szCs w:val="19"/>
          <w:color w:val="auto"/>
        </w:rPr>
        <w:t>: Whenever a compromise or arrangement is proposed between this Corporation and its creditors or</w:t>
      </w:r>
      <w:r>
        <w:rPr>
          <w:rFonts w:ascii="Arial" w:cs="Arial" w:eastAsia="Arial" w:hAnsi="Arial"/>
          <w:sz w:val="19"/>
          <w:szCs w:val="19"/>
          <w:b w:val="1"/>
          <w:bCs w:val="1"/>
          <w:color w:val="auto"/>
        </w:rPr>
        <w:t xml:space="preserve"> </w:t>
      </w:r>
      <w:r>
        <w:rPr>
          <w:rFonts w:ascii="Arial" w:cs="Arial" w:eastAsia="Arial" w:hAnsi="Arial"/>
          <w:sz w:val="19"/>
          <w:szCs w:val="19"/>
          <w:color w:val="auto"/>
        </w:rPr>
        <w:t>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48" w:lineRule="exact"/>
        <w:rPr>
          <w:sz w:val="20"/>
          <w:szCs w:val="20"/>
          <w:color w:val="auto"/>
        </w:rPr>
      </w:pPr>
    </w:p>
    <w:p>
      <w:pPr>
        <w:ind w:right="380" w:firstLine="1756"/>
        <w:spacing w:after="0" w:line="272" w:lineRule="auto"/>
        <w:rPr>
          <w:sz w:val="20"/>
          <w:szCs w:val="20"/>
          <w:color w:val="auto"/>
        </w:rPr>
      </w:pPr>
      <w:r>
        <w:rPr>
          <w:rFonts w:ascii="Arial" w:cs="Arial" w:eastAsia="Arial" w:hAnsi="Arial"/>
          <w:sz w:val="21"/>
          <w:szCs w:val="21"/>
          <w:b w:val="1"/>
          <w:bCs w:val="1"/>
          <w:color w:val="auto"/>
        </w:rPr>
        <w:t>EIGHTH</w:t>
      </w:r>
      <w:r>
        <w:rPr>
          <w:rFonts w:ascii="Arial" w:cs="Arial" w:eastAsia="Arial" w:hAnsi="Arial"/>
          <w:sz w:val="21"/>
          <w:szCs w:val="21"/>
          <w:color w:val="auto"/>
        </w:rPr>
        <w:t>: The Corporation shall indemnify each person who at any time is, or shall have been, a director or</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of the Corporation, and is threatened to be or is made a party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60"/>
          </w:cols>
          <w:pgMar w:left="240" w:top="277" w:right="299" w:bottom="1440" w:gutter="0" w:footer="0" w:header="0"/>
        </w:sectPr>
      </w:pPr>
    </w:p>
    <w:bookmarkStart w:id="40" w:name="page41"/>
    <w:bookmarkEnd w:id="40"/>
    <w:p>
      <w:pPr>
        <w:spacing w:after="0" w:line="256" w:lineRule="auto"/>
        <w:rPr>
          <w:sz w:val="20"/>
          <w:szCs w:val="20"/>
          <w:color w:val="auto"/>
        </w:rPr>
      </w:pPr>
      <w:r>
        <w:rPr>
          <w:rFonts w:ascii="Arial" w:cs="Arial" w:eastAsia="Arial" w:hAnsi="Arial"/>
          <w:sz w:val="20"/>
          <w:szCs w:val="20"/>
          <w:color w:val="auto"/>
        </w:rPr>
        <w:t>to any threatened, pending or completed action, suit or proceeding, whether civil, criminal, administrative or investigative, by reason of the fact that he is, or was, a director or officer of the Corporation, or served at the request of the Corporation as a director, officer, employee, trustee, or agent of another corporation, partnership, joint venture, trust or other enterprise, against expenses (including attorneys’ fees), judgments, fines and amounts paid in settlement incurred in connection with any such action, suit or proceeding to the maximum extent permitted by the General Corporation Law of the State of Delaware. The foregoing right of indemnification shall in no way be exclusive of any other rights of indemnification to which any such director or officer may be entitled, under any by-law, agreement, vote of directors or stockholders or otherwise.</w:t>
      </w:r>
    </w:p>
    <w:p>
      <w:pPr>
        <w:spacing w:after="0" w:line="160" w:lineRule="exact"/>
        <w:rPr>
          <w:sz w:val="20"/>
          <w:szCs w:val="20"/>
          <w:color w:val="auto"/>
        </w:rPr>
      </w:pPr>
    </w:p>
    <w:p>
      <w:pPr>
        <w:jc w:val="both"/>
        <w:ind w:right="20" w:firstLine="1756"/>
        <w:spacing w:after="0" w:line="246" w:lineRule="auto"/>
        <w:rPr>
          <w:sz w:val="20"/>
          <w:szCs w:val="20"/>
          <w:color w:val="auto"/>
        </w:rPr>
      </w:pPr>
      <w:r>
        <w:rPr>
          <w:rFonts w:ascii="Arial" w:cs="Arial" w:eastAsia="Arial" w:hAnsi="Arial"/>
          <w:sz w:val="21"/>
          <w:szCs w:val="21"/>
          <w:b w:val="1"/>
          <w:bCs w:val="1"/>
          <w:color w:val="auto"/>
        </w:rPr>
        <w:t>NINTH</w:t>
      </w:r>
      <w:r>
        <w:rPr>
          <w:rFonts w:ascii="Arial" w:cs="Arial" w:eastAsia="Arial" w:hAnsi="Arial"/>
          <w:sz w:val="21"/>
          <w:szCs w:val="21"/>
          <w:color w:val="auto"/>
        </w:rPr>
        <w:t>: No director of the Corporation shall be personally liable to the Corporation or to any of its stockholders</w:t>
      </w:r>
      <w:r>
        <w:rPr>
          <w:rFonts w:ascii="Arial" w:cs="Arial" w:eastAsia="Arial" w:hAnsi="Arial"/>
          <w:sz w:val="21"/>
          <w:szCs w:val="21"/>
          <w:b w:val="1"/>
          <w:bCs w:val="1"/>
          <w:color w:val="auto"/>
        </w:rPr>
        <w:t xml:space="preserve"> </w:t>
      </w:r>
      <w:r>
        <w:rPr>
          <w:rFonts w:ascii="Arial" w:cs="Arial" w:eastAsia="Arial" w:hAnsi="Arial"/>
          <w:sz w:val="21"/>
          <w:szCs w:val="21"/>
          <w:color w:val="auto"/>
        </w:rPr>
        <w:t>for monetary damages arising out of such director’s breach of fiduciary duty as a director of the Corporation, except to the extent that the elimination or limitation of liability is not permitted by the General Corporation Law of the State of Delaware. No amendment or repeal of this Article NINTH shall deprive a director of the benefits hereof with respect to any act or omission occurring prior to such amendment or repeal.</w:t>
      </w:r>
    </w:p>
    <w:p>
      <w:pPr>
        <w:spacing w:after="0" w:line="168" w:lineRule="exact"/>
        <w:rPr>
          <w:sz w:val="20"/>
          <w:szCs w:val="20"/>
          <w:color w:val="auto"/>
        </w:rPr>
      </w:pPr>
    </w:p>
    <w:p>
      <w:pPr>
        <w:ind w:right="180" w:firstLine="1756"/>
        <w:spacing w:after="0" w:line="254" w:lineRule="auto"/>
        <w:rPr>
          <w:sz w:val="20"/>
          <w:szCs w:val="20"/>
          <w:color w:val="auto"/>
        </w:rPr>
      </w:pPr>
      <w:r>
        <w:rPr>
          <w:rFonts w:ascii="Arial" w:cs="Arial" w:eastAsia="Arial" w:hAnsi="Arial"/>
          <w:sz w:val="21"/>
          <w:szCs w:val="21"/>
          <w:b w:val="1"/>
          <w:bCs w:val="1"/>
          <w:color w:val="auto"/>
        </w:rPr>
        <w:t>TENTH</w:t>
      </w:r>
      <w:r>
        <w:rPr>
          <w:rFonts w:ascii="Arial" w:cs="Arial" w:eastAsia="Arial" w:hAnsi="Arial"/>
          <w:sz w:val="21"/>
          <w:szCs w:val="21"/>
          <w:color w:val="auto"/>
        </w:rPr>
        <w:t>: The Corporation reserves the right to amend, alter, change or repeal any provision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Certificate of Incorporation, in the manner now or hereafter prescribed by statute, and this Certificate of Incorporation and all rights conferred upon stockholders herein are granted subject to this reservation.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277" w:right="279" w:bottom="1440" w:gutter="0" w:footer="0" w:header="0"/>
        </w:sectPr>
      </w:pPr>
    </w:p>
    <w:bookmarkStart w:id="41" w:name="page42"/>
    <w:bookmarkEnd w:id="41"/>
    <w:p>
      <w:pPr>
        <w:ind w:right="260" w:firstLine="878"/>
        <w:spacing w:after="0" w:line="266" w:lineRule="auto"/>
        <w:rPr>
          <w:sz w:val="20"/>
          <w:szCs w:val="20"/>
          <w:color w:val="auto"/>
        </w:rPr>
      </w:pPr>
      <w:r>
        <w:rPr>
          <w:rFonts w:ascii="Arial" w:cs="Arial" w:eastAsia="Arial" w:hAnsi="Arial"/>
          <w:sz w:val="21"/>
          <w:szCs w:val="21"/>
          <w:color w:val="auto"/>
        </w:rPr>
        <w:t>IN WITNESS WHEREOF, this Restated Certificate of Incorporation has been executed by a duly authorized officer of the Corporation on this the __________th day of _____________,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By:</w:t>
      </w:r>
    </w:p>
    <w:p>
      <w:pPr>
        <w:spacing w:after="0" w:line="15" w:lineRule="exact"/>
        <w:rPr>
          <w:sz w:val="20"/>
          <w:szCs w:val="20"/>
          <w:color w:val="auto"/>
        </w:rPr>
      </w:pPr>
    </w:p>
    <w:p>
      <w:pPr>
        <w:ind w:left="11080"/>
        <w:spacing w:after="0"/>
        <w:rPr>
          <w:sz w:val="20"/>
          <w:szCs w:val="20"/>
          <w:color w:val="auto"/>
        </w:rPr>
      </w:pPr>
      <w:r>
        <w:rPr>
          <w:rFonts w:ascii="Arial" w:cs="Arial" w:eastAsia="Arial" w:hAnsi="Arial"/>
          <w:sz w:val="20"/>
          <w:szCs w:val="20"/>
          <w:color w:val="auto"/>
        </w:rPr>
        <w:t>Nam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520"/>
          </w:cols>
          <w:pgMar w:left="240" w:top="503" w:right="1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1" w:lineRule="exact"/>
        <w:rPr>
          <w:sz w:val="20"/>
          <w:szCs w:val="20"/>
          <w:color w:val="auto"/>
        </w:rPr>
      </w:pPr>
    </w:p>
    <w:p>
      <w:pPr>
        <w:ind w:left="520" w:hanging="514"/>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1" w:lineRule="exact"/>
        <w:rPr>
          <w:rFonts w:ascii="Arial" w:cs="Arial" w:eastAsia="Arial" w:hAnsi="Arial"/>
          <w:sz w:val="18"/>
          <w:szCs w:val="18"/>
          <w:color w:val="auto"/>
        </w:rPr>
      </w:pPr>
    </w:p>
    <w:p>
      <w:pPr>
        <w:ind w:left="520" w:right="120" w:hanging="514"/>
        <w:spacing w:after="0" w:line="366"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520" w:right="580" w:hanging="514"/>
        <w:spacing w:after="0" w:line="294"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20" w:right="200" w:hanging="514"/>
        <w:spacing w:after="0" w:line="255"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040" w:right="360" w:hanging="517"/>
        <w:spacing w:after="0" w:line="25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040" w:right="60" w:hanging="517"/>
        <w:spacing w:after="0" w:line="25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040" w:right="820" w:hanging="517"/>
        <w:spacing w:after="0" w:line="366" w:lineRule="auto"/>
        <w:tabs>
          <w:tab w:leader="none" w:pos="10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5"/>
          <w:szCs w:val="15"/>
          <w:color w:val="auto"/>
        </w:rPr>
      </w:pPr>
    </w:p>
    <w:p>
      <w:pPr>
        <w:ind w:left="1040" w:right="60" w:hanging="517"/>
        <w:spacing w:after="0" w:line="25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520" w:right="320" w:hanging="514"/>
        <w:spacing w:after="0" w:line="366"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5"/>
          <w:szCs w:val="15"/>
          <w:color w:val="auto"/>
        </w:rPr>
      </w:pPr>
    </w:p>
    <w:p>
      <w:pPr>
        <w:ind w:left="1040" w:right="260" w:hanging="517"/>
        <w:spacing w:after="0" w:line="294" w:lineRule="auto"/>
        <w:tabs>
          <w:tab w:leader="none" w:pos="10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40" w:right="220" w:hanging="517"/>
        <w:spacing w:after="0" w:line="265"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David A. Levin</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-96520</wp:posOffset>
            </wp:positionV>
            <wp:extent cx="274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1" w:lineRule="exact"/>
        <w:rPr>
          <w:sz w:val="20"/>
          <w:szCs w:val="20"/>
          <w:color w:val="auto"/>
        </w:rPr>
      </w:pPr>
    </w:p>
    <w:p>
      <w:pPr>
        <w:ind w:left="520" w:hanging="514"/>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1" w:lineRule="exact"/>
        <w:rPr>
          <w:rFonts w:ascii="Arial" w:cs="Arial" w:eastAsia="Arial" w:hAnsi="Arial"/>
          <w:sz w:val="18"/>
          <w:szCs w:val="18"/>
          <w:color w:val="auto"/>
        </w:rPr>
      </w:pPr>
    </w:p>
    <w:p>
      <w:pPr>
        <w:ind w:left="520" w:right="120" w:hanging="514"/>
        <w:spacing w:after="0" w:line="366"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520" w:right="580" w:hanging="514"/>
        <w:spacing w:after="0" w:line="294"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20" w:right="200" w:hanging="514"/>
        <w:spacing w:after="0" w:line="255"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040" w:right="360" w:hanging="517"/>
        <w:spacing w:after="0" w:line="255"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040" w:right="60" w:hanging="517"/>
        <w:spacing w:after="0" w:line="255"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040" w:right="820" w:hanging="517"/>
        <w:spacing w:after="0" w:line="366" w:lineRule="auto"/>
        <w:tabs>
          <w:tab w:leader="none" w:pos="104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5"/>
          <w:szCs w:val="15"/>
          <w:color w:val="auto"/>
        </w:rPr>
      </w:pPr>
    </w:p>
    <w:p>
      <w:pPr>
        <w:ind w:left="1040" w:right="60" w:hanging="517"/>
        <w:spacing w:after="0" w:line="255"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520" w:right="320" w:hanging="514"/>
        <w:spacing w:after="0" w:line="366"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5"/>
          <w:szCs w:val="15"/>
          <w:color w:val="auto"/>
        </w:rPr>
      </w:pPr>
    </w:p>
    <w:p>
      <w:pPr>
        <w:ind w:left="1040" w:right="260" w:hanging="517"/>
        <w:spacing w:after="0" w:line="294" w:lineRule="auto"/>
        <w:tabs>
          <w:tab w:leader="none" w:pos="10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40" w:right="220" w:hanging="517"/>
        <w:spacing w:after="0" w:line="265" w:lineRule="auto"/>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H. Stratton, Jr.</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-96520</wp:posOffset>
            </wp:positionV>
            <wp:extent cx="274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August 4, 2018, as filed with the Securities and Exchange Commission on the date hereof (the “Report”), I, David A. Levin, Chief Executive Officer of the Company, certify pursuant to 18 U.S.C. § 1350, as adopted pursuant to § 906 of the Sarbanes-Oxley Act of 2002, that:</w:t>
      </w:r>
    </w:p>
    <w:p>
      <w:pPr>
        <w:spacing w:after="0" w:line="83" w:lineRule="exact"/>
        <w:rPr>
          <w:sz w:val="20"/>
          <w:szCs w:val="20"/>
          <w:color w:val="auto"/>
        </w:rPr>
      </w:pPr>
    </w:p>
    <w:p>
      <w:pPr>
        <w:ind w:left="1420" w:right="800" w:hanging="331"/>
        <w:spacing w:after="0" w:line="265" w:lineRule="auto"/>
        <w:tabs>
          <w:tab w:leader="none" w:pos="13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3" w:lineRule="exact"/>
        <w:rPr>
          <w:rFonts w:ascii="Arial" w:cs="Arial" w:eastAsia="Arial" w:hAnsi="Arial"/>
          <w:sz w:val="18"/>
          <w:szCs w:val="18"/>
          <w:color w:val="auto"/>
        </w:rPr>
      </w:pPr>
    </w:p>
    <w:p>
      <w:pPr>
        <w:ind w:left="1420" w:right="600" w:hanging="331"/>
        <w:spacing w:after="0" w:line="265" w:lineRule="auto"/>
        <w:tabs>
          <w:tab w:leader="none" w:pos="13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80" w:firstLine="518"/>
        <w:spacing w:after="0" w:line="318" w:lineRule="auto"/>
        <w:rPr>
          <w:sz w:val="20"/>
          <w:szCs w:val="20"/>
          <w:color w:val="auto"/>
        </w:rPr>
      </w:pPr>
      <w:r>
        <w:rPr>
          <w:rFonts w:ascii="Arial" w:cs="Arial" w:eastAsia="Arial" w:hAnsi="Arial"/>
          <w:sz w:val="15"/>
          <w:szCs w:val="15"/>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73"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David A. Levin</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-96520</wp:posOffset>
            </wp:positionV>
            <wp:extent cx="274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Executive Officer</w:t>
      </w:r>
    </w:p>
    <w:p>
      <w:pPr>
        <w:spacing w:after="0" w:line="19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360" w:firstLine="518"/>
        <w:spacing w:after="0" w:line="255"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August 4, 2018,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83" w:lineRule="exact"/>
        <w:rPr>
          <w:sz w:val="20"/>
          <w:szCs w:val="20"/>
          <w:color w:val="auto"/>
        </w:rPr>
      </w:pPr>
    </w:p>
    <w:p>
      <w:pPr>
        <w:ind w:left="1420" w:right="800" w:hanging="331"/>
        <w:spacing w:after="0" w:line="265" w:lineRule="auto"/>
        <w:tabs>
          <w:tab w:leader="none" w:pos="13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3" w:lineRule="exact"/>
        <w:rPr>
          <w:rFonts w:ascii="Arial" w:cs="Arial" w:eastAsia="Arial" w:hAnsi="Arial"/>
          <w:sz w:val="18"/>
          <w:szCs w:val="18"/>
          <w:color w:val="auto"/>
        </w:rPr>
      </w:pPr>
    </w:p>
    <w:p>
      <w:pPr>
        <w:ind w:left="1420" w:right="600" w:hanging="331"/>
        <w:spacing w:after="0" w:line="265" w:lineRule="auto"/>
        <w:tabs>
          <w:tab w:leader="none" w:pos="13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80" w:firstLine="518"/>
        <w:spacing w:after="0" w:line="318" w:lineRule="auto"/>
        <w:rPr>
          <w:sz w:val="20"/>
          <w:szCs w:val="20"/>
          <w:color w:val="auto"/>
        </w:rPr>
      </w:pPr>
      <w:r>
        <w:rPr>
          <w:rFonts w:ascii="Arial" w:cs="Arial" w:eastAsia="Arial" w:hAnsi="Arial"/>
          <w:sz w:val="15"/>
          <w:szCs w:val="15"/>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73"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H. Stratton, Jr.</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-96520</wp:posOffset>
            </wp:positionV>
            <wp:extent cx="274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jc w:val="center"/>
        <w:ind w:left="7100"/>
        <w:spacing w:after="0"/>
        <w:rPr>
          <w:sz w:val="20"/>
          <w:szCs w:val="20"/>
          <w:color w:val="auto"/>
        </w:rPr>
      </w:pPr>
      <w:r>
        <w:rPr>
          <w:rFonts w:ascii="Arial" w:cs="Arial" w:eastAsia="Arial" w:hAnsi="Arial"/>
          <w:sz w:val="14"/>
          <w:szCs w:val="14"/>
          <w:b w:val="1"/>
          <w:bCs w:val="1"/>
          <w:color w:val="auto"/>
        </w:rPr>
        <w:t>Chief Financial Officer</w:t>
      </w:r>
    </w:p>
    <w:p>
      <w:pPr>
        <w:spacing w:after="0" w:line="19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01"/>
    </w:lvl>
    <w:lvl w:ilvl="1">
      <w:lvlJc w:val="left"/>
      <w:lvlText w:val="*"/>
      <w:numFmt w:val="bullet"/>
      <w:start w:val="1"/>
    </w:lvl>
  </w:abstractNum>
  <w:abstractNum w:abstractNumId="10">
    <w:nsid w:val="3F2DBA31"/>
    <w:multiLevelType w:val="hybridMultilevel"/>
    <w:lvl w:ilvl="0">
      <w:lvlJc w:val="left"/>
      <w:lvlText w:val="%1:"/>
      <w:numFmt w:val="upperLetter"/>
      <w:start w:val="1"/>
    </w:lvl>
  </w:abstractNum>
  <w:abstractNum w:abstractNumId="11">
    <w:nsid w:val="7C83E458"/>
    <w:multiLevelType w:val="hybridMultilevel"/>
    <w:lvl w:ilvl="0">
      <w:lvlJc w:val="left"/>
      <w:lvlText w:val="%1:"/>
      <w:numFmt w:val="upperLetter"/>
      <w:start w:val="2"/>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lowerLetter"/>
      <w:start w:val="3"/>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3"/>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6"/>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48" Type="http://schemas.openxmlformats.org/officeDocument/2006/relationships/hyperlink" Target="http://www.sec.gov/Archives/edgar/data/813298/000156459018014591/dxlg-ex101_7.htm" TargetMode="External"/><Relationship Id="rId49" Type="http://schemas.openxmlformats.org/officeDocument/2006/relationships/hyperlink" Target="http://www.sec.gov/Archives/edgar/data/813298/000156459018016002/dxlg-ex101_6.htm" TargetMode="External"/><Relationship Id="rId50" Type="http://schemas.openxmlformats.org/officeDocument/2006/relationships/hyperlink" Target="http://www.sec.gov/Archives/edgar/data/813298/000156459018016118/dxlg-ex101_6.htm" TargetMode="External"/><Relationship Id="rId51" Type="http://schemas.openxmlformats.org/officeDocument/2006/relationships/hyperlink" Target="http://www.sec.gov/Archives/edgar/data/813298/000156459018018156/dxlg-ex101_6.htm" TargetMode="External"/><Relationship Id="rId52" Type="http://schemas.openxmlformats.org/officeDocument/2006/relationships/hyperlink" Target="http://www.sec.gov/Archives/edgar/data/813298/000156459018015452/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2019-12-28T19:30:35Z</dcterms:created>
  <dcterms:modified xsi:type="dcterms:W3CDTF">2019-12-28T19:30:35Z</dcterms:modified>
</cp:coreProperties>
</file>