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180340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172085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343535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53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5.03. Amendments to Articles of Incorporation or Bylaws; Change in Fiscal Year.</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On January 29, 2015, the Board of Directors of Destination XL Group, Inc., a Delaware corporation (the “Corporation”), approved the addition of an exclusive forum selection provision to the Corporation’s By-Laws. Pursuant to this new provision, which was added as Section 11 to the By-Laws, unless the Corporation consents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of Incorporation or Bylaws (as either may be amended from time to time), or (iv) any action asserting a claim governed by the internal affairs doctrine shall be the Court of Chancery in the State of Delaware, the Corporation’s jurisdiction of incorporation (or, if the Court of Chancery does not have jurisdiction, the federal district court for the District of Delaware).</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Board believes that this provision is consistent with a well-established body of precedent in Delaware and is in the best interest of the Corporation’s stockholders. New Section 11 of the By-Laws is designed to avoid unnecessary risk, uncertainty and expense from having to defend against potentially concurrent multi−jurisdictional litigation in, and to reduce the risk of potentially inconsistent rulings and misinterpretations of Delaware corporate law from, multiple (non-Delaware) courts in respect of certain specified actions. The Board expects new Section 11 to result in a more predictable outcome in those legal actions covered by the provision and avoid unnecessary expenditure of Corporation resources, including financial resources and management time and attention. Importantly, this provision does not govern every type of legal action that could be brought against the Corporation or any of its directors, officers or other employees; rather, new Section 11 provides only that certain enumerated categories of legal actions must be commenced in the state court that is most experienced with adjudicating matters of Delaware corporate law, with the goal of securing a more efficient and effective resolution of those specified legal actions. At the same time, new Section 11 of the By-Laws preserves the flexibility of the Corporation to consent to the selection of a non-Delaware alternative forum for those legal actions.</w:t>
      </w:r>
    </w:p>
    <w:p>
      <w:pPr>
        <w:spacing w:after="0" w:line="18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The foregoing summary of the amendment to the Corporation’s By-Laws is qualified in its entirety by reference to, and should be read in conjunction with, the complete text of the Corporation’s Third Amended and Restated By-Laws, filed as Exhibit 3.1 to this Current Report on Form 8−K and incorporated by reference into this Item 5.03.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80" w:type="dxa"/>
            <w:vAlign w:val="bottom"/>
            <w:gridSpan w:val="2"/>
          </w:tcPr>
          <w:p>
            <w:pPr>
              <w:ind w:left="860"/>
              <w:spacing w:after="0"/>
              <w:rPr>
                <w:sz w:val="20"/>
                <w:szCs w:val="20"/>
                <w:color w:val="auto"/>
              </w:rPr>
            </w:pPr>
            <w:r>
              <w:rPr>
                <w:rFonts w:ascii="Arial" w:cs="Arial" w:eastAsia="Arial" w:hAnsi="Arial"/>
                <w:sz w:val="22"/>
                <w:szCs w:val="22"/>
                <w:color w:val="auto"/>
              </w:rPr>
              <w:t>(d) Exhibits</w:t>
            </w: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1980" w:type="dxa"/>
            <w:vAlign w:val="bottom"/>
          </w:tcPr>
          <w:p>
            <w:pPr>
              <w:spacing w:after="0"/>
              <w:rPr>
                <w:sz w:val="24"/>
                <w:szCs w:val="24"/>
                <w:color w:val="auto"/>
              </w:rPr>
            </w:pPr>
          </w:p>
        </w:tc>
      </w:tr>
      <w:tr>
        <w:trPr>
          <w:trHeight w:val="517"/>
        </w:trPr>
        <w:tc>
          <w:tcPr>
            <w:tcW w:w="1020" w:type="dxa"/>
            <w:vAlign w:val="bottom"/>
          </w:tcPr>
          <w:p>
            <w:pPr>
              <w:spacing w:after="0"/>
              <w:rPr>
                <w:sz w:val="20"/>
                <w:szCs w:val="20"/>
                <w:color w:val="auto"/>
              </w:rPr>
            </w:pPr>
            <w:r>
              <w:rPr>
                <w:rFonts w:ascii="Arial" w:cs="Arial" w:eastAsia="Arial" w:hAnsi="Arial"/>
                <w:sz w:val="22"/>
                <w:szCs w:val="22"/>
                <w:color w:val="auto"/>
              </w:rPr>
              <w:t>3.1</w:t>
            </w:r>
          </w:p>
        </w:tc>
        <w:tc>
          <w:tcPr>
            <w:tcW w:w="1160" w:type="dxa"/>
            <w:vAlign w:val="bottom"/>
          </w:tcPr>
          <w:p>
            <w:pPr>
              <w:spacing w:after="0"/>
              <w:rPr>
                <w:sz w:val="24"/>
                <w:szCs w:val="24"/>
                <w:color w:val="auto"/>
              </w:rPr>
            </w:pPr>
          </w:p>
        </w:tc>
        <w:tc>
          <w:tcPr>
            <w:tcW w:w="3680" w:type="dxa"/>
            <w:vAlign w:val="bottom"/>
            <w:gridSpan w:val="3"/>
          </w:tcPr>
          <w:p>
            <w:pPr>
              <w:ind w:left="300"/>
              <w:spacing w:after="0"/>
              <w:rPr>
                <w:sz w:val="20"/>
                <w:szCs w:val="20"/>
                <w:color w:val="auto"/>
              </w:rPr>
            </w:pPr>
            <w:r>
              <w:rPr>
                <w:rFonts w:ascii="Arial" w:cs="Arial" w:eastAsia="Arial" w:hAnsi="Arial"/>
                <w:sz w:val="22"/>
                <w:szCs w:val="22"/>
                <w:color w:val="auto"/>
                <w:w w:val="88"/>
              </w:rPr>
              <w:t>Third Amended and Restated By-Laws</w:t>
            </w:r>
          </w:p>
        </w:tc>
      </w:tr>
    </w:tbl>
    <w:p>
      <w:pPr>
        <w:sectPr>
          <w:pgSz w:w="11900" w:h="16838" w:orient="portrait"/>
          <w:cols w:equalWidth="0" w:num="1">
            <w:col w:w="11380"/>
          </w:cols>
          <w:pgMar w:left="240" w:top="868"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3,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160"/>
          </w:cols>
          <w:pgMar w:left="240" w:top="111" w:right="499" w:bottom="1440" w:gutter="0" w:footer="0" w:header="0"/>
        </w:sectPr>
      </w:pPr>
    </w:p>
    <w:bookmarkStart w:id="3" w:name="page4"/>
    <w:bookmarkEnd w:id="3"/>
    <w:tbl>
      <w:tblPr>
        <w:tblLayout w:type="fixed"/>
        <w:tblInd w:w="88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
          </w:tcPr>
          <w:p>
            <w:pPr>
              <w:jc w:val="center"/>
              <w:ind w:right="2380"/>
              <w:spacing w:after="0"/>
              <w:rPr>
                <w:sz w:val="20"/>
                <w:szCs w:val="20"/>
                <w:color w:val="auto"/>
              </w:rPr>
            </w:pPr>
            <w:r>
              <w:rPr>
                <w:rFonts w:ascii="Arial" w:cs="Arial" w:eastAsia="Arial" w:hAnsi="Arial"/>
                <w:sz w:val="22"/>
                <w:szCs w:val="22"/>
                <w:b w:val="1"/>
                <w:bCs w:val="1"/>
                <w:color w:val="auto"/>
                <w:w w:val="97"/>
              </w:rPr>
              <w:t>THIRD AMENDED AND RESTATED BY-LAWS</w:t>
            </w:r>
          </w:p>
        </w:tc>
      </w:tr>
      <w:tr>
        <w:trPr>
          <w:trHeight w:val="243"/>
        </w:trPr>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
          </w:tcPr>
          <w:p>
            <w:pPr>
              <w:jc w:val="center"/>
              <w:ind w:right="2400"/>
              <w:spacing w:after="0" w:line="243" w:lineRule="exact"/>
              <w:rPr>
                <w:sz w:val="20"/>
                <w:szCs w:val="20"/>
                <w:color w:val="auto"/>
              </w:rPr>
            </w:pPr>
            <w:r>
              <w:rPr>
                <w:rFonts w:ascii="Arial" w:cs="Arial" w:eastAsia="Arial" w:hAnsi="Arial"/>
                <w:sz w:val="22"/>
                <w:szCs w:val="22"/>
                <w:b w:val="1"/>
                <w:bCs w:val="1"/>
                <w:color w:val="auto"/>
                <w:w w:val="98"/>
              </w:rPr>
              <w:t>OF</w:t>
            </w:r>
          </w:p>
        </w:tc>
      </w:tr>
      <w:tr>
        <w:trPr>
          <w:trHeight w:val="281"/>
        </w:trPr>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20" w:type="dxa"/>
            <w:vAlign w:val="bottom"/>
            <w:gridSpan w:val="2"/>
          </w:tcPr>
          <w:p>
            <w:pPr>
              <w:jc w:val="center"/>
              <w:ind w:right="2400"/>
              <w:spacing w:after="0"/>
              <w:rPr>
                <w:sz w:val="20"/>
                <w:szCs w:val="20"/>
                <w:color w:val="auto"/>
              </w:rPr>
            </w:pPr>
            <w:r>
              <w:rPr>
                <w:rFonts w:ascii="Arial" w:cs="Arial" w:eastAsia="Arial" w:hAnsi="Arial"/>
                <w:sz w:val="22"/>
                <w:szCs w:val="22"/>
                <w:b w:val="1"/>
                <w:bCs w:val="1"/>
                <w:color w:val="auto"/>
                <w:w w:val="98"/>
              </w:rPr>
              <w:t>DESTINATION XL GROUP, INC.</w:t>
            </w:r>
          </w:p>
        </w:tc>
      </w:tr>
      <w:tr>
        <w:trPr>
          <w:trHeight w:val="409"/>
        </w:trPr>
        <w:tc>
          <w:tcPr>
            <w:tcW w:w="1200" w:type="dxa"/>
            <w:vAlign w:val="bottom"/>
          </w:tcPr>
          <w:p>
            <w:pPr>
              <w:spacing w:after="0"/>
              <w:rPr>
                <w:sz w:val="20"/>
                <w:szCs w:val="20"/>
                <w:color w:val="auto"/>
              </w:rPr>
            </w:pPr>
            <w:r>
              <w:rPr>
                <w:rFonts w:ascii="Arial" w:cs="Arial" w:eastAsia="Arial" w:hAnsi="Arial"/>
                <w:sz w:val="22"/>
                <w:szCs w:val="22"/>
                <w:color w:val="auto"/>
              </w:rPr>
              <w:t>Section 1.</w:t>
            </w:r>
          </w:p>
        </w:tc>
        <w:tc>
          <w:tcPr>
            <w:tcW w:w="9340" w:type="dxa"/>
            <w:vAlign w:val="bottom"/>
            <w:gridSpan w:val="3"/>
          </w:tcPr>
          <w:p>
            <w:pPr>
              <w:ind w:left="320"/>
              <w:spacing w:after="0"/>
              <w:rPr>
                <w:sz w:val="20"/>
                <w:szCs w:val="20"/>
                <w:color w:val="auto"/>
              </w:rPr>
            </w:pPr>
            <w:r>
              <w:rPr>
                <w:rFonts w:ascii="Arial" w:cs="Arial" w:eastAsia="Arial" w:hAnsi="Arial"/>
                <w:sz w:val="22"/>
                <w:szCs w:val="22"/>
                <w:color w:val="auto"/>
              </w:rPr>
              <w:t>Certificate of Incorporation and By-Laws.</w:t>
            </w: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76"/>
        </w:trPr>
        <w:tc>
          <w:tcPr>
            <w:tcW w:w="1200" w:type="dxa"/>
            <w:vAlign w:val="bottom"/>
          </w:tcPr>
          <w:p>
            <w:pPr>
              <w:spacing w:after="0"/>
              <w:rPr>
                <w:sz w:val="20"/>
                <w:szCs w:val="20"/>
                <w:color w:val="auto"/>
              </w:rPr>
            </w:pPr>
            <w:r>
              <w:rPr>
                <w:rFonts w:ascii="Arial" w:cs="Arial" w:eastAsia="Arial" w:hAnsi="Arial"/>
                <w:sz w:val="22"/>
                <w:szCs w:val="22"/>
                <w:color w:val="auto"/>
              </w:rPr>
              <w:t>1.1</w:t>
            </w:r>
          </w:p>
        </w:tc>
        <w:tc>
          <w:tcPr>
            <w:tcW w:w="320" w:type="dxa"/>
            <w:vAlign w:val="bottom"/>
          </w:tcPr>
          <w:p>
            <w:pPr>
              <w:spacing w:after="0"/>
              <w:rPr>
                <w:sz w:val="24"/>
                <w:szCs w:val="24"/>
                <w:color w:val="auto"/>
              </w:rPr>
            </w:pPr>
          </w:p>
        </w:tc>
        <w:tc>
          <w:tcPr>
            <w:tcW w:w="9020" w:type="dxa"/>
            <w:vAlign w:val="bottom"/>
            <w:gridSpan w:val="2"/>
          </w:tcPr>
          <w:p>
            <w:pPr>
              <w:ind w:left="60"/>
              <w:spacing w:after="0"/>
              <w:rPr>
                <w:sz w:val="20"/>
                <w:szCs w:val="20"/>
                <w:color w:val="auto"/>
              </w:rPr>
            </w:pPr>
            <w:r>
              <w:rPr>
                <w:rFonts w:ascii="Arial" w:cs="Arial" w:eastAsia="Arial" w:hAnsi="Arial"/>
                <w:sz w:val="22"/>
                <w:szCs w:val="22"/>
                <w:color w:val="auto"/>
                <w:w w:val="97"/>
              </w:rPr>
              <w:t>These Second Amended and Restated By-Laws (these “By-Laws”) are subject to the Restated</w:t>
            </w:r>
          </w:p>
        </w:tc>
      </w:tr>
    </w:tbl>
    <w:p>
      <w:pPr>
        <w:jc w:val="both"/>
        <w:spacing w:after="0" w:line="234" w:lineRule="auto"/>
        <w:rPr>
          <w:sz w:val="20"/>
          <w:szCs w:val="20"/>
          <w:color w:val="auto"/>
        </w:rPr>
      </w:pPr>
      <w:r>
        <w:rPr>
          <w:rFonts w:ascii="Arial" w:cs="Arial" w:eastAsia="Arial" w:hAnsi="Arial"/>
          <w:sz w:val="22"/>
          <w:szCs w:val="22"/>
          <w:color w:val="auto"/>
        </w:rPr>
        <w:t>Certificate of Incorporation of the Corporation (the “Certificate of Incorporation”). In these By-Laws, references to the Certificate of Incorporation and By-Laws mean the provisions of the Certificate of Incorporation and the By-Laws as are from time to time in effect.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880"/>
              <w:spacing w:after="0"/>
              <w:rPr>
                <w:sz w:val="20"/>
                <w:szCs w:val="20"/>
                <w:color w:val="auto"/>
              </w:rPr>
            </w:pPr>
            <w:r>
              <w:rPr>
                <w:rFonts w:ascii="Arial" w:cs="Arial" w:eastAsia="Arial" w:hAnsi="Arial"/>
                <w:sz w:val="22"/>
                <w:szCs w:val="22"/>
                <w:color w:val="auto"/>
              </w:rPr>
              <w:t>Section 2.</w:t>
            </w:r>
          </w:p>
        </w:tc>
        <w:tc>
          <w:tcPr>
            <w:tcW w:w="9340" w:type="dxa"/>
            <w:vAlign w:val="bottom"/>
            <w:gridSpan w:val="7"/>
          </w:tcPr>
          <w:p>
            <w:pPr>
              <w:ind w:left="320"/>
              <w:spacing w:after="0"/>
              <w:rPr>
                <w:sz w:val="20"/>
                <w:szCs w:val="20"/>
                <w:color w:val="auto"/>
              </w:rPr>
            </w:pPr>
            <w:r>
              <w:rPr>
                <w:rFonts w:ascii="Arial" w:cs="Arial" w:eastAsia="Arial" w:hAnsi="Arial"/>
                <w:sz w:val="22"/>
                <w:szCs w:val="22"/>
                <w:color w:val="auto"/>
              </w:rPr>
              <w:t>Offices.</w:t>
            </w:r>
          </w:p>
        </w:tc>
      </w:tr>
      <w:tr>
        <w:trPr>
          <w:trHeight w:val="20"/>
        </w:trPr>
        <w:tc>
          <w:tcPr>
            <w:tcW w:w="20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439"/>
        </w:trPr>
        <w:tc>
          <w:tcPr>
            <w:tcW w:w="2080" w:type="dxa"/>
            <w:vAlign w:val="bottom"/>
          </w:tcPr>
          <w:p>
            <w:pPr>
              <w:ind w:left="880"/>
              <w:spacing w:after="0"/>
              <w:rPr>
                <w:sz w:val="20"/>
                <w:szCs w:val="20"/>
                <w:color w:val="auto"/>
              </w:rPr>
            </w:pPr>
            <w:r>
              <w:rPr>
                <w:rFonts w:ascii="Arial" w:cs="Arial" w:eastAsia="Arial" w:hAnsi="Arial"/>
                <w:sz w:val="22"/>
                <w:szCs w:val="22"/>
                <w:color w:val="auto"/>
              </w:rPr>
              <w:t>2.1</w:t>
            </w:r>
          </w:p>
        </w:tc>
        <w:tc>
          <w:tcPr>
            <w:tcW w:w="380" w:type="dxa"/>
            <w:vAlign w:val="bottom"/>
          </w:tcPr>
          <w:p>
            <w:pPr>
              <w:spacing w:after="0"/>
              <w:rPr>
                <w:sz w:val="24"/>
                <w:szCs w:val="24"/>
                <w:color w:val="auto"/>
              </w:rPr>
            </w:pPr>
          </w:p>
        </w:tc>
        <w:tc>
          <w:tcPr>
            <w:tcW w:w="8960" w:type="dxa"/>
            <w:vAlign w:val="bottom"/>
            <w:gridSpan w:val="6"/>
          </w:tcPr>
          <w:p>
            <w:pPr>
              <w:spacing w:after="0"/>
              <w:rPr>
                <w:sz w:val="20"/>
                <w:szCs w:val="20"/>
                <w:color w:val="auto"/>
              </w:rPr>
            </w:pPr>
            <w:r>
              <w:rPr>
                <w:rFonts w:ascii="Arial" w:cs="Arial" w:eastAsia="Arial" w:hAnsi="Arial"/>
                <w:sz w:val="22"/>
                <w:szCs w:val="22"/>
                <w:color w:val="auto"/>
                <w:w w:val="94"/>
              </w:rPr>
              <w:t>Registered Office.  The registered office shall be in the City of Wilmington, County of New Castle,</w:t>
            </w:r>
          </w:p>
        </w:tc>
      </w:tr>
      <w:tr>
        <w:trPr>
          <w:trHeight w:val="274"/>
        </w:trPr>
        <w:tc>
          <w:tcPr>
            <w:tcW w:w="2080" w:type="dxa"/>
            <w:vAlign w:val="bottom"/>
          </w:tcPr>
          <w:p>
            <w:pPr>
              <w:spacing w:after="0"/>
              <w:rPr>
                <w:sz w:val="20"/>
                <w:szCs w:val="20"/>
                <w:color w:val="auto"/>
              </w:rPr>
            </w:pPr>
            <w:r>
              <w:rPr>
                <w:rFonts w:ascii="Arial" w:cs="Arial" w:eastAsia="Arial" w:hAnsi="Arial"/>
                <w:sz w:val="22"/>
                <w:szCs w:val="22"/>
                <w:color w:val="auto"/>
              </w:rPr>
              <w:t>State of Delaware.</w:t>
            </w:r>
          </w:p>
        </w:tc>
        <w:tc>
          <w:tcPr>
            <w:tcW w:w="38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060" w:type="dxa"/>
            <w:vAlign w:val="bottom"/>
          </w:tcPr>
          <w:p>
            <w:pPr>
              <w:spacing w:after="0"/>
              <w:rPr>
                <w:sz w:val="23"/>
                <w:szCs w:val="23"/>
                <w:color w:val="auto"/>
              </w:rPr>
            </w:pPr>
          </w:p>
        </w:tc>
      </w:tr>
      <w:tr>
        <w:trPr>
          <w:trHeight w:val="409"/>
        </w:trPr>
        <w:tc>
          <w:tcPr>
            <w:tcW w:w="2080" w:type="dxa"/>
            <w:vAlign w:val="bottom"/>
          </w:tcPr>
          <w:p>
            <w:pPr>
              <w:ind w:left="880"/>
              <w:spacing w:after="0"/>
              <w:rPr>
                <w:sz w:val="20"/>
                <w:szCs w:val="20"/>
                <w:color w:val="auto"/>
              </w:rPr>
            </w:pPr>
            <w:r>
              <w:rPr>
                <w:rFonts w:ascii="Arial" w:cs="Arial" w:eastAsia="Arial" w:hAnsi="Arial"/>
                <w:sz w:val="22"/>
                <w:szCs w:val="22"/>
                <w:color w:val="auto"/>
              </w:rPr>
              <w:t>2.2</w:t>
            </w:r>
          </w:p>
        </w:tc>
        <w:tc>
          <w:tcPr>
            <w:tcW w:w="380" w:type="dxa"/>
            <w:vAlign w:val="bottom"/>
          </w:tcPr>
          <w:p>
            <w:pPr>
              <w:spacing w:after="0"/>
              <w:rPr>
                <w:sz w:val="24"/>
                <w:szCs w:val="24"/>
                <w:color w:val="auto"/>
              </w:rPr>
            </w:pPr>
          </w:p>
        </w:tc>
        <w:tc>
          <w:tcPr>
            <w:tcW w:w="8960" w:type="dxa"/>
            <w:vAlign w:val="bottom"/>
            <w:gridSpan w:val="6"/>
          </w:tcPr>
          <w:p>
            <w:pPr>
              <w:spacing w:after="0"/>
              <w:rPr>
                <w:sz w:val="20"/>
                <w:szCs w:val="20"/>
                <w:color w:val="auto"/>
              </w:rPr>
            </w:pPr>
            <w:r>
              <w:rPr>
                <w:rFonts w:ascii="Arial" w:cs="Arial" w:eastAsia="Arial" w:hAnsi="Arial"/>
                <w:sz w:val="22"/>
                <w:szCs w:val="22"/>
                <w:color w:val="auto"/>
                <w:w w:val="90"/>
              </w:rPr>
              <w:t>Other Offices. The Corporation may also have offices at such other places both within and without the</w:t>
            </w:r>
          </w:p>
        </w:tc>
      </w:tr>
      <w:tr>
        <w:trPr>
          <w:trHeight w:val="20"/>
        </w:trPr>
        <w:tc>
          <w:tcPr>
            <w:tcW w:w="2460" w:type="dxa"/>
            <w:vAlign w:val="bottom"/>
            <w:gridSpan w:val="2"/>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74"/>
        </w:trPr>
        <w:tc>
          <w:tcPr>
            <w:tcW w:w="11420" w:type="dxa"/>
            <w:vAlign w:val="bottom"/>
            <w:gridSpan w:val="8"/>
          </w:tcPr>
          <w:p>
            <w:pPr>
              <w:spacing w:after="0"/>
              <w:rPr>
                <w:sz w:val="20"/>
                <w:szCs w:val="20"/>
                <w:color w:val="auto"/>
              </w:rPr>
            </w:pPr>
            <w:r>
              <w:rPr>
                <w:rFonts w:ascii="Arial" w:cs="Arial" w:eastAsia="Arial" w:hAnsi="Arial"/>
                <w:sz w:val="22"/>
                <w:szCs w:val="22"/>
                <w:color w:val="auto"/>
                <w:w w:val="94"/>
              </w:rPr>
              <w:t>State of Delaware as the Board of Directors may from time to time determine or the business of the Corporation may require.</w:t>
            </w:r>
          </w:p>
        </w:tc>
      </w:tr>
      <w:tr>
        <w:trPr>
          <w:trHeight w:val="409"/>
        </w:trPr>
        <w:tc>
          <w:tcPr>
            <w:tcW w:w="2080" w:type="dxa"/>
            <w:vAlign w:val="bottom"/>
          </w:tcPr>
          <w:p>
            <w:pPr>
              <w:ind w:left="880"/>
              <w:spacing w:after="0"/>
              <w:rPr>
                <w:sz w:val="20"/>
                <w:szCs w:val="20"/>
                <w:color w:val="auto"/>
              </w:rPr>
            </w:pPr>
            <w:r>
              <w:rPr>
                <w:rFonts w:ascii="Arial" w:cs="Arial" w:eastAsia="Arial" w:hAnsi="Arial"/>
                <w:sz w:val="22"/>
                <w:szCs w:val="22"/>
                <w:color w:val="auto"/>
              </w:rPr>
              <w:t>Section 3.</w:t>
            </w:r>
          </w:p>
        </w:tc>
        <w:tc>
          <w:tcPr>
            <w:tcW w:w="9340" w:type="dxa"/>
            <w:vAlign w:val="bottom"/>
            <w:gridSpan w:val="7"/>
          </w:tcPr>
          <w:p>
            <w:pPr>
              <w:ind w:left="320"/>
              <w:spacing w:after="0"/>
              <w:rPr>
                <w:sz w:val="20"/>
                <w:szCs w:val="20"/>
                <w:color w:val="auto"/>
              </w:rPr>
            </w:pPr>
            <w:r>
              <w:rPr>
                <w:rFonts w:ascii="Arial" w:cs="Arial" w:eastAsia="Arial" w:hAnsi="Arial"/>
                <w:sz w:val="22"/>
                <w:szCs w:val="22"/>
                <w:color w:val="auto"/>
              </w:rPr>
              <w:t>Stockholders.</w:t>
            </w:r>
          </w:p>
        </w:tc>
      </w:tr>
      <w:tr>
        <w:trPr>
          <w:trHeight w:val="20"/>
        </w:trPr>
        <w:tc>
          <w:tcPr>
            <w:tcW w:w="20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439"/>
        </w:trPr>
        <w:tc>
          <w:tcPr>
            <w:tcW w:w="2080" w:type="dxa"/>
            <w:vAlign w:val="bottom"/>
          </w:tcPr>
          <w:p>
            <w:pPr>
              <w:ind w:left="880"/>
              <w:spacing w:after="0"/>
              <w:rPr>
                <w:sz w:val="20"/>
                <w:szCs w:val="20"/>
                <w:color w:val="auto"/>
              </w:rPr>
            </w:pPr>
            <w:r>
              <w:rPr>
                <w:rFonts w:ascii="Arial" w:cs="Arial" w:eastAsia="Arial" w:hAnsi="Arial"/>
                <w:sz w:val="22"/>
                <w:szCs w:val="22"/>
                <w:color w:val="auto"/>
              </w:rPr>
              <w:t>3.1</w:t>
            </w:r>
          </w:p>
        </w:tc>
        <w:tc>
          <w:tcPr>
            <w:tcW w:w="380" w:type="dxa"/>
            <w:vAlign w:val="bottom"/>
          </w:tcPr>
          <w:p>
            <w:pPr>
              <w:spacing w:after="0"/>
              <w:rPr>
                <w:sz w:val="24"/>
                <w:szCs w:val="24"/>
                <w:color w:val="auto"/>
              </w:rPr>
            </w:pPr>
          </w:p>
        </w:tc>
        <w:tc>
          <w:tcPr>
            <w:tcW w:w="8960" w:type="dxa"/>
            <w:vAlign w:val="bottom"/>
            <w:gridSpan w:val="6"/>
          </w:tcPr>
          <w:p>
            <w:pPr>
              <w:spacing w:after="0"/>
              <w:rPr>
                <w:sz w:val="20"/>
                <w:szCs w:val="20"/>
                <w:color w:val="auto"/>
              </w:rPr>
            </w:pPr>
            <w:r>
              <w:rPr>
                <w:rFonts w:ascii="Arial" w:cs="Arial" w:eastAsia="Arial" w:hAnsi="Arial"/>
                <w:sz w:val="22"/>
                <w:szCs w:val="22"/>
                <w:color w:val="auto"/>
                <w:w w:val="94"/>
              </w:rPr>
              <w:t>Location of Meetings.  All meetings of the stockholders shall be held at such place either within or</w:t>
            </w: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without the State of Delaware as shall be designated from time to time by the Board of Directors. Any adjourned session of any meeting shall be held at the place designated in the vote of adjournment.</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Annual Meeting</w:t>
      </w:r>
      <w:r>
        <w:rPr>
          <w:rFonts w:ascii="Arial" w:cs="Arial" w:eastAsia="Arial" w:hAnsi="Arial"/>
          <w:sz w:val="22"/>
          <w:szCs w:val="22"/>
          <w:color w:val="auto"/>
        </w:rPr>
        <w:t>. The annual meeting of stockholders for the election of directors shall be held at such date and time as shall be designated from time to time by the Board of Directors. Any other business as may be required or permitted by law or these By-Laws may properly come before the annual meeting.</w:t>
      </w:r>
    </w:p>
    <w:p>
      <w:pPr>
        <w:spacing w:after="0" w:line="18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Notice Of Annual Meeting</w:t>
      </w:r>
      <w:r>
        <w:rPr>
          <w:rFonts w:ascii="Arial" w:cs="Arial" w:eastAsia="Arial" w:hAnsi="Arial"/>
          <w:sz w:val="22"/>
          <w:szCs w:val="22"/>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91"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Special Meetings</w:t>
      </w:r>
      <w:r>
        <w:rPr>
          <w:rFonts w:ascii="Arial" w:cs="Arial" w:eastAsia="Arial" w:hAnsi="Arial"/>
          <w:sz w:val="22"/>
          <w:szCs w:val="22"/>
          <w:color w:val="auto"/>
        </w:rPr>
        <w:t>.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 and may not be called by any other person or persons.</w:t>
      </w:r>
    </w:p>
    <w:p>
      <w:pPr>
        <w:sectPr>
          <w:pgSz w:w="11900" w:h="16838" w:orient="portrait"/>
          <w:cols w:equalWidth="0" w:num="1">
            <w:col w:w="11420"/>
          </w:cols>
          <w:pgMar w:left="240" w:top="318" w:right="239" w:bottom="1440" w:gutter="0" w:footer="0" w:header="0"/>
        </w:sectPr>
      </w:pPr>
    </w:p>
    <w:bookmarkStart w:id="4" w:name="page5"/>
    <w:bookmarkEnd w:id="4"/>
    <w:p>
      <w:pPr>
        <w:ind w:left="880"/>
        <w:spacing w:after="0"/>
        <w:tabs>
          <w:tab w:leader="none" w:pos="24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Notice Of Special Meeting</w:t>
      </w:r>
      <w:r>
        <w:rPr>
          <w:rFonts w:ascii="Arial" w:cs="Arial" w:eastAsia="Arial" w:hAnsi="Arial"/>
          <w:sz w:val="19"/>
          <w:szCs w:val="19"/>
          <w:color w:val="auto"/>
        </w:rPr>
        <w:t>. Written notice of a special meeting of stockholders stating the place, date</w:t>
      </w:r>
    </w:p>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and hour of the meeting and the purpose or purposes for which the meeting is called, shall, except as required by applicable law,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84"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Stockholder List</w:t>
      </w:r>
      <w:r>
        <w:rPr>
          <w:rFonts w:ascii="Arial" w:cs="Arial" w:eastAsia="Arial" w:hAnsi="Arial"/>
          <w:sz w:val="19"/>
          <w:szCs w:val="19"/>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5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Quorum Of Stockholders</w:t>
      </w:r>
      <w:r>
        <w:rPr>
          <w:rFonts w:ascii="Arial" w:cs="Arial" w:eastAsia="Arial" w:hAnsi="Arial"/>
          <w:sz w:val="22"/>
          <w:szCs w:val="22"/>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or her shares from the quorum count by declaring his or her shares absent from the meeting.</w:t>
      </w:r>
    </w:p>
    <w:p>
      <w:pPr>
        <w:spacing w:after="0" w:line="188"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Conduct of Meetings; Adjournment</w:t>
      </w:r>
      <w:r>
        <w:rPr>
          <w:rFonts w:ascii="Arial" w:cs="Arial" w:eastAsia="Arial" w:hAnsi="Arial"/>
          <w:sz w:val="19"/>
          <w:szCs w:val="19"/>
          <w:color w:val="auto"/>
        </w:rPr>
        <w:t>. The Board of Directors may adopt such rules and procedures for the conduct of stockholder meetings as it deems appropriate. At each meeting of stockholders, the Chairman or, in the absence of the Chairman, the President or, if there is no President or if there be one and the President is absent, such other person as may be designated by the Board of Directors (or in the absence of any such designation, the Secretary), shall preside over the meeting. Except to the extent inconsistent with the rules and procedures as adopted by the Board of Directors,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of Directors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18" w:right="2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19"/>
          <w:szCs w:val="19"/>
          <w:color w:val="auto"/>
        </w:rPr>
        <w:t>the meeting and if such presiding person should so determine, he or she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of Directors and, if the Board of Directors has not so acted, in the case of the designation of a person to act as secretary of the meeting, designated by the person presiding over the meeting. The order of business at all meetings of stockholders shall be as determined by the person presiding over the meeting.</w:t>
      </w:r>
    </w:p>
    <w:p>
      <w:pPr>
        <w:spacing w:after="0" w:line="160"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u w:val="single" w:color="auto"/>
          <w:color w:val="auto"/>
        </w:rPr>
        <w:t>Proxy Representation</w:t>
      </w:r>
      <w:r>
        <w:rPr>
          <w:rFonts w:ascii="Arial" w:cs="Arial" w:eastAsia="Arial" w:hAnsi="Arial"/>
          <w:sz w:val="21"/>
          <w:szCs w:val="21"/>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or her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85"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Inspectors</w:t>
      </w:r>
      <w:r>
        <w:rPr>
          <w:rFonts w:ascii="Arial" w:cs="Arial" w:eastAsia="Arial" w:hAnsi="Arial"/>
          <w:sz w:val="19"/>
          <w:szCs w:val="19"/>
          <w:color w:val="auto"/>
        </w:rPr>
        <w:t>. The Board of Directors, in advance of any meeting of stockholders, shall, to the extent required by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shall, to the extent required by law, appoint one or more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inspectors, if any, shall (A) ascertain the number of shares of stock outstanding and the voting power of each, (B) determine the shares of stock represented at the meeting, the existence of a quorum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of Directors, the date and time of the opening and the closing of the polls for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8" w:right="2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22"/>
          <w:szCs w:val="22"/>
          <w:color w:val="auto"/>
        </w:rPr>
        <w:t>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89"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Action By Vote</w:t>
      </w:r>
      <w:r>
        <w:rPr>
          <w:rFonts w:ascii="Arial" w:cs="Arial" w:eastAsia="Arial" w:hAnsi="Arial"/>
          <w:sz w:val="21"/>
          <w:szCs w:val="21"/>
          <w:color w:val="auto"/>
        </w:rPr>
        <w:t>.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3.12</w:t>
            </w:r>
          </w:p>
        </w:tc>
        <w:tc>
          <w:tcPr>
            <w:tcW w:w="8860" w:type="dxa"/>
            <w:vAlign w:val="bottom"/>
            <w:gridSpan w:val="2"/>
          </w:tcPr>
          <w:p>
            <w:pPr>
              <w:spacing w:after="0"/>
              <w:rPr>
                <w:sz w:val="20"/>
                <w:szCs w:val="20"/>
                <w:color w:val="auto"/>
              </w:rPr>
            </w:pPr>
            <w:r>
              <w:rPr>
                <w:rFonts w:ascii="Arial" w:cs="Arial" w:eastAsia="Arial" w:hAnsi="Arial"/>
                <w:sz w:val="22"/>
                <w:szCs w:val="22"/>
                <w:color w:val="auto"/>
              </w:rPr>
              <w:t>Action Without Meetings.</w:t>
            </w:r>
          </w:p>
        </w:tc>
      </w:tr>
      <w:tr>
        <w:trPr>
          <w:trHeight w:val="20"/>
        </w:trPr>
        <w:tc>
          <w:tcPr>
            <w:tcW w:w="16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76"/>
        </w:trPr>
        <w:tc>
          <w:tcPr>
            <w:tcW w:w="168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860" w:type="dxa"/>
            <w:vAlign w:val="bottom"/>
            <w:gridSpan w:val="2"/>
          </w:tcPr>
          <w:p>
            <w:pPr>
              <w:ind w:left="1380"/>
              <w:spacing w:after="0"/>
              <w:rPr>
                <w:sz w:val="20"/>
                <w:szCs w:val="20"/>
                <w:color w:val="auto"/>
              </w:rPr>
            </w:pPr>
            <w:r>
              <w:rPr>
                <w:rFonts w:ascii="Arial" w:cs="Arial" w:eastAsia="Arial" w:hAnsi="Arial"/>
                <w:sz w:val="22"/>
                <w:szCs w:val="22"/>
                <w:color w:val="auto"/>
                <w:w w:val="93"/>
              </w:rPr>
              <w:t>Any person seeking to have the stockholders authorize or take corporate action by</w:t>
            </w:r>
          </w:p>
        </w:tc>
      </w:tr>
    </w:tbl>
    <w:p>
      <w:pPr>
        <w:jc w:val="both"/>
        <w:spacing w:after="0" w:line="232" w:lineRule="auto"/>
        <w:rPr>
          <w:sz w:val="20"/>
          <w:szCs w:val="20"/>
          <w:color w:val="auto"/>
        </w:rPr>
      </w:pPr>
      <w:r>
        <w:rPr>
          <w:rFonts w:ascii="Arial" w:cs="Arial" w:eastAsia="Arial" w:hAnsi="Arial"/>
          <w:sz w:val="22"/>
          <w:szCs w:val="22"/>
          <w:color w:val="auto"/>
        </w:rPr>
        <w:t>written consent without a meeting shall, by written notice addressed to the Secretary and delivered to the Corporation, request that a record date be fixed for such purpose. The Board of Directors shall promptly, but in all events within ten days after the date on which such written notice is received, adopt a resolution fixing the record date (unless a record date has previously been fixed by the Board of Directors pursuant to Section 9.1). If no record date has been fixed by the Board of Directors by ten days after the date on which such written notice is received, the record date for determining stockholders entitled to consent to corporate action in writing without a meeting, when no prior action by the Board of Directors is required by applicable law, shall be as specified in Section 9.1(b).</w:t>
      </w:r>
    </w:p>
    <w:p>
      <w:pPr>
        <w:spacing w:after="0" w:line="18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(b) (1) Every written consent purporting to take or authorizing the taking of corporate action and/or related revocations shall bear the date of signature of each stockholder who signs the consent, and no consent shall be effective to take the corporate action referred to therein unless, within sixty days of the earliest dated consent delivered in the manner required by this Section, consents signed by a sufficient number of stockholders to take such action are so delivered to the Corporation, and not revoked.</w:t>
      </w:r>
    </w:p>
    <w:p>
      <w:pPr>
        <w:spacing w:after="0" w:line="188"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(2) 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185"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(3) In the event of the delivery to the Corporation of a consent, the Corporation shall engage independent inspectors of elections for the purpose of performing promptly a ministerial review of the validity of the consent. For the purpose of permitting the inspectors to perform such review, no consent shall be effective until such inspectors have completed their review, determined that the requisite number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18" w:right="239" w:bottom="1440" w:gutter="0" w:footer="0" w:header="0"/>
        </w:sectPr>
      </w:pPr>
    </w:p>
    <w:bookmarkStart w:id="7" w:name="page8"/>
    <w:bookmarkEnd w:id="7"/>
    <w:p>
      <w:pPr>
        <w:jc w:val="both"/>
        <w:ind w:left="880"/>
        <w:spacing w:after="0" w:line="271" w:lineRule="auto"/>
        <w:rPr>
          <w:sz w:val="20"/>
          <w:szCs w:val="20"/>
          <w:color w:val="auto"/>
        </w:rPr>
      </w:pPr>
      <w:r>
        <w:rPr>
          <w:rFonts w:ascii="Arial" w:cs="Arial" w:eastAsia="Arial" w:hAnsi="Arial"/>
          <w:sz w:val="19"/>
          <w:szCs w:val="19"/>
          <w:color w:val="auto"/>
        </w:rPr>
        <w:t>valid and unrevoked consents delivered to the Corporation in accordance with this Section 3.12 and applicable law have been obtained to authorize or take the action specified in the consent, and certified such determination for entry in the records of the Corporation kept for the purpose of recording the proceedings of meetings of stockholders. Nothing contained in this Section 3.12 shall in any way be construed to suggest or imply that the Board of Directors or any stockholder shall not be entitled to contest the validity of any consent, whether before or after such certification by the independent inspectors, or to take any other action (including the commencement, prosecution or defense of any litigation with respect thereto and the seeking of injunctive relief in such litigation). If after such investigation the independent inspectors shall determine that the consent is valid and that the action therein specified has been validly authorized, that fact shall forthwith be certified on the records of the Corporation kept for the purpose of recording the proceedings of meetings of stockholders, and the consent shall be filed in such records, at which time the consent shall become effective as stockholder action. In conducting the investigation required by this Section, the independent inspectors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3.13</w:t>
            </w:r>
          </w:p>
        </w:tc>
        <w:tc>
          <w:tcPr>
            <w:tcW w:w="8860" w:type="dxa"/>
            <w:vAlign w:val="bottom"/>
            <w:gridSpan w:val="2"/>
          </w:tcPr>
          <w:p>
            <w:pPr>
              <w:spacing w:after="0"/>
              <w:rPr>
                <w:sz w:val="20"/>
                <w:szCs w:val="20"/>
                <w:color w:val="auto"/>
              </w:rPr>
            </w:pPr>
            <w:r>
              <w:rPr>
                <w:rFonts w:ascii="Arial" w:cs="Arial" w:eastAsia="Arial" w:hAnsi="Arial"/>
                <w:sz w:val="22"/>
                <w:szCs w:val="22"/>
                <w:color w:val="auto"/>
              </w:rPr>
              <w:t>Matters To Be Considered At Annual Meetings.</w:t>
            </w:r>
          </w:p>
        </w:tc>
      </w:tr>
      <w:tr>
        <w:trPr>
          <w:trHeight w:val="20"/>
        </w:trPr>
        <w:tc>
          <w:tcPr>
            <w:tcW w:w="16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76"/>
        </w:trPr>
        <w:tc>
          <w:tcPr>
            <w:tcW w:w="168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860" w:type="dxa"/>
            <w:vAlign w:val="bottom"/>
            <w:gridSpan w:val="2"/>
          </w:tcPr>
          <w:p>
            <w:pPr>
              <w:ind w:left="1380"/>
              <w:spacing w:after="0"/>
              <w:rPr>
                <w:sz w:val="20"/>
                <w:szCs w:val="20"/>
                <w:color w:val="auto"/>
              </w:rPr>
            </w:pPr>
            <w:r>
              <w:rPr>
                <w:rFonts w:ascii="Arial" w:cs="Arial" w:eastAsia="Arial" w:hAnsi="Arial"/>
                <w:sz w:val="22"/>
                <w:szCs w:val="22"/>
                <w:color w:val="auto"/>
                <w:w w:val="98"/>
              </w:rPr>
              <w:t>At any annual meeting of stockholders or any special meeting in lieu of annual</w:t>
            </w:r>
          </w:p>
        </w:tc>
      </w:tr>
    </w:tbl>
    <w:p>
      <w:pPr>
        <w:jc w:val="both"/>
        <w:spacing w:after="0" w:line="271" w:lineRule="auto"/>
        <w:rPr>
          <w:sz w:val="20"/>
          <w:szCs w:val="20"/>
          <w:color w:val="auto"/>
        </w:rPr>
      </w:pPr>
      <w:r>
        <w:rPr>
          <w:rFonts w:ascii="Arial" w:cs="Arial" w:eastAsia="Arial" w:hAnsi="Arial"/>
          <w:sz w:val="19"/>
          <w:szCs w:val="19"/>
          <w:color w:val="auto"/>
        </w:rPr>
        <w:t>meeting of stockholders (for purposes of this Section 3.13 and Section 4.15 hereof, hereinafter referred to as an “Annual Meeting”), only business (other than business relating to the nomination or election of directors which is governed by Section 4.15) that has been properly brought before the stockholder meeting in accordance with the procedures set forth in this Section 3.13 shall be conducted.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3.13. Subject to Section 3.13(i), and except with respect to nominations or elections of directors, which are governed by Section 4.15, this Section 3.13 is the exclusive means by which a stockholder may bring business before a meeting of stockholders. Any business brought before a meeting in accordance with Section 3.13 is referred to as “Stockholder Business”.</w:t>
      </w:r>
    </w:p>
    <w:p>
      <w:pPr>
        <w:spacing w:after="0" w:line="158"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(b) 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3.13 to the Secretary of the Corporation and (ii) be present at such Annual Meeting, either in person or by a representative. A stockholder’s notice shall be timely if delivered to, or mailed to and received by, the Corporation, addressed to the Secretary of the Corporation, at its principal executive office not less than ninety days nor more than one hundred twenty days prior to the anniversary date of the immediately preceding Annual Meeting (for purposes of this Section 3.13 and Section 4.15 hereof, hereinafter referred to as the “Anniversary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9"/>
          <w:szCs w:val="19"/>
          <w:color w:val="auto"/>
        </w:rPr>
        <w:t>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addressed to the Secretary of the Corporation, at its principal executive office not later than the close of business on the later of (A) the ninetieth day prior to the scheduled date of such Annual Meeting or (B) the tenth day following the day on which public announcement of the date of such Annual Meeting is first made by the Corporation. In no event shall an adjournment, postponement or deferral, or public announcement of an adjournment, postponement or deferral, of a stockholder meeting commence a new time period (or extend any time period) for the giving of a stockholder’s notice.</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275"/>
        </w:trPr>
        <w:tc>
          <w:tcPr>
            <w:tcW w:w="100" w:type="dxa"/>
            <w:vAlign w:val="bottom"/>
          </w:tcPr>
          <w:p>
            <w:pPr>
              <w:spacing w:after="0"/>
              <w:rPr>
                <w:sz w:val="23"/>
                <w:szCs w:val="23"/>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22"/>
                <w:szCs w:val="22"/>
                <w:color w:val="auto"/>
              </w:rPr>
              <w:t>(c)</w:t>
            </w:r>
          </w:p>
        </w:tc>
        <w:tc>
          <w:tcPr>
            <w:tcW w:w="8480" w:type="dxa"/>
            <w:vAlign w:val="bottom"/>
          </w:tcPr>
          <w:p>
            <w:pPr>
              <w:ind w:left="1000"/>
              <w:spacing w:after="0"/>
              <w:rPr>
                <w:sz w:val="20"/>
                <w:szCs w:val="20"/>
                <w:color w:val="auto"/>
              </w:rPr>
            </w:pPr>
            <w:r>
              <w:rPr>
                <w:rFonts w:ascii="Arial" w:cs="Arial" w:eastAsia="Arial" w:hAnsi="Arial"/>
                <w:sz w:val="22"/>
                <w:szCs w:val="22"/>
                <w:color w:val="auto"/>
              </w:rPr>
              <w:t>A stockholder’s notice to the Secretary must set forth:</w:t>
            </w:r>
          </w:p>
        </w:tc>
      </w:tr>
      <w:tr>
        <w:trPr>
          <w:trHeight w:val="428"/>
        </w:trPr>
        <w:tc>
          <w:tcPr>
            <w:tcW w:w="2060" w:type="dxa"/>
            <w:vAlign w:val="bottom"/>
            <w:gridSpan w:val="3"/>
          </w:tcPr>
          <w:p>
            <w:pPr>
              <w:jc w:val="right"/>
              <w:ind w:right="1000"/>
              <w:spacing w:after="0"/>
              <w:rPr>
                <w:sz w:val="20"/>
                <w:szCs w:val="20"/>
                <w:color w:val="auto"/>
              </w:rPr>
            </w:pPr>
            <w:r>
              <w:rPr>
                <w:rFonts w:ascii="Arial" w:cs="Arial" w:eastAsia="Arial" w:hAnsi="Arial"/>
                <w:sz w:val="22"/>
                <w:szCs w:val="22"/>
                <w:color w:val="auto"/>
              </w:rPr>
              <w:t>(1)</w:t>
            </w:r>
          </w:p>
        </w:tc>
        <w:tc>
          <w:tcPr>
            <w:tcW w:w="8480" w:type="dxa"/>
            <w:vAlign w:val="bottom"/>
          </w:tcPr>
          <w:p>
            <w:pPr>
              <w:ind w:left="960"/>
              <w:spacing w:after="0"/>
              <w:rPr>
                <w:sz w:val="20"/>
                <w:szCs w:val="20"/>
                <w:color w:val="auto"/>
              </w:rPr>
            </w:pPr>
            <w:r>
              <w:rPr>
                <w:rFonts w:ascii="Arial" w:cs="Arial" w:eastAsia="Arial" w:hAnsi="Arial"/>
                <w:sz w:val="22"/>
                <w:szCs w:val="22"/>
                <w:color w:val="auto"/>
                <w:w w:val="88"/>
              </w:rPr>
              <w:t>the name and record address of each stockholder proposing Stockholder Business (the</w:t>
            </w:r>
          </w:p>
        </w:tc>
      </w:tr>
      <w:tr>
        <w:trPr>
          <w:trHeight w:val="224"/>
        </w:trPr>
        <w:tc>
          <w:tcPr>
            <w:tcW w:w="10540" w:type="dxa"/>
            <w:vAlign w:val="bottom"/>
            <w:gridSpan w:val="4"/>
          </w:tcPr>
          <w:p>
            <w:pPr>
              <w:spacing w:after="0" w:line="224" w:lineRule="exact"/>
              <w:rPr>
                <w:sz w:val="20"/>
                <w:szCs w:val="20"/>
                <w:color w:val="auto"/>
              </w:rPr>
            </w:pPr>
            <w:r>
              <w:rPr>
                <w:rFonts w:ascii="Arial" w:cs="Arial" w:eastAsia="Arial" w:hAnsi="Arial"/>
                <w:sz w:val="22"/>
                <w:szCs w:val="22"/>
                <w:color w:val="auto"/>
              </w:rPr>
              <w:t>“Proponent”), as they appear on the Corporation’s books;</w:t>
            </w:r>
          </w:p>
        </w:tc>
      </w:tr>
      <w:tr>
        <w:trPr>
          <w:trHeight w:val="20"/>
        </w:trPr>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490"/>
        </w:trPr>
        <w:tc>
          <w:tcPr>
            <w:tcW w:w="100" w:type="dxa"/>
            <w:vAlign w:val="bottom"/>
          </w:tcPr>
          <w:p>
            <w:pPr>
              <w:spacing w:after="0"/>
              <w:rPr>
                <w:sz w:val="24"/>
                <w:szCs w:val="24"/>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22"/>
                <w:szCs w:val="22"/>
                <w:color w:val="auto"/>
              </w:rPr>
              <w:t>(2)</w:t>
            </w:r>
          </w:p>
        </w:tc>
        <w:tc>
          <w:tcPr>
            <w:tcW w:w="8480" w:type="dxa"/>
            <w:vAlign w:val="bottom"/>
          </w:tcPr>
          <w:p>
            <w:pPr>
              <w:ind w:left="960"/>
              <w:spacing w:after="0"/>
              <w:rPr>
                <w:sz w:val="20"/>
                <w:szCs w:val="20"/>
                <w:color w:val="auto"/>
              </w:rPr>
            </w:pPr>
            <w:r>
              <w:rPr>
                <w:rFonts w:ascii="Arial" w:cs="Arial" w:eastAsia="Arial" w:hAnsi="Arial"/>
                <w:sz w:val="22"/>
                <w:szCs w:val="22"/>
                <w:color w:val="auto"/>
              </w:rPr>
              <w:t>the name and address of any Stockholder Associated Person;</w:t>
            </w:r>
          </w:p>
        </w:tc>
      </w:tr>
      <w:tr>
        <w:trPr>
          <w:trHeight w:val="446"/>
        </w:trPr>
        <w:tc>
          <w:tcPr>
            <w:tcW w:w="2060" w:type="dxa"/>
            <w:vAlign w:val="bottom"/>
            <w:gridSpan w:val="3"/>
          </w:tcPr>
          <w:p>
            <w:pPr>
              <w:jc w:val="right"/>
              <w:ind w:right="1000"/>
              <w:spacing w:after="0"/>
              <w:rPr>
                <w:sz w:val="20"/>
                <w:szCs w:val="20"/>
                <w:color w:val="auto"/>
              </w:rPr>
            </w:pPr>
            <w:r>
              <w:rPr>
                <w:rFonts w:ascii="Arial" w:cs="Arial" w:eastAsia="Arial" w:hAnsi="Arial"/>
                <w:sz w:val="22"/>
                <w:szCs w:val="22"/>
                <w:color w:val="auto"/>
              </w:rPr>
              <w:t>(3)</w:t>
            </w:r>
          </w:p>
        </w:tc>
        <w:tc>
          <w:tcPr>
            <w:tcW w:w="8480" w:type="dxa"/>
            <w:vAlign w:val="bottom"/>
          </w:tcPr>
          <w:p>
            <w:pPr>
              <w:ind w:left="960"/>
              <w:spacing w:after="0"/>
              <w:rPr>
                <w:sz w:val="20"/>
                <w:szCs w:val="20"/>
                <w:color w:val="auto"/>
              </w:rPr>
            </w:pPr>
            <w:r>
              <w:rPr>
                <w:rFonts w:ascii="Arial" w:cs="Arial" w:eastAsia="Arial" w:hAnsi="Arial"/>
                <w:sz w:val="22"/>
                <w:szCs w:val="22"/>
                <w:color w:val="auto"/>
                <w:w w:val="90"/>
              </w:rPr>
              <w:t>as to each Proponent and any Stockholder Associated Person, (A) the class or series</w:t>
            </w:r>
          </w:p>
        </w:tc>
      </w:tr>
    </w:tbl>
    <w:p>
      <w:pPr>
        <w:jc w:val="both"/>
        <w:ind w:left="880"/>
        <w:spacing w:after="0" w:line="267" w:lineRule="auto"/>
        <w:rPr>
          <w:sz w:val="20"/>
          <w:szCs w:val="20"/>
          <w:color w:val="auto"/>
        </w:rPr>
      </w:pPr>
      <w:r>
        <w:rPr>
          <w:rFonts w:ascii="Arial" w:cs="Arial" w:eastAsia="Arial" w:hAnsi="Arial"/>
          <w:sz w:val="19"/>
          <w:szCs w:val="19"/>
          <w:color w:val="auto"/>
        </w:rPr>
        <w:t>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as part of a group (as defined in Section 13(d) of the Securities Exchange Act of 1934, as amended (the “Exchange Act”)) or in concert with any of the foregoing,</w:t>
      </w:r>
    </w:p>
    <w:p>
      <w:pPr>
        <w:jc w:val="both"/>
        <w:ind w:left="880" w:firstLine="5"/>
        <w:spacing w:after="0" w:line="273" w:lineRule="auto"/>
        <w:tabs>
          <w:tab w:leader="none" w:pos="1264" w:val="left"/>
        </w:tabs>
        <w:numPr>
          <w:ilvl w:val="0"/>
          <w:numId w:val="2"/>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with respect to shares of stock of the Corporation (a “Derivative”) and (E) a description in reasonable detail of any proxy (including revocable proxies), contract, arrangement, understanding or other relationship pursuant to which the Proponent or Stockholder Associated Person has a right to vote any shares of stock of the Corporation. The information specified in Section 3.13(c)(3) is referred to herein as “Stockholder Information”;</w:t>
      </w:r>
    </w:p>
    <w:p>
      <w:pPr>
        <w:spacing w:after="0" w:line="160"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(4) a representation that each Proponent is a holder of record of stock of the Corporation entitled to vote at the meeting and intends to appear in person or by proxy at the meeting to propose such Stockholder Business;</w:t>
      </w:r>
    </w:p>
    <w:p>
      <w:pPr>
        <w:spacing w:after="0" w:line="186"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(5) 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18" w:right="239" w:bottom="1440" w:gutter="0" w:footer="0" w:header="0"/>
        </w:sectPr>
      </w:pPr>
    </w:p>
    <w:bookmarkStart w:id="9" w:name="page10"/>
    <w:bookmarkEnd w:id="9"/>
    <w:tbl>
      <w:tblPr>
        <w:tblLayout w:type="fixed"/>
        <w:tblInd w:w="880" w:type="dxa"/>
        <w:tblCellMar>
          <w:top w:w="0" w:type="dxa"/>
          <w:left w:w="0" w:type="dxa"/>
          <w:bottom w:w="0" w:type="dxa"/>
          <w:right w:w="0" w:type="dxa"/>
        </w:tblCellMar>
      </w:tblPr>
      <w:tr>
        <w:trPr>
          <w:trHeight w:val="253"/>
        </w:trPr>
        <w:tc>
          <w:tcPr>
            <w:tcW w:w="2700" w:type="dxa"/>
            <w:vAlign w:val="bottom"/>
          </w:tcPr>
          <w:p>
            <w:pPr>
              <w:jc w:val="right"/>
              <w:ind w:right="1532"/>
              <w:spacing w:after="0"/>
              <w:rPr>
                <w:sz w:val="20"/>
                <w:szCs w:val="20"/>
                <w:color w:val="auto"/>
              </w:rPr>
            </w:pPr>
            <w:r>
              <w:rPr>
                <w:rFonts w:ascii="Arial" w:cs="Arial" w:eastAsia="Arial" w:hAnsi="Arial"/>
                <w:sz w:val="22"/>
                <w:szCs w:val="22"/>
                <w:color w:val="auto"/>
              </w:rPr>
              <w:t>(6)</w:t>
            </w:r>
          </w:p>
        </w:tc>
        <w:tc>
          <w:tcPr>
            <w:tcW w:w="7840" w:type="dxa"/>
            <w:vAlign w:val="bottom"/>
          </w:tcPr>
          <w:p>
            <w:pPr>
              <w:ind w:left="320"/>
              <w:spacing w:after="0"/>
              <w:rPr>
                <w:sz w:val="20"/>
                <w:szCs w:val="20"/>
                <w:color w:val="auto"/>
              </w:rPr>
            </w:pPr>
            <w:r>
              <w:rPr>
                <w:rFonts w:ascii="Arial" w:cs="Arial" w:eastAsia="Arial" w:hAnsi="Arial"/>
                <w:sz w:val="22"/>
                <w:szCs w:val="22"/>
                <w:color w:val="auto"/>
                <w:w w:val="93"/>
              </w:rPr>
              <w:t>any material interest of each Proponent and any Stockholder Associated Person in</w:t>
            </w:r>
          </w:p>
        </w:tc>
      </w:tr>
      <w:tr>
        <w:trPr>
          <w:trHeight w:val="275"/>
        </w:trPr>
        <w:tc>
          <w:tcPr>
            <w:tcW w:w="2700" w:type="dxa"/>
            <w:vAlign w:val="bottom"/>
          </w:tcPr>
          <w:p>
            <w:pPr>
              <w:jc w:val="right"/>
              <w:ind w:right="212"/>
              <w:spacing w:after="0"/>
              <w:rPr>
                <w:sz w:val="20"/>
                <w:szCs w:val="20"/>
                <w:color w:val="auto"/>
              </w:rPr>
            </w:pPr>
            <w:r>
              <w:rPr>
                <w:rFonts w:ascii="Arial" w:cs="Arial" w:eastAsia="Arial" w:hAnsi="Arial"/>
                <w:sz w:val="22"/>
                <w:szCs w:val="22"/>
                <w:color w:val="auto"/>
                <w:w w:val="87"/>
              </w:rPr>
              <w:t>such Stockholder Business;</w:t>
            </w:r>
          </w:p>
        </w:tc>
        <w:tc>
          <w:tcPr>
            <w:tcW w:w="7840" w:type="dxa"/>
            <w:vAlign w:val="bottom"/>
          </w:tcPr>
          <w:p>
            <w:pPr>
              <w:spacing w:after="0"/>
              <w:rPr>
                <w:sz w:val="23"/>
                <w:szCs w:val="23"/>
                <w:color w:val="auto"/>
              </w:rPr>
            </w:pPr>
          </w:p>
        </w:tc>
      </w:tr>
      <w:tr>
        <w:trPr>
          <w:trHeight w:val="446"/>
        </w:trPr>
        <w:tc>
          <w:tcPr>
            <w:tcW w:w="2700" w:type="dxa"/>
            <w:vAlign w:val="bottom"/>
          </w:tcPr>
          <w:p>
            <w:pPr>
              <w:jc w:val="right"/>
              <w:ind w:right="1532"/>
              <w:spacing w:after="0"/>
              <w:rPr>
                <w:sz w:val="20"/>
                <w:szCs w:val="20"/>
                <w:color w:val="auto"/>
              </w:rPr>
            </w:pPr>
            <w:r>
              <w:rPr>
                <w:rFonts w:ascii="Arial" w:cs="Arial" w:eastAsia="Arial" w:hAnsi="Arial"/>
                <w:sz w:val="22"/>
                <w:szCs w:val="22"/>
                <w:color w:val="auto"/>
              </w:rPr>
              <w:t>(7)</w:t>
            </w:r>
          </w:p>
        </w:tc>
        <w:tc>
          <w:tcPr>
            <w:tcW w:w="7840" w:type="dxa"/>
            <w:vAlign w:val="bottom"/>
          </w:tcPr>
          <w:p>
            <w:pPr>
              <w:ind w:left="320"/>
              <w:spacing w:after="0"/>
              <w:rPr>
                <w:sz w:val="20"/>
                <w:szCs w:val="20"/>
                <w:color w:val="auto"/>
              </w:rPr>
            </w:pPr>
            <w:r>
              <w:rPr>
                <w:rFonts w:ascii="Arial" w:cs="Arial" w:eastAsia="Arial" w:hAnsi="Arial"/>
                <w:sz w:val="22"/>
                <w:szCs w:val="22"/>
                <w:color w:val="auto"/>
                <w:w w:val="90"/>
              </w:rPr>
              <w:t>a representation as to whether the Proponent intends (a) to deliver a proxy statement</w:t>
            </w:r>
          </w:p>
        </w:tc>
      </w:tr>
    </w:tbl>
    <w:p>
      <w:pPr>
        <w:jc w:val="both"/>
        <w:ind w:left="880"/>
        <w:spacing w:after="0" w:line="234" w:lineRule="auto"/>
        <w:rPr>
          <w:sz w:val="20"/>
          <w:szCs w:val="20"/>
          <w:color w:val="auto"/>
        </w:rPr>
      </w:pPr>
      <w:r>
        <w:rPr>
          <w:rFonts w:ascii="Arial" w:cs="Arial" w:eastAsia="Arial" w:hAnsi="Arial"/>
          <w:sz w:val="22"/>
          <w:szCs w:val="22"/>
          <w:color w:val="auto"/>
        </w:rPr>
        <w:t>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187"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(8) all other information that would be required to be filed with the Securities and Exchange Commission if the Proponents or Stockholder Associated Persons were participants in a solicitation subject to Section 14 of the Exchange Act; and</w:t>
      </w:r>
    </w:p>
    <w:p>
      <w:pPr>
        <w:sectPr>
          <w:pgSz w:w="11900" w:h="16838" w:orient="portrait"/>
          <w:cols w:equalWidth="0" w:num="1">
            <w:col w:w="11420"/>
          </w:cols>
          <w:pgMar w:left="240" w:top="108" w:right="239" w:bottom="1440" w:gutter="0" w:footer="0" w:header="0"/>
        </w:sectPr>
      </w:pPr>
    </w:p>
    <w:p>
      <w:pPr>
        <w:spacing w:after="0" w:line="18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(9)</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requested by the Corporation.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 representation that the Proponents shall provide any other information reasonably</w:t>
      </w:r>
    </w:p>
    <w:p>
      <w:pPr>
        <w:spacing w:after="0" w:line="461" w:lineRule="exact"/>
        <w:rPr>
          <w:sz w:val="20"/>
          <w:szCs w:val="20"/>
          <w:color w:val="auto"/>
        </w:rPr>
      </w:pPr>
    </w:p>
    <w:p>
      <w:pPr>
        <w:sectPr>
          <w:pgSz w:w="11900" w:h="16838" w:orient="portrait"/>
          <w:cols w:equalWidth="0" w:num="2">
            <w:col w:w="3460" w:space="440"/>
            <w:col w:w="7520"/>
          </w:cols>
          <w:pgMar w:left="240" w:top="108" w:right="239" w:bottom="1440" w:gutter="0" w:footer="0" w:header="0"/>
          <w:type w:val="continuous"/>
        </w:sectPr>
      </w:pPr>
    </w:p>
    <w:p>
      <w:pPr>
        <w:spacing w:after="0" w:line="23"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auto"/>
        </w:rPr>
        <w:t>(d) The Proponents shall also provide any other information reasonably requested by the Corporation within ten business days after such request.</w:t>
      </w:r>
    </w:p>
    <w:p>
      <w:pPr>
        <w:spacing w:after="0" w:line="173"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In addition, the Proponent shall further update and supplement the information</w:t>
      </w:r>
    </w:p>
    <w:p>
      <w:pPr>
        <w:sectPr>
          <w:pgSz w:w="11900" w:h="16838" w:orient="portrait"/>
          <w:cols w:equalWidth="0" w:num="1">
            <w:col w:w="11420"/>
          </w:cols>
          <w:pgMar w:left="240" w:top="108" w:right="2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provided to the Corporation in the stockholder’s notice to the Secretary or upon the Corporation’s request pursuant to Section 3.13(d)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by the Corporation at its principal executive office, addressed to the Secretary of the Corporation,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90"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(f) If the Board of Directors or a designated committee thereof determines that any stockholder notice was not made in a timely fashion in accordance with the provisions of this Section 3.13 or that the information provided in a stockholder’s notice does not satisfy the information requirements of this Section 3.13 in any material respect, the related Stockholder Business shall not be required to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Business was properly brought before the meeting in accordance with the terms of this Section 3.13. If the presiding officer determines that any stockholder notice was not made in a timely fashion in accordance with the provisions of this Section 3.13 or that the information provided in a stockholders notice does not satisfy the information requirements of this Section 3.13 in any material respect, such proposal shall not be required to be presented for action at the Annual Meeting in question. If the Board of Directors, a designated committee thereof or the presiding officer determines that a stockholder proposal was made in accordance with the requirements of this Section 3.13, the presiding officer shall so declare at the Annual Meeting and ballots shall be provided for use at the Annual Meeting with respect to such proposal.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8" w:right="239" w:bottom="1440" w:gutter="0" w:footer="0" w:header="0"/>
          <w:type w:val="continuous"/>
        </w:sectPr>
      </w:pPr>
    </w:p>
    <w:bookmarkStart w:id="10" w:name="page11"/>
    <w:bookmarkEnd w:id="10"/>
    <w:p>
      <w:pPr>
        <w:ind w:left="1760"/>
        <w:spacing w:after="0"/>
        <w:tabs>
          <w:tab w:leader="none" w:pos="394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If the Proponent (or a qualified representative of the Proponent) does not appear at the</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meeting of stockholders to present the Stockholder Business such business shall not be transacted, notwithstanding that proxies in respect of such vote may have been received by the Corporation. For purposes of this Section 3.13,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ectPr>
          <w:pgSz w:w="11900" w:h="16838" w:orient="portrait"/>
          <w:cols w:equalWidth="0" w:num="1">
            <w:col w:w="11420"/>
          </w:cols>
          <w:pgMar w:left="240" w:top="118" w:right="239" w:bottom="1440" w:gutter="0" w:footer="0" w:header="0"/>
        </w:sectPr>
      </w:pPr>
    </w:p>
    <w:p>
      <w:pPr>
        <w:spacing w:after="0" w:line="155" w:lineRule="exact"/>
        <w:rPr>
          <w:sz w:val="20"/>
          <w:szCs w:val="20"/>
          <w:color w:val="auto"/>
        </w:rPr>
      </w:pPr>
    </w:p>
    <w:p>
      <w:pPr>
        <w:jc w:val="center"/>
        <w:ind w:left="540"/>
        <w:spacing w:after="0"/>
        <w:rPr>
          <w:sz w:val="20"/>
          <w:szCs w:val="20"/>
          <w:color w:val="auto"/>
        </w:rPr>
      </w:pPr>
      <w:r>
        <w:rPr>
          <w:rFonts w:ascii="Arial" w:cs="Arial" w:eastAsia="Arial" w:hAnsi="Arial"/>
          <w:sz w:val="21"/>
          <w:szCs w:val="21"/>
          <w:color w:val="auto"/>
        </w:rPr>
        <w:t>(h)</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these By-Laws:</w:t>
      </w:r>
    </w:p>
    <w:p>
      <w:pPr>
        <w:spacing w:after="0" w:line="222" w:lineRule="exact"/>
        <w:rPr>
          <w:sz w:val="20"/>
          <w:szCs w:val="20"/>
          <w:color w:val="auto"/>
        </w:rPr>
      </w:pPr>
    </w:p>
    <w:p>
      <w:pPr>
        <w:sectPr>
          <w:pgSz w:w="11900" w:h="16838" w:orient="portrait"/>
          <w:cols w:equalWidth="0" w:num="2">
            <w:col w:w="3240" w:space="720"/>
            <w:col w:w="7460"/>
          </w:cols>
          <w:pgMar w:left="240" w:top="118" w:right="239" w:bottom="1440" w:gutter="0" w:footer="0" w:header="0"/>
          <w:type w:val="continuous"/>
        </w:sectPr>
      </w:pPr>
    </w:p>
    <w:p>
      <w:pPr>
        <w:spacing w:after="0" w:line="18" w:lineRule="exact"/>
        <w:rPr>
          <w:sz w:val="20"/>
          <w:szCs w:val="20"/>
          <w:color w:val="auto"/>
        </w:rPr>
      </w:pPr>
    </w:p>
    <w:p>
      <w:pPr>
        <w:ind w:left="1700"/>
        <w:spacing w:after="0"/>
        <w:tabs>
          <w:tab w:leader="none" w:pos="388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“public announcement” shall mean: (i) disclosure in a press release reported by the</w:t>
      </w:r>
    </w:p>
    <w:p>
      <w:pPr>
        <w:sectPr>
          <w:pgSz w:w="11900" w:h="16838" w:orient="portrait"/>
          <w:cols w:equalWidth="0" w:num="1">
            <w:col w:w="11420"/>
          </w:cols>
          <w:pgMar w:left="240" w:top="118" w:right="239" w:bottom="1440" w:gutter="0" w:footer="0" w:header="0"/>
          <w:type w:val="continuous"/>
        </w:sectPr>
      </w:pPr>
    </w:p>
    <w:p>
      <w:pPr>
        <w:spacing w:after="0" w:line="56" w:lineRule="exact"/>
        <w:rPr>
          <w:sz w:val="20"/>
          <w:szCs w:val="20"/>
          <w:color w:val="auto"/>
        </w:rPr>
      </w:pPr>
    </w:p>
    <w:p>
      <w:pPr>
        <w:jc w:val="both"/>
        <w:ind w:left="880" w:right="20"/>
        <w:spacing w:after="0" w:line="280" w:lineRule="auto"/>
        <w:rPr>
          <w:sz w:val="20"/>
          <w:szCs w:val="20"/>
          <w:color w:val="auto"/>
        </w:rPr>
      </w:pPr>
      <w:r>
        <w:rPr>
          <w:rFonts w:ascii="Arial" w:cs="Arial" w:eastAsia="Arial" w:hAnsi="Arial"/>
          <w:sz w:val="19"/>
          <w:szCs w:val="19"/>
          <w:color w:val="auto"/>
        </w:rPr>
        <w:t>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149"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(2) “Stockholder Associated Person” means with respect to any stockholder, (i) any other beneficial owner of stock of the Corporation that are owned by such stockholder and (ii) any person that directly, or indirectly through one or more intermediaries, controls, or is controlled by, or is under common control with, the stockholder or such beneficial owner; and</w:t>
      </w:r>
    </w:p>
    <w:p>
      <w:pPr>
        <w:spacing w:after="0" w:line="185"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(3)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or the direct or indirect ownership of 50% or more of the outstanding voting securities of a person.</w:t>
      </w:r>
    </w:p>
    <w:p>
      <w:pPr>
        <w:spacing w:after="0" w:line="185"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(i) Notwithstanding the foregoing provisions of this Section 3.13, a stockholder shall also comply with all applicable requirements of the Exchange Act, and the rules and regulations thereunder with respect to the matters set forth in this Section 3.13, and nothing in this Section 3.13 shall be deemed to affect any rights of stockholders to request inclusion of proposals in the Corporation’s proxy statement pursuant to Rule 14a-8 under the Exchange Act.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880"/>
              <w:spacing w:after="0"/>
              <w:rPr>
                <w:sz w:val="20"/>
                <w:szCs w:val="20"/>
                <w:color w:val="auto"/>
              </w:rPr>
            </w:pPr>
            <w:r>
              <w:rPr>
                <w:rFonts w:ascii="Arial" w:cs="Arial" w:eastAsia="Arial" w:hAnsi="Arial"/>
                <w:sz w:val="22"/>
                <w:szCs w:val="22"/>
                <w:color w:val="auto"/>
              </w:rPr>
              <w:t>Section 4.</w:t>
            </w:r>
          </w:p>
        </w:tc>
        <w:tc>
          <w:tcPr>
            <w:tcW w:w="9340" w:type="dxa"/>
            <w:vAlign w:val="bottom"/>
            <w:gridSpan w:val="5"/>
          </w:tcPr>
          <w:p>
            <w:pPr>
              <w:ind w:left="320"/>
              <w:spacing w:after="0"/>
              <w:rPr>
                <w:sz w:val="20"/>
                <w:szCs w:val="20"/>
                <w:color w:val="auto"/>
              </w:rPr>
            </w:pPr>
            <w:r>
              <w:rPr>
                <w:rFonts w:ascii="Arial" w:cs="Arial" w:eastAsia="Arial" w:hAnsi="Arial"/>
                <w:sz w:val="22"/>
                <w:szCs w:val="22"/>
                <w:color w:val="auto"/>
              </w:rPr>
              <w:t>Directors.</w:t>
            </w:r>
          </w:p>
        </w:tc>
      </w:tr>
      <w:tr>
        <w:trPr>
          <w:trHeight w:val="20"/>
        </w:trPr>
        <w:tc>
          <w:tcPr>
            <w:tcW w:w="20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439"/>
        </w:trPr>
        <w:tc>
          <w:tcPr>
            <w:tcW w:w="2080" w:type="dxa"/>
            <w:vAlign w:val="bottom"/>
          </w:tcPr>
          <w:p>
            <w:pPr>
              <w:ind w:left="880"/>
              <w:spacing w:after="0"/>
              <w:rPr>
                <w:sz w:val="20"/>
                <w:szCs w:val="20"/>
                <w:color w:val="auto"/>
              </w:rPr>
            </w:pPr>
            <w:r>
              <w:rPr>
                <w:rFonts w:ascii="Arial" w:cs="Arial" w:eastAsia="Arial" w:hAnsi="Arial"/>
                <w:sz w:val="22"/>
                <w:szCs w:val="22"/>
                <w:color w:val="auto"/>
              </w:rPr>
              <w:t>4.1</w:t>
            </w:r>
          </w:p>
        </w:tc>
        <w:tc>
          <w:tcPr>
            <w:tcW w:w="38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Arial" w:cs="Arial" w:eastAsia="Arial" w:hAnsi="Arial"/>
                <w:sz w:val="22"/>
                <w:szCs w:val="22"/>
                <w:color w:val="auto"/>
                <w:w w:val="93"/>
              </w:rPr>
              <w:t>Number; Qualifications.  The Board of Directors shall consist of one or more members, the number</w:t>
            </w:r>
          </w:p>
        </w:tc>
      </w:tr>
      <w:tr>
        <w:trPr>
          <w:trHeight w:val="20"/>
        </w:trPr>
        <w:tc>
          <w:tcPr>
            <w:tcW w:w="246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274"/>
        </w:trPr>
        <w:tc>
          <w:tcPr>
            <w:tcW w:w="11420" w:type="dxa"/>
            <w:vAlign w:val="bottom"/>
            <w:gridSpan w:val="6"/>
          </w:tcPr>
          <w:p>
            <w:pPr>
              <w:spacing w:after="0"/>
              <w:rPr>
                <w:sz w:val="20"/>
                <w:szCs w:val="20"/>
                <w:color w:val="auto"/>
              </w:rPr>
            </w:pPr>
            <w:r>
              <w:rPr>
                <w:rFonts w:ascii="Arial" w:cs="Arial" w:eastAsia="Arial" w:hAnsi="Arial"/>
                <w:sz w:val="22"/>
                <w:szCs w:val="22"/>
                <w:color w:val="auto"/>
                <w:w w:val="99"/>
              </w:rPr>
              <w:t>thereof to be determined from time to time by resolution of the Board of Directors. Directors need not be stockholders.</w:t>
            </w:r>
          </w:p>
        </w:tc>
      </w:tr>
      <w:tr>
        <w:trPr>
          <w:trHeight w:val="409"/>
        </w:trPr>
        <w:tc>
          <w:tcPr>
            <w:tcW w:w="2080" w:type="dxa"/>
            <w:vAlign w:val="bottom"/>
          </w:tcPr>
          <w:p>
            <w:pPr>
              <w:ind w:left="880"/>
              <w:spacing w:after="0"/>
              <w:rPr>
                <w:sz w:val="20"/>
                <w:szCs w:val="20"/>
                <w:color w:val="auto"/>
              </w:rPr>
            </w:pPr>
            <w:r>
              <w:rPr>
                <w:rFonts w:ascii="Arial" w:cs="Arial" w:eastAsia="Arial" w:hAnsi="Arial"/>
                <w:sz w:val="22"/>
                <w:szCs w:val="22"/>
                <w:color w:val="auto"/>
              </w:rPr>
              <w:t>4.2</w:t>
            </w:r>
          </w:p>
        </w:tc>
        <w:tc>
          <w:tcPr>
            <w:tcW w:w="38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Arial" w:cs="Arial" w:eastAsia="Arial" w:hAnsi="Arial"/>
                <w:sz w:val="22"/>
                <w:szCs w:val="22"/>
                <w:color w:val="auto"/>
                <w:w w:val="88"/>
              </w:rPr>
              <w:t>Vacancies. Vacancies and any newly created directorships resulting from any increase in the number of</w:t>
            </w:r>
          </w:p>
        </w:tc>
      </w:tr>
      <w:tr>
        <w:trPr>
          <w:trHeight w:val="20"/>
        </w:trPr>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directors may be filled by a majority of the directors then in office, although less than a quorum, or by a sole remaining director. When one or more directors shall resign from the Board of Directors, effective at a future date, a majority of the directors then in office, including those who have resigned, shall have power to fill such vacancy or vacancies,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18" w:right="239" w:bottom="1440" w:gutter="0" w:footer="0" w:header="0"/>
          <w:type w:val="continuous"/>
        </w:sectPr>
      </w:pPr>
    </w:p>
    <w:bookmarkStart w:id="11" w:name="page12"/>
    <w:bookmarkEnd w:id="11"/>
    <w:p>
      <w:pPr>
        <w:jc w:val="both"/>
        <w:spacing w:after="0" w:line="235" w:lineRule="auto"/>
        <w:rPr>
          <w:sz w:val="20"/>
          <w:szCs w:val="20"/>
          <w:color w:val="auto"/>
        </w:rPr>
      </w:pPr>
      <w:r>
        <w:rPr>
          <w:rFonts w:ascii="Arial" w:cs="Arial" w:eastAsia="Arial" w:hAnsi="Arial"/>
          <w:sz w:val="22"/>
          <w:szCs w:val="22"/>
          <w:color w:val="auto"/>
        </w:rPr>
        <w:t>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A director so elected shall hold office until the earlier of the expiration of the term of office of the director whom he or she replaced, a successor is elected and qualified or until he or she sooner dies, resigns, is removed or becomes disqualified.</w:t>
      </w:r>
    </w:p>
    <w:p>
      <w:pPr>
        <w:spacing w:after="0" w:line="189"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Tenure</w:t>
      </w:r>
      <w:r>
        <w:rPr>
          <w:rFonts w:ascii="Arial" w:cs="Arial" w:eastAsia="Arial" w:hAnsi="Arial"/>
          <w:sz w:val="22"/>
          <w:szCs w:val="22"/>
          <w:color w:val="auto"/>
        </w:rPr>
        <w:t>. Except as otherwise provided by law, by the Certificate of Incorporation or by these By-Laws, each director shall hold office until his or her successor is elected and qualified, or until he or she sooner dies, resigns, is removed or becomes disqualified.</w:t>
      </w:r>
    </w:p>
    <w:p>
      <w:pPr>
        <w:spacing w:after="0" w:line="186"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Powers</w:t>
      </w:r>
      <w:r>
        <w:rPr>
          <w:rFonts w:ascii="Arial" w:cs="Arial" w:eastAsia="Arial" w:hAnsi="Arial"/>
          <w:sz w:val="21"/>
          <w:szCs w:val="21"/>
          <w:color w:val="auto"/>
        </w:rPr>
        <w:t>.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6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Unless the Board of Directors provides otherwise, at all meetings of a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and report the same to the Board of Directors upon request.</w:t>
      </w:r>
    </w:p>
    <w:p>
      <w:pPr>
        <w:spacing w:after="0" w:line="16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Regular Meeting</w:t>
      </w:r>
      <w:r>
        <w:rPr>
          <w:rFonts w:ascii="Arial" w:cs="Arial" w:eastAsia="Arial" w:hAnsi="Arial"/>
          <w:sz w:val="22"/>
          <w:szCs w:val="22"/>
          <w:color w:val="auto"/>
        </w:rPr>
        <w:t>. Regular meetings of the Board of Directors may be held without call or notice at such place within or without the State of Delaware and at such times as the Board of Directors or its Chairman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8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held at such times and at such places as may be determined by the Chairman of the Board of Directors or the President on notice to each director given by one of the means specified in Section 4.8 hereof. In addition, special meetings shall be called by the Chairman, President or Secretary and held 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jc w:val="both"/>
        <w:ind w:right="20"/>
        <w:spacing w:after="0" w:line="251" w:lineRule="auto"/>
        <w:rPr>
          <w:sz w:val="20"/>
          <w:szCs w:val="20"/>
          <w:color w:val="auto"/>
        </w:rPr>
      </w:pPr>
      <w:r>
        <w:rPr>
          <w:rFonts w:ascii="Arial" w:cs="Arial" w:eastAsia="Arial" w:hAnsi="Arial"/>
          <w:sz w:val="22"/>
          <w:szCs w:val="22"/>
          <w:color w:val="auto"/>
        </w:rPr>
        <w:t>such places as may be determined by the Chairman, President or Secretary on notice to each director given by one of the means specified in Section 4.8 hereof on the written request of any two or more directors.</w:t>
      </w:r>
    </w:p>
    <w:p>
      <w:pPr>
        <w:spacing w:after="0" w:line="174"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Notice</w:t>
      </w:r>
      <w:r>
        <w:rPr>
          <w:rFonts w:ascii="Arial" w:cs="Arial" w:eastAsia="Arial" w:hAnsi="Arial"/>
          <w:sz w:val="19"/>
          <w:szCs w:val="19"/>
          <w:color w:val="auto"/>
        </w:rPr>
        <w:t>. If notice is required by law, the Certificate of Incorporation or these By-Laws, it shall be reasonable and sufficient notice to a director to send notice by mail at least forty-eight hours or by telegram or other means of electronic transmission at least twenty-four hours before the meeting, addressed to him at his or her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5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Quorum</w:t>
      </w:r>
      <w:r>
        <w:rPr>
          <w:rFonts w:ascii="Arial" w:cs="Arial" w:eastAsia="Arial" w:hAnsi="Arial"/>
          <w:sz w:val="22"/>
          <w:szCs w:val="22"/>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of Directors. Any meeting may be adjourned from time to time by a majority of the votes cast upon the question, whether or not a quorum is present, and the meeting may be held as adjourned without further notice.</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Action By Vote</w:t>
      </w:r>
      <w:r>
        <w:rPr>
          <w:rFonts w:ascii="Arial" w:cs="Arial" w:eastAsia="Arial" w:hAnsi="Arial"/>
          <w:sz w:val="22"/>
          <w:szCs w:val="22"/>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8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Action Without A Meeting</w:t>
      </w:r>
      <w:r>
        <w:rPr>
          <w:rFonts w:ascii="Arial" w:cs="Arial" w:eastAsia="Arial" w:hAnsi="Arial"/>
          <w:sz w:val="21"/>
          <w:szCs w:val="21"/>
          <w:color w:val="auto"/>
        </w:rPr>
        <w:t>. Unless otherwise restricted by the Certificate of Incorporation or these By-Laws, any action required or permitted to be taken at any meeting of the Board of Directors or of any committee thereof may be taken without a meeting if all the members of the Board of Directors or of such committee, as the case may be, consent thereto in writing or other means of electronic transmission, and such writing or writings or other means of electronic transmission are filed with the records of the meetings of the Board of Directors or of such committee. Such consent shall be treated for all purposes as the act of the Board of Directors or of such committee, as the case may be.</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Participation In Meetings By Conference Telephone</w:t>
      </w:r>
      <w:r>
        <w:rPr>
          <w:rFonts w:ascii="Arial" w:cs="Arial" w:eastAsia="Arial" w:hAnsi="Arial"/>
          <w:sz w:val="22"/>
          <w:szCs w:val="22"/>
          <w:color w:val="auto"/>
        </w:rPr>
        <w:t>. Unless otherwise restricted by the Certificate of Incorporation or these By-Laws, members of the Board of Directors or of any committee thereof, may participate in a meeting of the Board of Directors or such committee by means of conference telephone or similar communications equipment by means of which all persons participating in the meeting can hear each other. Such participation shall constitute presence in person at such meeting.</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Compensation</w:t>
      </w:r>
      <w:r>
        <w:rPr>
          <w:rFonts w:ascii="Arial" w:cs="Arial" w:eastAsia="Arial" w:hAnsi="Arial"/>
          <w:sz w:val="22"/>
          <w:szCs w:val="22"/>
          <w:color w:val="auto"/>
        </w:rPr>
        <w:t>.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jc w:val="both"/>
        <w:spacing w:after="0" w:line="274" w:lineRule="auto"/>
        <w:rPr>
          <w:sz w:val="20"/>
          <w:szCs w:val="20"/>
          <w:color w:val="auto"/>
        </w:rPr>
      </w:pPr>
      <w:r>
        <w:rPr>
          <w:rFonts w:ascii="Arial" w:cs="Arial" w:eastAsia="Arial" w:hAnsi="Arial"/>
          <w:sz w:val="21"/>
          <w:szCs w:val="21"/>
          <w:color w:val="auto"/>
        </w:rPr>
        <w:t>Corporation or its parent or subsidiary corporations in any other capacity and receiving compensation therefor. The Board of Directors may also allow compensation for members of special or standing committees for service on such committees.</w:t>
      </w:r>
    </w:p>
    <w:p>
      <w:pPr>
        <w:spacing w:after="0" w:line="151"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4.14 </w:t>
      </w:r>
      <w:r>
        <w:rPr>
          <w:rFonts w:ascii="Arial" w:cs="Arial" w:eastAsia="Arial" w:hAnsi="Arial"/>
          <w:sz w:val="21"/>
          <w:szCs w:val="21"/>
          <w:u w:val="single" w:color="auto"/>
          <w:color w:val="auto"/>
        </w:rPr>
        <w:t>Resignation Or Removal Of Directors</w:t>
      </w:r>
      <w:r>
        <w:rPr>
          <w:rFonts w:ascii="Arial" w:cs="Arial" w:eastAsia="Arial" w:hAnsi="Arial"/>
          <w:sz w:val="21"/>
          <w:szCs w:val="21"/>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or her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4.15</w:t>
            </w:r>
          </w:p>
        </w:tc>
        <w:tc>
          <w:tcPr>
            <w:tcW w:w="8860" w:type="dxa"/>
            <w:vAlign w:val="bottom"/>
            <w:gridSpan w:val="2"/>
          </w:tcPr>
          <w:p>
            <w:pPr>
              <w:spacing w:after="0"/>
              <w:rPr>
                <w:sz w:val="20"/>
                <w:szCs w:val="20"/>
                <w:color w:val="auto"/>
              </w:rPr>
            </w:pPr>
            <w:r>
              <w:rPr>
                <w:rFonts w:ascii="Arial" w:cs="Arial" w:eastAsia="Arial" w:hAnsi="Arial"/>
                <w:sz w:val="22"/>
                <w:szCs w:val="22"/>
                <w:color w:val="auto"/>
              </w:rPr>
              <w:t>Director Nominations.</w:t>
            </w:r>
          </w:p>
        </w:tc>
      </w:tr>
      <w:tr>
        <w:trPr>
          <w:trHeight w:val="20"/>
        </w:trPr>
        <w:tc>
          <w:tcPr>
            <w:tcW w:w="16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476"/>
        </w:trPr>
        <w:tc>
          <w:tcPr>
            <w:tcW w:w="168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860" w:type="dxa"/>
            <w:vAlign w:val="bottom"/>
            <w:gridSpan w:val="2"/>
          </w:tcPr>
          <w:p>
            <w:pPr>
              <w:ind w:left="1380"/>
              <w:spacing w:after="0"/>
              <w:rPr>
                <w:sz w:val="20"/>
                <w:szCs w:val="20"/>
                <w:color w:val="auto"/>
              </w:rPr>
            </w:pPr>
            <w:r>
              <w:rPr>
                <w:rFonts w:ascii="Arial" w:cs="Arial" w:eastAsia="Arial" w:hAnsi="Arial"/>
                <w:sz w:val="22"/>
                <w:szCs w:val="22"/>
                <w:color w:val="auto"/>
                <w:w w:val="91"/>
              </w:rPr>
              <w:t>Nominations of candidates for election as directors of the Corporation at any Annual</w:t>
            </w:r>
          </w:p>
        </w:tc>
      </w:tr>
    </w:tbl>
    <w:p>
      <w:pPr>
        <w:jc w:val="both"/>
        <w:spacing w:after="0" w:line="243" w:lineRule="auto"/>
        <w:rPr>
          <w:sz w:val="20"/>
          <w:szCs w:val="20"/>
          <w:color w:val="auto"/>
        </w:rPr>
      </w:pPr>
      <w:r>
        <w:rPr>
          <w:rFonts w:ascii="Arial" w:cs="Arial" w:eastAsia="Arial" w:hAnsi="Arial"/>
          <w:sz w:val="21"/>
          <w:szCs w:val="21"/>
          <w:color w:val="auto"/>
        </w:rPr>
        <w:t>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4.15. Any stockholder who has complied with the timing, informational and other requirements set forth in this Section 4.15 and who seeks to make such a nomination, or such stockholder’s representative, must be present in person at the Annual Meeting. Only persons nominated in accordance with the procedures set forth in this Section 4.15 shall be eligible for election as directors at an Annual Meeting. A stockholder nominating persons for election to the Board of Directors is referred to as the “Nominating Stockholder”. Persons nominated in accordance with Section 4.15 are referred to as “Stockholder Nominees”.</w:t>
      </w:r>
    </w:p>
    <w:p>
      <w:pPr>
        <w:spacing w:after="0" w:line="185"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(b) Nominations, other than those made by, or at the direction of, the Board of Directors, shall be made pursuant to timely notice in writing to the Secretary of the Corporation as set forth in this Section 4.15. A stockholder’s notice shall be timely if delivered to, or mailed to and received by, the Corporation, addressed to the Secretary of the Corporation, at its principal executive office not less than ninety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addressed to the Secretary of the Corporation, at its principal executive office not later than the close of business on the later of (i) the ninetieth day prior to the scheduled date of such Annual Meeting or (ii) the tenth day following the day on which public announcement of the date of such Annual Meeting is first made by the 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880" w:type="dxa"/>
        <w:tblCellMar>
          <w:top w:w="0" w:type="dxa"/>
          <w:left w:w="0" w:type="dxa"/>
          <w:bottom w:w="0" w:type="dxa"/>
          <w:right w:w="0" w:type="dxa"/>
        </w:tblCellMar>
      </w:tblPr>
      <w:tr>
        <w:trPr>
          <w:trHeight w:val="275"/>
        </w:trPr>
        <w:tc>
          <w:tcPr>
            <w:tcW w:w="2880" w:type="dxa"/>
            <w:vAlign w:val="bottom"/>
          </w:tcPr>
          <w:p>
            <w:pPr>
              <w:jc w:val="right"/>
              <w:ind w:right="1652"/>
              <w:spacing w:after="0"/>
              <w:rPr>
                <w:sz w:val="20"/>
                <w:szCs w:val="20"/>
                <w:color w:val="auto"/>
              </w:rPr>
            </w:pPr>
            <w:r>
              <w:rPr>
                <w:rFonts w:ascii="Arial" w:cs="Arial" w:eastAsia="Arial" w:hAnsi="Arial"/>
                <w:sz w:val="22"/>
                <w:szCs w:val="22"/>
                <w:color w:val="auto"/>
              </w:rPr>
              <w:t>(c)</w:t>
            </w:r>
          </w:p>
        </w:tc>
        <w:tc>
          <w:tcPr>
            <w:tcW w:w="7660" w:type="dxa"/>
            <w:vAlign w:val="bottom"/>
          </w:tcPr>
          <w:p>
            <w:pPr>
              <w:ind w:left="180"/>
              <w:spacing w:after="0"/>
              <w:rPr>
                <w:sz w:val="20"/>
                <w:szCs w:val="20"/>
                <w:color w:val="auto"/>
              </w:rPr>
            </w:pPr>
            <w:r>
              <w:rPr>
                <w:rFonts w:ascii="Arial" w:cs="Arial" w:eastAsia="Arial" w:hAnsi="Arial"/>
                <w:sz w:val="22"/>
                <w:szCs w:val="22"/>
                <w:color w:val="auto"/>
              </w:rPr>
              <w:t>A stockholder’s notice of nomination must set forth:</w:t>
            </w:r>
          </w:p>
        </w:tc>
      </w:tr>
      <w:tr>
        <w:trPr>
          <w:trHeight w:val="428"/>
        </w:trPr>
        <w:tc>
          <w:tcPr>
            <w:tcW w:w="2880" w:type="dxa"/>
            <w:vAlign w:val="bottom"/>
          </w:tcPr>
          <w:p>
            <w:pPr>
              <w:jc w:val="right"/>
              <w:ind w:right="1712"/>
              <w:spacing w:after="0"/>
              <w:rPr>
                <w:sz w:val="20"/>
                <w:szCs w:val="20"/>
                <w:color w:val="auto"/>
              </w:rPr>
            </w:pPr>
            <w:r>
              <w:rPr>
                <w:rFonts w:ascii="Arial" w:cs="Arial" w:eastAsia="Arial" w:hAnsi="Arial"/>
                <w:sz w:val="22"/>
                <w:szCs w:val="22"/>
                <w:color w:val="auto"/>
              </w:rPr>
              <w:t>(1)</w:t>
            </w:r>
          </w:p>
        </w:tc>
        <w:tc>
          <w:tcPr>
            <w:tcW w:w="7660" w:type="dxa"/>
            <w:vAlign w:val="bottom"/>
          </w:tcPr>
          <w:p>
            <w:pPr>
              <w:ind w:left="140"/>
              <w:spacing w:after="0"/>
              <w:rPr>
                <w:sz w:val="20"/>
                <w:szCs w:val="20"/>
                <w:color w:val="auto"/>
              </w:rPr>
            </w:pPr>
            <w:r>
              <w:rPr>
                <w:rFonts w:ascii="Arial" w:cs="Arial" w:eastAsia="Arial" w:hAnsi="Arial"/>
                <w:sz w:val="22"/>
                <w:szCs w:val="22"/>
                <w:color w:val="auto"/>
                <w:w w:val="99"/>
              </w:rPr>
              <w:t>the Stockholder Information with respect to each Nominating Stockholder and</w:t>
            </w:r>
          </w:p>
        </w:tc>
      </w:tr>
      <w:tr>
        <w:trPr>
          <w:trHeight w:val="275"/>
        </w:trPr>
        <w:tc>
          <w:tcPr>
            <w:tcW w:w="2880" w:type="dxa"/>
            <w:vAlign w:val="bottom"/>
          </w:tcPr>
          <w:p>
            <w:pPr>
              <w:jc w:val="right"/>
              <w:ind w:right="12"/>
              <w:spacing w:after="0"/>
              <w:rPr>
                <w:sz w:val="20"/>
                <w:szCs w:val="20"/>
                <w:color w:val="auto"/>
              </w:rPr>
            </w:pPr>
            <w:r>
              <w:rPr>
                <w:rFonts w:ascii="Arial" w:cs="Arial" w:eastAsia="Arial" w:hAnsi="Arial"/>
                <w:sz w:val="22"/>
                <w:szCs w:val="22"/>
                <w:color w:val="auto"/>
                <w:w w:val="87"/>
              </w:rPr>
              <w:t>Stockholder Associated Person;</w:t>
            </w:r>
          </w:p>
        </w:tc>
        <w:tc>
          <w:tcPr>
            <w:tcW w:w="7660" w:type="dxa"/>
            <w:vAlign w:val="bottom"/>
          </w:tcPr>
          <w:p>
            <w:pPr>
              <w:spacing w:after="0"/>
              <w:rPr>
                <w:sz w:val="23"/>
                <w:szCs w:val="23"/>
                <w:color w:val="auto"/>
              </w:rPr>
            </w:pPr>
          </w:p>
        </w:tc>
      </w:tr>
      <w:tr>
        <w:trPr>
          <w:trHeight w:val="446"/>
        </w:trPr>
        <w:tc>
          <w:tcPr>
            <w:tcW w:w="2880" w:type="dxa"/>
            <w:vAlign w:val="bottom"/>
          </w:tcPr>
          <w:p>
            <w:pPr>
              <w:jc w:val="right"/>
              <w:ind w:right="1712"/>
              <w:spacing w:after="0"/>
              <w:rPr>
                <w:sz w:val="20"/>
                <w:szCs w:val="20"/>
                <w:color w:val="auto"/>
              </w:rPr>
            </w:pPr>
            <w:r>
              <w:rPr>
                <w:rFonts w:ascii="Arial" w:cs="Arial" w:eastAsia="Arial" w:hAnsi="Arial"/>
                <w:sz w:val="22"/>
                <w:szCs w:val="22"/>
                <w:color w:val="auto"/>
              </w:rPr>
              <w:t>(2)</w:t>
            </w:r>
          </w:p>
        </w:tc>
        <w:tc>
          <w:tcPr>
            <w:tcW w:w="7660" w:type="dxa"/>
            <w:vAlign w:val="bottom"/>
          </w:tcPr>
          <w:p>
            <w:pPr>
              <w:ind w:left="140"/>
              <w:spacing w:after="0"/>
              <w:rPr>
                <w:sz w:val="20"/>
                <w:szCs w:val="20"/>
                <w:color w:val="auto"/>
              </w:rPr>
            </w:pPr>
            <w:r>
              <w:rPr>
                <w:rFonts w:ascii="Arial" w:cs="Arial" w:eastAsia="Arial" w:hAnsi="Arial"/>
                <w:sz w:val="22"/>
                <w:szCs w:val="22"/>
                <w:color w:val="auto"/>
                <w:w w:val="90"/>
              </w:rPr>
              <w:t>a representation that each stockholder nominating a Stockholder Nominee is a holder</w:t>
            </w:r>
          </w:p>
        </w:tc>
      </w:tr>
    </w:tbl>
    <w:p>
      <w:pPr>
        <w:jc w:val="both"/>
        <w:ind w:left="880"/>
        <w:spacing w:after="0" w:line="237" w:lineRule="auto"/>
        <w:rPr>
          <w:sz w:val="20"/>
          <w:szCs w:val="20"/>
          <w:color w:val="auto"/>
        </w:rPr>
      </w:pPr>
      <w:r>
        <w:rPr>
          <w:rFonts w:ascii="Arial" w:cs="Arial" w:eastAsia="Arial" w:hAnsi="Arial"/>
          <w:sz w:val="22"/>
          <w:szCs w:val="22"/>
          <w:color w:val="auto"/>
        </w:rPr>
        <w:t>of record of stock of the Corporation entitled to vote at the meeting and intends to appear in person or by proxy at the meeting to propose such nomination;</w:t>
      </w:r>
    </w:p>
    <w:p>
      <w:pPr>
        <w:spacing w:after="0" w:line="185" w:lineRule="exact"/>
        <w:rPr>
          <w:sz w:val="20"/>
          <w:szCs w:val="20"/>
          <w:color w:val="auto"/>
        </w:rPr>
      </w:pPr>
    </w:p>
    <w:p>
      <w:pPr>
        <w:jc w:val="both"/>
        <w:ind w:left="880" w:firstLine="810"/>
        <w:spacing w:after="0" w:line="258" w:lineRule="auto"/>
        <w:rPr>
          <w:sz w:val="20"/>
          <w:szCs w:val="20"/>
          <w:color w:val="auto"/>
        </w:rPr>
      </w:pPr>
      <w:r>
        <w:rPr>
          <w:rFonts w:ascii="Arial" w:cs="Arial" w:eastAsia="Arial" w:hAnsi="Arial"/>
          <w:sz w:val="21"/>
          <w:szCs w:val="21"/>
          <w:color w:val="auto"/>
        </w:rPr>
        <w:t>(3) 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167" w:lineRule="exact"/>
        <w:rPr>
          <w:sz w:val="20"/>
          <w:szCs w:val="20"/>
          <w:color w:val="auto"/>
        </w:rPr>
      </w:pPr>
    </w:p>
    <w:p>
      <w:pPr>
        <w:jc w:val="both"/>
        <w:ind w:left="880" w:firstLine="810"/>
        <w:spacing w:after="0" w:line="234" w:lineRule="auto"/>
        <w:rPr>
          <w:sz w:val="20"/>
          <w:szCs w:val="20"/>
          <w:color w:val="auto"/>
        </w:rPr>
      </w:pPr>
      <w:r>
        <w:rPr>
          <w:rFonts w:ascii="Arial" w:cs="Arial" w:eastAsia="Arial" w:hAnsi="Arial"/>
          <w:sz w:val="22"/>
          <w:szCs w:val="22"/>
          <w:color w:val="auto"/>
        </w:rPr>
        <w:t>(4) 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191" w:lineRule="exact"/>
        <w:rPr>
          <w:sz w:val="20"/>
          <w:szCs w:val="20"/>
          <w:color w:val="auto"/>
        </w:rPr>
      </w:pPr>
    </w:p>
    <w:p>
      <w:pPr>
        <w:jc w:val="both"/>
        <w:ind w:left="880" w:firstLine="810"/>
        <w:spacing w:after="0" w:line="258" w:lineRule="auto"/>
        <w:rPr>
          <w:sz w:val="20"/>
          <w:szCs w:val="20"/>
          <w:color w:val="auto"/>
        </w:rPr>
      </w:pPr>
      <w:r>
        <w:rPr>
          <w:rFonts w:ascii="Arial" w:cs="Arial" w:eastAsia="Arial" w:hAnsi="Arial"/>
          <w:sz w:val="21"/>
          <w:szCs w:val="21"/>
          <w:color w:val="auto"/>
        </w:rPr>
        <w:t>(5) a representation as to whether the Nominating Stockholders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167"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(6) all other information that would be required to be filed with the Securities and Exchange Commission if the Nominating Stockholders and Stockholder Associated Person were participants in a solicitation subject to Section 14 of the Exchange Act; and</w:t>
      </w:r>
    </w:p>
    <w:p>
      <w:pPr>
        <w:spacing w:after="0" w:line="186" w:lineRule="exact"/>
        <w:rPr>
          <w:sz w:val="20"/>
          <w:szCs w:val="20"/>
          <w:color w:val="auto"/>
        </w:rPr>
      </w:pPr>
    </w:p>
    <w:p>
      <w:pPr>
        <w:ind w:left="880" w:firstLine="810"/>
        <w:spacing w:after="0" w:line="251" w:lineRule="auto"/>
        <w:rPr>
          <w:sz w:val="20"/>
          <w:szCs w:val="20"/>
          <w:color w:val="auto"/>
        </w:rPr>
      </w:pPr>
      <w:r>
        <w:rPr>
          <w:rFonts w:ascii="Arial" w:cs="Arial" w:eastAsia="Arial" w:hAnsi="Arial"/>
          <w:sz w:val="22"/>
          <w:szCs w:val="22"/>
          <w:color w:val="auto"/>
        </w:rPr>
        <w:t>(7) a representation that the Nominating Stockholders shall provide any other information reasonably requested by the Corporation.</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(d) The Nominating Stockholders shall also provide any other information reasonably requested by the Corporation within ten business days after such request.</w:t>
      </w:r>
    </w:p>
    <w:p>
      <w:pPr>
        <w:spacing w:after="0" w:line="173"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In addition, the Nominating Stockholder shall further update and supplement the</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information provided to the Corporation in the stockholder’s notice of nomination or upon the Corporation’s request pursuant to Section 4.15(d) as needed, so that such information shall be true and correct as of the record date for the meeting and as of the date that is ten business days before the meeting or any adjournment or postponement thereof. Such update and supplement must be delivered to, or mailed and received by, the Corporation, addressed to the Secretary of the Corporation, at its principal executive office, by no later than five business days after the record date for the meeting (in the case of the update and supplement required to be made as of the record date), and not later than seven business days before the date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jc w:val="both"/>
        <w:spacing w:after="0" w:line="251" w:lineRule="auto"/>
        <w:rPr>
          <w:sz w:val="20"/>
          <w:szCs w:val="20"/>
          <w:color w:val="auto"/>
        </w:rPr>
      </w:pPr>
      <w:r>
        <w:rPr>
          <w:rFonts w:ascii="Arial" w:cs="Arial" w:eastAsia="Arial" w:hAnsi="Arial"/>
          <w:sz w:val="22"/>
          <w:szCs w:val="22"/>
          <w:color w:val="auto"/>
        </w:rPr>
        <w:t>for the meeting (in the case of the update and supplement required to be made as of ten business days before the meeting or any adjournment or postponement thereof).</w:t>
      </w:r>
    </w:p>
    <w:p>
      <w:pPr>
        <w:spacing w:after="0" w:line="174"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(f) If the Board of Directors or a designated committee thereof determines that any stockholder nomination was not made in accordance with the terms of this Section 4.15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4.15, the presiding officer of the Annual Meeting shall determine whether a nomination was made in accordance with such provisions. If the presiding officer determines that any stockholder nomination was not made in accordance with the terms of this Section 4.15 or that the information provided in a stockholder’s notice does not satisfy the informational requirements of this Section 4.15 in any material respect, then such nomination shall not be considered at the Annual Meeting in question. If the Board of Directors, a designated committee thereof or the presiding officer determines that a nomination was made in accordance with the terms of this Section 4.15, the presiding officer shall so declare at the Annual Meeting and ballots shall be provided for use at the Annual Meeting with respect to such nominee.</w:t>
      </w:r>
    </w:p>
    <w:p>
      <w:pPr>
        <w:spacing w:after="0" w:line="187"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(g) 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4.15,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8"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(h) Notwithstanding anything to the contrary in the second sentence of Section 4.15(b),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days prior to the Anniversary Date, a stockholder’s notice required by this Section 4.15 shall also be considered timely, but only with respect to nominees for any new positions created by such increase, if such notice shall be delivered to, or mailed to and received by, the Corporation, addressed to the Secretary of the Corporation, at its principal executive office not later than the close of business on the tenth day following the day on which such public announcement is first made by the Corporation.</w:t>
      </w:r>
    </w:p>
    <w:p>
      <w:pPr>
        <w:spacing w:after="0" w:line="15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(i) No person shall be elected by the stockholders as a director of the Corporation unless nominated in accordance with the procedures set forth in this Section 4.15. Election of directors at an Annual Meeting need not be by written ballot, unless otherwise provided by the Board of Directors or presiding officer at such Annual Meeting. If written ballots are to be used, ballots bearing the names of all the persons who have been nominated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jc w:val="both"/>
        <w:ind w:right="20"/>
        <w:spacing w:after="0" w:line="251" w:lineRule="auto"/>
        <w:rPr>
          <w:sz w:val="20"/>
          <w:szCs w:val="20"/>
          <w:color w:val="auto"/>
        </w:rPr>
      </w:pPr>
      <w:r>
        <w:rPr>
          <w:rFonts w:ascii="Arial" w:cs="Arial" w:eastAsia="Arial" w:hAnsi="Arial"/>
          <w:sz w:val="22"/>
          <w:szCs w:val="22"/>
          <w:color w:val="auto"/>
        </w:rPr>
        <w:t>election as directors at an Annual Meeting in accordance with the procedures set forth in this Section 4.15 shall be provided for use at such Annual Meeting.</w:t>
      </w:r>
    </w:p>
    <w:p>
      <w:pPr>
        <w:spacing w:after="0" w:line="174"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(j) To be eligible to be a nominee for election or reelection as a director, the proposed nominee must deliver (in accordance with the time periods prescribed for delivery of notice under Section 4.15) to the Secretary at the principal executive office of the Corporation a written questionnaire with respect to the background and qualification of such nominee (which questionnaire shall be provided by the Secretary upon written 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Section 5.</w:t>
            </w:r>
          </w:p>
        </w:tc>
        <w:tc>
          <w:tcPr>
            <w:tcW w:w="9340" w:type="dxa"/>
            <w:vAlign w:val="bottom"/>
            <w:gridSpan w:val="4"/>
          </w:tcPr>
          <w:p>
            <w:pPr>
              <w:ind w:left="320"/>
              <w:spacing w:after="0"/>
              <w:rPr>
                <w:sz w:val="20"/>
                <w:szCs w:val="20"/>
                <w:color w:val="auto"/>
              </w:rPr>
            </w:pPr>
            <w:r>
              <w:rPr>
                <w:rFonts w:ascii="Arial" w:cs="Arial" w:eastAsia="Arial" w:hAnsi="Arial"/>
                <w:sz w:val="22"/>
                <w:szCs w:val="22"/>
                <w:color w:val="auto"/>
              </w:rPr>
              <w:t>Notices.</w:t>
            </w:r>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2"/>
                <w:szCs w:val="22"/>
                <w:color w:val="auto"/>
              </w:rPr>
              <w:t>5.1</w:t>
            </w:r>
          </w:p>
        </w:tc>
        <w:tc>
          <w:tcPr>
            <w:tcW w:w="38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22"/>
                <w:szCs w:val="22"/>
                <w:color w:val="auto"/>
                <w:w w:val="94"/>
              </w:rPr>
              <w:t>Form Of Notice.  Whenever, under the provisions of law, or of the Certificate of Incorporation or of</w:t>
            </w:r>
          </w:p>
        </w:tc>
      </w:tr>
      <w:tr>
        <w:trPr>
          <w:trHeight w:val="20"/>
        </w:trPr>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these By-Laws, notice is required to be given to any stockholder, such notice may be given by mail, addressed to such stockholder, at his or her address as it appears on the records of the Corporation, with postage thereon prepaid, and such notice shall be deemed to be given at the time when the same shall be deposited in the United States mail. Unless written notice by mail is required by law, notice to any stockholder may also be given by electronic transmission in the manner provided in Section 232 of the General Corporation Law of the State of Delaware, in which case such notice shall be deemed to be given at the times provided in the General Corporation Law of the State of Delaware. It shall be the duty of each stockholder to notify the Corporation of his or her post office address. Notice to directors shall be given as specified in Section 4.8</w:t>
      </w:r>
    </w:p>
    <w:p>
      <w:pPr>
        <w:spacing w:after="0" w:line="153"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Waiver Of Notice</w:t>
      </w:r>
      <w:r>
        <w:rPr>
          <w:rFonts w:ascii="Arial" w:cs="Arial" w:eastAsia="Arial" w:hAnsi="Arial"/>
          <w:sz w:val="22"/>
          <w:szCs w:val="22"/>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Officers And Agents</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jc w:val="both"/>
        <w:ind w:firstLine="877"/>
        <w:spacing w:after="0" w:line="27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Election; Enumeration; Qualification</w:t>
      </w:r>
      <w:r>
        <w:rPr>
          <w:rFonts w:ascii="Arial" w:cs="Arial" w:eastAsia="Arial" w:hAnsi="Arial"/>
          <w:sz w:val="19"/>
          <w:szCs w:val="19"/>
          <w:color w:val="auto"/>
        </w:rPr>
        <w:t>.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or her duties to the Corporation by giving bond in such amount and with sureties or otherwise as the Board of Directors may determine. If any office becomes vacant, the directors may elect a successor.</w:t>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80" w:type="dxa"/>
            <w:vAlign w:val="bottom"/>
          </w:tcPr>
          <w:p>
            <w:pPr>
              <w:jc w:val="right"/>
              <w:ind w:right="992"/>
              <w:spacing w:after="0"/>
              <w:rPr>
                <w:sz w:val="20"/>
                <w:szCs w:val="20"/>
                <w:color w:val="auto"/>
              </w:rPr>
            </w:pPr>
            <w:r>
              <w:rPr>
                <w:rFonts w:ascii="Arial" w:cs="Arial" w:eastAsia="Arial" w:hAnsi="Arial"/>
                <w:sz w:val="22"/>
                <w:szCs w:val="22"/>
                <w:color w:val="auto"/>
                <w:w w:val="84"/>
              </w:rPr>
              <w:t>6.2</w:t>
            </w:r>
          </w:p>
        </w:tc>
        <w:tc>
          <w:tcPr>
            <w:tcW w:w="9160" w:type="dxa"/>
            <w:vAlign w:val="bottom"/>
            <w:gridSpan w:val="5"/>
          </w:tcPr>
          <w:p>
            <w:pPr>
              <w:ind w:left="200"/>
              <w:spacing w:after="0"/>
              <w:rPr>
                <w:sz w:val="20"/>
                <w:szCs w:val="20"/>
                <w:color w:val="auto"/>
              </w:rPr>
            </w:pPr>
            <w:r>
              <w:rPr>
                <w:rFonts w:ascii="Arial" w:cs="Arial" w:eastAsia="Arial" w:hAnsi="Arial"/>
                <w:sz w:val="22"/>
                <w:szCs w:val="22"/>
                <w:color w:val="auto"/>
              </w:rPr>
              <w:t>Powers And Duties Of The Officers.</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39"/>
        </w:trPr>
        <w:tc>
          <w:tcPr>
            <w:tcW w:w="1380" w:type="dxa"/>
            <w:vAlign w:val="bottom"/>
          </w:tcPr>
          <w:p>
            <w:pPr>
              <w:jc w:val="right"/>
              <w:ind w:right="92"/>
              <w:spacing w:after="0"/>
              <w:rPr>
                <w:sz w:val="20"/>
                <w:szCs w:val="20"/>
                <w:color w:val="auto"/>
              </w:rPr>
            </w:pPr>
            <w:r>
              <w:rPr>
                <w:rFonts w:ascii="Arial" w:cs="Arial" w:eastAsia="Arial" w:hAnsi="Arial"/>
                <w:sz w:val="22"/>
                <w:szCs w:val="22"/>
                <w:color w:val="auto"/>
              </w:rPr>
              <w:t>(A)</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20" w:type="dxa"/>
            <w:vAlign w:val="bottom"/>
            <w:gridSpan w:val="3"/>
          </w:tcPr>
          <w:p>
            <w:pPr>
              <w:spacing w:after="0"/>
              <w:rPr>
                <w:sz w:val="20"/>
                <w:szCs w:val="20"/>
                <w:color w:val="auto"/>
              </w:rPr>
            </w:pPr>
            <w:r>
              <w:rPr>
                <w:rFonts w:ascii="Arial" w:cs="Arial" w:eastAsia="Arial" w:hAnsi="Arial"/>
                <w:sz w:val="22"/>
                <w:szCs w:val="22"/>
                <w:color w:val="auto"/>
                <w:w w:val="91"/>
              </w:rPr>
              <w:t>Chairman Of The Board. The Chairman of the Board of Directors shall preside at all</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meetings of the Board of Directors and stockholders of the Corporation. The Chairman shall have such powers and perform such duties and functions as may from time to time be assigned by the Board of Directors.</w:t>
      </w:r>
    </w:p>
    <w:p>
      <w:pPr>
        <w:spacing w:after="0" w:line="17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be the Chief Executive Officer of the Corporation, responsible for the general day-to-day management of the business of the Corporation. The President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Senior Vice Presidents</w:t>
      </w:r>
      <w:r>
        <w:rPr>
          <w:rFonts w:ascii="Arial" w:cs="Arial" w:eastAsia="Arial" w:hAnsi="Arial"/>
          <w:sz w:val="22"/>
          <w:szCs w:val="22"/>
          <w:color w:val="auto"/>
        </w:rPr>
        <w:t>.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Pr>
          <w:p>
            <w:pPr>
              <w:ind w:left="1760"/>
              <w:spacing w:after="0"/>
              <w:rPr>
                <w:sz w:val="20"/>
                <w:szCs w:val="20"/>
                <w:color w:val="auto"/>
              </w:rPr>
            </w:pPr>
            <w:r>
              <w:rPr>
                <w:rFonts w:ascii="Arial" w:cs="Arial" w:eastAsia="Arial" w:hAnsi="Arial"/>
                <w:sz w:val="22"/>
                <w:szCs w:val="22"/>
                <w:color w:val="auto"/>
              </w:rPr>
              <w:t>(D)</w:t>
            </w:r>
          </w:p>
        </w:tc>
        <w:tc>
          <w:tcPr>
            <w:tcW w:w="7420" w:type="dxa"/>
            <w:vAlign w:val="bottom"/>
            <w:gridSpan w:val="3"/>
          </w:tcPr>
          <w:p>
            <w:pPr>
              <w:spacing w:after="0"/>
              <w:rPr>
                <w:sz w:val="20"/>
                <w:szCs w:val="20"/>
                <w:color w:val="auto"/>
              </w:rPr>
            </w:pPr>
            <w:r>
              <w:rPr>
                <w:rFonts w:ascii="Arial" w:cs="Arial" w:eastAsia="Arial" w:hAnsi="Arial"/>
                <w:sz w:val="22"/>
                <w:szCs w:val="22"/>
                <w:color w:val="auto"/>
                <w:w w:val="94"/>
              </w:rPr>
              <w:t>Vice Presidents.  Each Vice President shall have such powers and perform such</w:t>
            </w:r>
          </w:p>
        </w:tc>
      </w:tr>
      <w:tr>
        <w:trPr>
          <w:trHeight w:val="20"/>
        </w:trPr>
        <w:tc>
          <w:tcPr>
            <w:tcW w:w="4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duties and functions as may from time to time be assigned by the Board of Directors.</w:t>
            </w:r>
          </w:p>
        </w:tc>
      </w:tr>
      <w:tr>
        <w:trPr>
          <w:trHeight w:val="409"/>
        </w:trPr>
        <w:tc>
          <w:tcPr>
            <w:tcW w:w="4000" w:type="dxa"/>
            <w:vAlign w:val="bottom"/>
          </w:tcPr>
          <w:p>
            <w:pPr>
              <w:ind w:left="1760"/>
              <w:spacing w:after="0"/>
              <w:rPr>
                <w:sz w:val="20"/>
                <w:szCs w:val="20"/>
                <w:color w:val="auto"/>
              </w:rPr>
            </w:pPr>
            <w:r>
              <w:rPr>
                <w:rFonts w:ascii="Arial" w:cs="Arial" w:eastAsia="Arial" w:hAnsi="Arial"/>
                <w:sz w:val="22"/>
                <w:szCs w:val="22"/>
                <w:color w:val="auto"/>
              </w:rPr>
              <w:t>(E)</w:t>
            </w:r>
          </w:p>
        </w:tc>
        <w:tc>
          <w:tcPr>
            <w:tcW w:w="7420" w:type="dxa"/>
            <w:vAlign w:val="bottom"/>
            <w:gridSpan w:val="3"/>
          </w:tcPr>
          <w:p>
            <w:pPr>
              <w:spacing w:after="0"/>
              <w:rPr>
                <w:sz w:val="20"/>
                <w:szCs w:val="20"/>
                <w:color w:val="auto"/>
              </w:rPr>
            </w:pPr>
            <w:r>
              <w:rPr>
                <w:rFonts w:ascii="Arial" w:cs="Arial" w:eastAsia="Arial" w:hAnsi="Arial"/>
                <w:sz w:val="22"/>
                <w:szCs w:val="22"/>
                <w:color w:val="auto"/>
                <w:w w:val="91"/>
              </w:rPr>
              <w:t>Secretary.  The Secretary shall attend all meetings of the Board of Directors and of</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191"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Treasurer</w:t>
      </w:r>
      <w:r>
        <w:rPr>
          <w:rFonts w:ascii="Arial" w:cs="Arial" w:eastAsia="Arial" w:hAnsi="Arial"/>
          <w:sz w:val="22"/>
          <w:szCs w:val="22"/>
          <w:color w:val="auto"/>
        </w:rPr>
        <w:t>.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34" w:right="239" w:bottom="1440" w:gutter="0" w:footer="0" w:header="0"/>
        </w:sectPr>
      </w:pPr>
    </w:p>
    <w:bookmarkStart w:id="18" w:name="page19"/>
    <w:bookmarkEnd w:id="18"/>
    <w:p>
      <w:pPr>
        <w:jc w:val="both"/>
        <w:spacing w:after="0" w:line="249" w:lineRule="auto"/>
        <w:rPr>
          <w:sz w:val="20"/>
          <w:szCs w:val="20"/>
          <w:color w:val="auto"/>
        </w:rPr>
      </w:pPr>
      <w:r>
        <w:rPr>
          <w:rFonts w:ascii="Arial" w:cs="Arial" w:eastAsia="Arial" w:hAnsi="Arial"/>
          <w:sz w:val="21"/>
          <w:szCs w:val="21"/>
          <w:color w:val="auto"/>
        </w:rPr>
        <w:t>disbursement of the funds of the Corporation subject to the order of the Board of Directors. The Treasurer shall render to the Chairman of the Board of Directors,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79"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Assistant Secretaries</w:t>
      </w:r>
      <w:r>
        <w:rPr>
          <w:rFonts w:ascii="Arial" w:cs="Arial" w:eastAsia="Arial" w:hAnsi="Arial"/>
          <w:sz w:val="22"/>
          <w:szCs w:val="22"/>
          <w:color w:val="auto"/>
        </w:rPr>
        <w:t>.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u w:val="single" w:color="auto"/>
          <w:color w:val="auto"/>
        </w:rPr>
        <w:t>Assistant Treasurers</w:t>
      </w:r>
      <w:r>
        <w:rPr>
          <w:rFonts w:ascii="Arial" w:cs="Arial" w:eastAsia="Arial" w:hAnsi="Arial"/>
          <w:sz w:val="22"/>
          <w:szCs w:val="22"/>
          <w:color w:val="auto"/>
        </w:rPr>
        <w:t>.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Subordinate Officers</w:t>
      </w:r>
      <w:r>
        <w:rPr>
          <w:rFonts w:ascii="Arial" w:cs="Arial" w:eastAsia="Arial" w:hAnsi="Arial"/>
          <w:sz w:val="22"/>
          <w:szCs w:val="22"/>
          <w:color w:val="auto"/>
        </w:rPr>
        <w:t>. The Corporation may have such subordinate officers as the Board of Directors may from time to time deem desirable. Each such officer shall hold office for such period and perform such duties as the Board of Directors, the Chairman of the Board of Directors or an officer designated pursuant to this Section 6.2 may prescribe.</w:t>
      </w:r>
    </w:p>
    <w:p>
      <w:pPr>
        <w:spacing w:after="0" w:line="185"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(J)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In case of the absence of any officer of the Corporation, or for any other reason that the Board of Directors may deem sufficient, the Chairman of the Board of Directors,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 this Section 6.2, and, within a category, by seniority in a particular position, with the right reserved to the Board of Directors to make such designation or supersede any designation so made.</w:t>
      </w:r>
    </w:p>
    <w:p>
      <w:pPr>
        <w:spacing w:after="0" w:line="15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Tenure</w:t>
      </w:r>
      <w:r>
        <w:rPr>
          <w:rFonts w:ascii="Arial" w:cs="Arial" w:eastAsia="Arial" w:hAnsi="Arial"/>
          <w:sz w:val="21"/>
          <w:szCs w:val="21"/>
          <w:color w:val="auto"/>
        </w:rPr>
        <w:t>. Each officer shall hold office until the first meeting of the Board of Directors following the next annual meeting of the stockholders and until his or her successor is elected and qualified unless a shorter period shall have been specified in terms of his or her election or appointment, or in each case until he or she sooner dies, resigns, is removed or becomes disqualified. Each agent of the Corporation shall retain his or her authority at the pleasure of the directors, or the officer by whom he or she was appointed or by the officer who then holds agent appointive power.</w:t>
      </w:r>
    </w:p>
    <w:p>
      <w:pPr>
        <w:spacing w:after="0" w:line="179"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Resignation And Removal</w:t>
      </w:r>
      <w:r>
        <w:rPr>
          <w:rFonts w:ascii="Arial" w:cs="Arial" w:eastAsia="Arial" w:hAnsi="Arial"/>
          <w:sz w:val="22"/>
          <w:szCs w:val="22"/>
          <w:color w:val="auto"/>
        </w:rPr>
        <w:t>. Any officer may resign at any time by delivering his or her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jc w:val="both"/>
        <w:spacing w:after="0" w:line="287" w:lineRule="auto"/>
        <w:rPr>
          <w:sz w:val="20"/>
          <w:szCs w:val="20"/>
          <w:color w:val="auto"/>
        </w:rPr>
      </w:pPr>
      <w:r>
        <w:rPr>
          <w:rFonts w:ascii="Arial" w:cs="Arial" w:eastAsia="Arial" w:hAnsi="Arial"/>
          <w:sz w:val="19"/>
          <w:szCs w:val="19"/>
          <w:color w:val="auto"/>
        </w:rPr>
        <w:t>expressly provided in a duly authorized written agreement with the Corporation) no officer removed shall have any right to any compensation as such officer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1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Section 7.</w:t>
            </w:r>
          </w:p>
        </w:tc>
        <w:tc>
          <w:tcPr>
            <w:tcW w:w="9340" w:type="dxa"/>
            <w:vAlign w:val="bottom"/>
            <w:gridSpan w:val="4"/>
          </w:tcPr>
          <w:p>
            <w:pPr>
              <w:ind w:left="320"/>
              <w:spacing w:after="0"/>
              <w:rPr>
                <w:sz w:val="20"/>
                <w:szCs w:val="20"/>
                <w:color w:val="auto"/>
              </w:rPr>
            </w:pPr>
            <w:r>
              <w:rPr>
                <w:rFonts w:ascii="Arial" w:cs="Arial" w:eastAsia="Arial" w:hAnsi="Arial"/>
                <w:sz w:val="22"/>
                <w:szCs w:val="22"/>
                <w:color w:val="auto"/>
              </w:rPr>
              <w:t>Capital Stock.</w:t>
            </w:r>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2"/>
                <w:szCs w:val="22"/>
                <w:color w:val="auto"/>
              </w:rPr>
              <w:t>7.1</w:t>
            </w:r>
          </w:p>
        </w:tc>
        <w:tc>
          <w:tcPr>
            <w:tcW w:w="38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22"/>
                <w:szCs w:val="22"/>
                <w:color w:val="auto"/>
                <w:w w:val="97"/>
              </w:rPr>
              <w:t>Stock Certificates.  The shares of stock of the Corporation shall be represented by certificates,</w:t>
            </w:r>
          </w:p>
        </w:tc>
      </w:tr>
      <w:tr>
        <w:trPr>
          <w:trHeight w:val="20"/>
        </w:trPr>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uncertificated shares that may be evidenced by a book-entry system maintained by the registrar of such stock, or a combination of both. If shares are represented by certificates such certificates shall be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181"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Lost Certificates</w:t>
      </w:r>
      <w:r>
        <w:rPr>
          <w:rFonts w:ascii="Arial" w:cs="Arial" w:eastAsia="Arial" w:hAnsi="Arial"/>
          <w:sz w:val="22"/>
          <w:szCs w:val="22"/>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Section 8.</w:t>
            </w:r>
          </w:p>
        </w:tc>
        <w:tc>
          <w:tcPr>
            <w:tcW w:w="9340" w:type="dxa"/>
            <w:vAlign w:val="bottom"/>
            <w:gridSpan w:val="4"/>
          </w:tcPr>
          <w:p>
            <w:pPr>
              <w:ind w:left="320"/>
              <w:spacing w:after="0"/>
              <w:rPr>
                <w:sz w:val="20"/>
                <w:szCs w:val="20"/>
                <w:color w:val="auto"/>
              </w:rPr>
            </w:pPr>
            <w:r>
              <w:rPr>
                <w:rFonts w:ascii="Arial" w:cs="Arial" w:eastAsia="Arial" w:hAnsi="Arial"/>
                <w:sz w:val="22"/>
                <w:szCs w:val="22"/>
                <w:color w:val="auto"/>
              </w:rPr>
              <w:t>Transfer Of Shares Of Stock.</w:t>
            </w:r>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2"/>
                <w:szCs w:val="22"/>
                <w:color w:val="auto"/>
              </w:rPr>
              <w:t>8.1</w:t>
            </w:r>
          </w:p>
        </w:tc>
        <w:tc>
          <w:tcPr>
            <w:tcW w:w="38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22"/>
                <w:szCs w:val="22"/>
                <w:color w:val="auto"/>
                <w:w w:val="92"/>
              </w:rPr>
              <w:t>Transfer On Books.  Subject to any restrictions with respect to the transfer of shares of stock, in the</w:t>
            </w:r>
          </w:p>
        </w:tc>
      </w:tr>
      <w:tr>
        <w:trPr>
          <w:trHeight w:val="20"/>
        </w:trPr>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case of certificated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jc w:val="both"/>
        <w:spacing w:after="0" w:line="274" w:lineRule="auto"/>
        <w:rPr>
          <w:sz w:val="20"/>
          <w:szCs w:val="20"/>
          <w:color w:val="auto"/>
        </w:rPr>
      </w:pPr>
      <w:r>
        <w:rPr>
          <w:rFonts w:ascii="Arial" w:cs="Arial" w:eastAsia="Arial" w:hAnsi="Arial"/>
          <w:sz w:val="21"/>
          <w:szCs w:val="21"/>
          <w:color w:val="auto"/>
        </w:rPr>
        <w:t>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rPr>
              <w:t>Section 9.</w:t>
            </w:r>
          </w:p>
        </w:tc>
        <w:tc>
          <w:tcPr>
            <w:tcW w:w="9320" w:type="dxa"/>
            <w:vAlign w:val="bottom"/>
            <w:gridSpan w:val="4"/>
          </w:tcPr>
          <w:p>
            <w:pPr>
              <w:ind w:left="320"/>
              <w:spacing w:after="0"/>
              <w:rPr>
                <w:sz w:val="20"/>
                <w:szCs w:val="20"/>
                <w:color w:val="auto"/>
              </w:rPr>
            </w:pPr>
            <w:r>
              <w:rPr>
                <w:rFonts w:ascii="Arial" w:cs="Arial" w:eastAsia="Arial" w:hAnsi="Arial"/>
                <w:sz w:val="22"/>
                <w:szCs w:val="22"/>
                <w:color w:val="auto"/>
              </w:rPr>
              <w:t>General Provisions.</w:t>
            </w:r>
          </w:p>
        </w:tc>
      </w:tr>
      <w:tr>
        <w:trPr>
          <w:trHeight w:val="20"/>
        </w:trPr>
        <w:tc>
          <w:tcPr>
            <w:tcW w:w="1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2"/>
                <w:szCs w:val="22"/>
                <w:color w:val="auto"/>
              </w:rPr>
              <w:t>9.1</w:t>
            </w:r>
          </w:p>
        </w:tc>
        <w:tc>
          <w:tcPr>
            <w:tcW w:w="38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Arial" w:cs="Arial" w:eastAsia="Arial" w:hAnsi="Arial"/>
                <w:sz w:val="22"/>
                <w:szCs w:val="22"/>
                <w:color w:val="auto"/>
                <w:w w:val="92"/>
              </w:rPr>
              <w:t>Record Date.  In order that the Corporation may determine the stockholders entitled to notice of any</w:t>
            </w:r>
          </w:p>
        </w:tc>
      </w:tr>
      <w:tr>
        <w:trPr>
          <w:trHeight w:val="20"/>
        </w:trPr>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of Directors may fix a new record date for the adjourned meeting. Subject to Section 3.12, for the purposes of determining the stockholders entitled to express consent to corporate action in writing without a meeting, unless otherwise required by the Certificate of Incorporation or applicable law, the Board of Directors may fix a record date, which record date shall not precede the date on which the resolution fixing the record date was adopted by the Board of Directors and shall not be more than ten days after the date on which the record date was fixed by the Board of Directors. If no record date is fixed, then:</w:t>
      </w:r>
    </w:p>
    <w:p>
      <w:pPr>
        <w:spacing w:after="0" w:line="200" w:lineRule="exact"/>
        <w:rPr>
          <w:sz w:val="20"/>
          <w:szCs w:val="20"/>
          <w:color w:val="auto"/>
        </w:rPr>
      </w:pPr>
    </w:p>
    <w:p>
      <w:pPr>
        <w:spacing w:after="0" w:line="212"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6"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(b) The record date for determining stockholders entitled to express consent to corporate action in writing without a meeting (unless otherwise provided in the Certificate of Incorporation), when no prior action by the Board of Directors is required by applicable law, shall be the first day on which a signed written consent setting forth the action taken or proposed to be taken is delivered to the Corporation in accordance with applicable law; and when prior action by the Board of Directors is required by applicable law, the record date for determining stockholders entitled to express consent to corporate action in writing without a meeting shall be at the close of business on the date on which the Board of Directors takes such prior action; and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jc w:val="right"/>
              <w:ind w:right="352"/>
              <w:spacing w:after="0"/>
              <w:rPr>
                <w:sz w:val="20"/>
                <w:szCs w:val="20"/>
                <w:color w:val="auto"/>
              </w:rPr>
            </w:pPr>
            <w:r>
              <w:rPr>
                <w:rFonts w:ascii="Arial" w:cs="Arial" w:eastAsia="Arial" w:hAnsi="Arial"/>
                <w:sz w:val="22"/>
                <w:szCs w:val="22"/>
                <w:color w:val="auto"/>
              </w:rPr>
              <w:t>(c)</w:t>
            </w:r>
          </w:p>
        </w:tc>
        <w:tc>
          <w:tcPr>
            <w:tcW w:w="880" w:type="dxa"/>
            <w:vAlign w:val="bottom"/>
          </w:tcPr>
          <w:p>
            <w:pPr>
              <w:spacing w:after="0"/>
              <w:rPr>
                <w:sz w:val="21"/>
                <w:szCs w:val="21"/>
                <w:color w:val="auto"/>
              </w:rPr>
            </w:pPr>
          </w:p>
        </w:tc>
        <w:tc>
          <w:tcPr>
            <w:tcW w:w="8080" w:type="dxa"/>
            <w:vAlign w:val="bottom"/>
          </w:tcPr>
          <w:p>
            <w:pPr>
              <w:jc w:val="right"/>
              <w:spacing w:after="0"/>
              <w:rPr>
                <w:sz w:val="20"/>
                <w:szCs w:val="20"/>
                <w:color w:val="auto"/>
              </w:rPr>
            </w:pPr>
            <w:r>
              <w:rPr>
                <w:rFonts w:ascii="Arial" w:cs="Arial" w:eastAsia="Arial" w:hAnsi="Arial"/>
                <w:sz w:val="22"/>
                <w:szCs w:val="22"/>
                <w:color w:val="auto"/>
              </w:rPr>
              <w:t>The record date for determining stockholders for any other purpose shall be at the</w:t>
            </w:r>
          </w:p>
        </w:tc>
      </w:tr>
      <w:tr>
        <w:trPr>
          <w:trHeight w:val="275"/>
        </w:trPr>
        <w:tc>
          <w:tcPr>
            <w:tcW w:w="11420" w:type="dxa"/>
            <w:vAlign w:val="bottom"/>
            <w:gridSpan w:val="3"/>
          </w:tcPr>
          <w:p>
            <w:pPr>
              <w:jc w:val="right"/>
              <w:ind w:right="2012"/>
              <w:spacing w:after="0"/>
              <w:rPr>
                <w:sz w:val="20"/>
                <w:szCs w:val="20"/>
                <w:color w:val="auto"/>
              </w:rPr>
            </w:pPr>
            <w:r>
              <w:rPr>
                <w:rFonts w:ascii="Arial" w:cs="Arial" w:eastAsia="Arial" w:hAnsi="Arial"/>
                <w:sz w:val="22"/>
                <w:szCs w:val="22"/>
                <w:color w:val="auto"/>
                <w:w w:val="88"/>
              </w:rPr>
              <w:t>close of business on the day on which the Board of Directors adopts the resolution relating to such purpose.</w:t>
            </w:r>
          </w:p>
        </w:tc>
      </w:tr>
      <w:tr>
        <w:trPr>
          <w:trHeight w:val="409"/>
        </w:trPr>
        <w:tc>
          <w:tcPr>
            <w:tcW w:w="2460" w:type="dxa"/>
            <w:vAlign w:val="bottom"/>
          </w:tcPr>
          <w:p>
            <w:pPr>
              <w:jc w:val="right"/>
              <w:ind w:right="1192"/>
              <w:spacing w:after="0"/>
              <w:rPr>
                <w:sz w:val="20"/>
                <w:szCs w:val="20"/>
                <w:color w:val="auto"/>
              </w:rPr>
            </w:pPr>
            <w:r>
              <w:rPr>
                <w:rFonts w:ascii="Arial" w:cs="Arial" w:eastAsia="Arial" w:hAnsi="Arial"/>
                <w:sz w:val="22"/>
                <w:szCs w:val="22"/>
                <w:color w:val="auto"/>
              </w:rPr>
              <w:t>9.2</w:t>
            </w:r>
          </w:p>
        </w:tc>
        <w:tc>
          <w:tcPr>
            <w:tcW w:w="8960" w:type="dxa"/>
            <w:vAlign w:val="bottom"/>
            <w:gridSpan w:val="2"/>
          </w:tcPr>
          <w:p>
            <w:pPr>
              <w:jc w:val="right"/>
              <w:spacing w:after="0"/>
              <w:rPr>
                <w:sz w:val="20"/>
                <w:szCs w:val="20"/>
                <w:color w:val="auto"/>
              </w:rPr>
            </w:pPr>
            <w:r>
              <w:rPr>
                <w:rFonts w:ascii="Arial" w:cs="Arial" w:eastAsia="Arial" w:hAnsi="Arial"/>
                <w:sz w:val="22"/>
                <w:szCs w:val="22"/>
                <w:color w:val="auto"/>
                <w:w w:val="95"/>
              </w:rPr>
              <w:t>Dividends.  Dividends upon the capital stock of the Corporation may be declared by the Board of</w:t>
            </w:r>
          </w:p>
        </w:tc>
      </w:tr>
      <w:tr>
        <w:trPr>
          <w:trHeight w:val="20"/>
        </w:trPr>
        <w:tc>
          <w:tcPr>
            <w:tcW w:w="2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pacing w:after="0" w:line="6" w:lineRule="exact"/>
        <w:rPr>
          <w:sz w:val="20"/>
          <w:szCs w:val="20"/>
          <w:color w:val="auto"/>
        </w:rPr>
      </w:pPr>
    </w:p>
    <w:p>
      <w:pPr>
        <w:ind w:left="5600" w:right="4760" w:hanging="5597"/>
        <w:spacing w:after="0" w:line="565" w:lineRule="auto"/>
        <w:rPr>
          <w:sz w:val="20"/>
          <w:szCs w:val="20"/>
          <w:color w:val="auto"/>
        </w:rPr>
      </w:pPr>
      <w:r>
        <w:rPr>
          <w:rFonts w:ascii="Arial" w:cs="Arial" w:eastAsia="Arial" w:hAnsi="Arial"/>
          <w:sz w:val="19"/>
          <w:szCs w:val="19"/>
          <w:color w:val="auto"/>
        </w:rPr>
        <w:t>Directors at any regular or special meeting or by written consent, pursuant to 18</w:t>
      </w:r>
    </w:p>
    <w:p>
      <w:pPr>
        <w:sectPr>
          <w:pgSz w:w="11900" w:h="16838" w:orient="portrait"/>
          <w:cols w:equalWidth="0" w:num="1">
            <w:col w:w="11420"/>
          </w:cols>
          <w:pgMar w:left="240" w:top="334" w:right="2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22"/>
          <w:szCs w:val="22"/>
          <w:color w:val="auto"/>
        </w:rPr>
        <w:t>law. Dividends may be paid in cash, in property, or in shares of the capital stock, subject to the provisions of the Certificate of Incorporation.</w:t>
      </w:r>
    </w:p>
    <w:p>
      <w:pPr>
        <w:spacing w:after="0" w:line="174"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Payment Of Dividends</w:t>
      </w:r>
      <w:r>
        <w:rPr>
          <w:rFonts w:ascii="Arial" w:cs="Arial" w:eastAsia="Arial" w:hAnsi="Arial"/>
          <w:sz w:val="21"/>
          <w:szCs w:val="21"/>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jc w:val="right"/>
              <w:ind w:right="1192"/>
              <w:spacing w:after="0"/>
              <w:rPr>
                <w:sz w:val="20"/>
                <w:szCs w:val="20"/>
                <w:color w:val="auto"/>
              </w:rPr>
            </w:pPr>
            <w:r>
              <w:rPr>
                <w:rFonts w:ascii="Arial" w:cs="Arial" w:eastAsia="Arial" w:hAnsi="Arial"/>
                <w:sz w:val="22"/>
                <w:szCs w:val="22"/>
                <w:color w:val="auto"/>
              </w:rPr>
              <w:t>9.4</w:t>
            </w:r>
          </w:p>
        </w:tc>
        <w:tc>
          <w:tcPr>
            <w:tcW w:w="8960" w:type="dxa"/>
            <w:vAlign w:val="bottom"/>
            <w:gridSpan w:val="4"/>
          </w:tcPr>
          <w:p>
            <w:pPr>
              <w:spacing w:after="0"/>
              <w:rPr>
                <w:sz w:val="20"/>
                <w:szCs w:val="20"/>
                <w:color w:val="auto"/>
              </w:rPr>
            </w:pPr>
            <w:r>
              <w:rPr>
                <w:rFonts w:ascii="Arial" w:cs="Arial" w:eastAsia="Arial" w:hAnsi="Arial"/>
                <w:sz w:val="22"/>
                <w:szCs w:val="22"/>
                <w:color w:val="auto"/>
                <w:w w:val="89"/>
              </w:rPr>
              <w:t>Checks. All checks or demands for money and notes of the Corporation shall be signed by such officer</w:t>
            </w:r>
          </w:p>
        </w:tc>
      </w:tr>
      <w:tr>
        <w:trPr>
          <w:trHeight w:val="20"/>
        </w:trPr>
        <w:tc>
          <w:tcPr>
            <w:tcW w:w="2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or officers or such other person or persons as the Board of Directors may from time to time designate.</w:t>
            </w:r>
          </w:p>
        </w:tc>
      </w:tr>
      <w:tr>
        <w:trPr>
          <w:trHeight w:val="409"/>
        </w:trPr>
        <w:tc>
          <w:tcPr>
            <w:tcW w:w="2460" w:type="dxa"/>
            <w:vAlign w:val="bottom"/>
          </w:tcPr>
          <w:p>
            <w:pPr>
              <w:jc w:val="right"/>
              <w:ind w:right="1192"/>
              <w:spacing w:after="0"/>
              <w:rPr>
                <w:sz w:val="20"/>
                <w:szCs w:val="20"/>
                <w:color w:val="auto"/>
              </w:rPr>
            </w:pPr>
            <w:r>
              <w:rPr>
                <w:rFonts w:ascii="Arial" w:cs="Arial" w:eastAsia="Arial" w:hAnsi="Arial"/>
                <w:sz w:val="22"/>
                <w:szCs w:val="22"/>
                <w:color w:val="auto"/>
              </w:rPr>
              <w:t>9.5</w:t>
            </w:r>
          </w:p>
        </w:tc>
        <w:tc>
          <w:tcPr>
            <w:tcW w:w="8960" w:type="dxa"/>
            <w:vAlign w:val="bottom"/>
            <w:gridSpan w:val="4"/>
          </w:tcPr>
          <w:p>
            <w:pPr>
              <w:spacing w:after="0"/>
              <w:rPr>
                <w:sz w:val="20"/>
                <w:szCs w:val="20"/>
                <w:color w:val="auto"/>
              </w:rPr>
            </w:pPr>
            <w:r>
              <w:rPr>
                <w:rFonts w:ascii="Arial" w:cs="Arial" w:eastAsia="Arial" w:hAnsi="Arial"/>
                <w:sz w:val="22"/>
                <w:szCs w:val="22"/>
                <w:color w:val="auto"/>
                <w:w w:val="92"/>
              </w:rPr>
              <w:t>Fiscal Year.  The fiscal year of the Corporation shall end the Saturday closest to the 31st of January</w:t>
            </w:r>
          </w:p>
        </w:tc>
      </w:tr>
      <w:tr>
        <w:trPr>
          <w:trHeight w:val="20"/>
        </w:trPr>
        <w:tc>
          <w:tcPr>
            <w:tcW w:w="2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unless otherwise determined by the Board of Directors.</w:t>
            </w:r>
          </w:p>
        </w:tc>
      </w:tr>
      <w:tr>
        <w:trPr>
          <w:trHeight w:val="409"/>
        </w:trPr>
        <w:tc>
          <w:tcPr>
            <w:tcW w:w="2460" w:type="dxa"/>
            <w:vAlign w:val="bottom"/>
          </w:tcPr>
          <w:p>
            <w:pPr>
              <w:jc w:val="right"/>
              <w:ind w:right="1192"/>
              <w:spacing w:after="0"/>
              <w:rPr>
                <w:sz w:val="20"/>
                <w:szCs w:val="20"/>
                <w:color w:val="auto"/>
              </w:rPr>
            </w:pPr>
            <w:r>
              <w:rPr>
                <w:rFonts w:ascii="Arial" w:cs="Arial" w:eastAsia="Arial" w:hAnsi="Arial"/>
                <w:sz w:val="22"/>
                <w:szCs w:val="22"/>
                <w:color w:val="auto"/>
              </w:rPr>
              <w:t>9.6</w:t>
            </w:r>
          </w:p>
        </w:tc>
        <w:tc>
          <w:tcPr>
            <w:tcW w:w="8960" w:type="dxa"/>
            <w:vAlign w:val="bottom"/>
            <w:gridSpan w:val="4"/>
          </w:tcPr>
          <w:p>
            <w:pPr>
              <w:spacing w:after="0"/>
              <w:rPr>
                <w:sz w:val="20"/>
                <w:szCs w:val="20"/>
                <w:color w:val="auto"/>
              </w:rPr>
            </w:pPr>
            <w:r>
              <w:rPr>
                <w:rFonts w:ascii="Arial" w:cs="Arial" w:eastAsia="Arial" w:hAnsi="Arial"/>
                <w:sz w:val="22"/>
                <w:szCs w:val="22"/>
                <w:color w:val="auto"/>
                <w:w w:val="89"/>
              </w:rPr>
              <w:t>Seal. The Board of Directors may, by resolution, adopt a corporate seal. The corporate seal shall have</w:t>
            </w:r>
          </w:p>
        </w:tc>
      </w:tr>
      <w:tr>
        <w:trPr>
          <w:trHeight w:val="20"/>
        </w:trPr>
        <w:tc>
          <w:tcPr>
            <w:tcW w:w="2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rPr>
              <w:t>Section 10.</w:t>
            </w:r>
          </w:p>
        </w:tc>
        <w:tc>
          <w:tcPr>
            <w:tcW w:w="380" w:type="dxa"/>
            <w:vAlign w:val="bottom"/>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2"/>
                <w:szCs w:val="22"/>
                <w:color w:val="auto"/>
              </w:rPr>
              <w:t>Indemnification.</w:t>
            </w:r>
          </w:p>
        </w:tc>
      </w:tr>
      <w:tr>
        <w:trPr>
          <w:trHeight w:val="20"/>
        </w:trPr>
        <w:tc>
          <w:tcPr>
            <w:tcW w:w="13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22"/>
                <w:szCs w:val="22"/>
                <w:color w:val="auto"/>
              </w:rPr>
              <w:t>10.1</w:t>
            </w:r>
          </w:p>
        </w:tc>
        <w:tc>
          <w:tcPr>
            <w:tcW w:w="38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2"/>
                <w:szCs w:val="22"/>
                <w:color w:val="auto"/>
                <w:w w:val="92"/>
              </w:rPr>
              <w:t>Indemnification. The Corporation shall indemnify and hold harmless, to the fullest extent permitted</w:t>
            </w:r>
          </w:p>
        </w:tc>
      </w:tr>
      <w:tr>
        <w:trPr>
          <w:trHeight w:val="20"/>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520" w:type="dxa"/>
            <w:vAlign w:val="bottom"/>
            <w:tcBorders>
              <w:left w:val="single" w:sz="8" w:color="auto"/>
            </w:tcBorders>
          </w:tcPr>
          <w:p>
            <w:pPr>
              <w:spacing w:after="0" w:line="20" w:lineRule="exact"/>
              <w:rPr>
                <w:sz w:val="1"/>
                <w:szCs w:val="1"/>
                <w:color w:val="auto"/>
              </w:rPr>
            </w:pPr>
          </w:p>
        </w:tc>
      </w:tr>
    </w:tbl>
    <w:p>
      <w:pPr>
        <w:spacing w:after="0" w:line="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by applicable law as it presently exists or may hereafter be amended, any person (a “Covered Person”) who was or is a party or is threatened to be made a party to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10.3, the Corporation shall be required to indemnify a Covered Person in connection with a Proceeding (or part thereof) commenced by such Covered Person only if the commencement of such Proceeding (or part thereof) by the Covered Person was authorized by the Board of Directors.</w:t>
      </w:r>
    </w:p>
    <w:p>
      <w:pPr>
        <w:spacing w:after="0" w:line="182"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Expenses</w:t>
      </w:r>
      <w:r>
        <w:rPr>
          <w:rFonts w:ascii="Arial" w:cs="Arial" w:eastAsia="Arial" w:hAnsi="Arial"/>
          <w:sz w:val="21"/>
          <w:szCs w:val="21"/>
          <w:color w:val="auto"/>
        </w:rPr>
        <w:t>. To the extent not prohibited by applicable law,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Section 10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18" w:right="239" w:bottom="1440" w:gutter="0" w:footer="0" w:header="0"/>
        </w:sectPr>
      </w:pPr>
    </w:p>
    <w:bookmarkStart w:id="22" w:name="page23"/>
    <w:bookmarkEnd w:id="22"/>
    <w:tbl>
      <w:tblPr>
        <w:tblLayout w:type="fixed"/>
        <w:tblInd w:w="880" w:type="dxa"/>
        <w:tblCellMar>
          <w:top w:w="0" w:type="dxa"/>
          <w:left w:w="0" w:type="dxa"/>
          <w:bottom w:w="0" w:type="dxa"/>
          <w:right w:w="0" w:type="dxa"/>
        </w:tblCellMar>
      </w:tblPr>
      <w:tr>
        <w:trPr>
          <w:trHeight w:val="253"/>
        </w:trPr>
        <w:tc>
          <w:tcPr>
            <w:tcW w:w="1680" w:type="dxa"/>
            <w:vAlign w:val="bottom"/>
          </w:tcPr>
          <w:p>
            <w:pPr>
              <w:jc w:val="right"/>
              <w:ind w:right="1192"/>
              <w:spacing w:after="0"/>
              <w:rPr>
                <w:sz w:val="20"/>
                <w:szCs w:val="20"/>
                <w:color w:val="auto"/>
              </w:rPr>
            </w:pPr>
            <w:r>
              <w:rPr>
                <w:rFonts w:ascii="Arial" w:cs="Arial" w:eastAsia="Arial" w:hAnsi="Arial"/>
                <w:sz w:val="22"/>
                <w:szCs w:val="22"/>
                <w:color w:val="auto"/>
                <w:w w:val="83"/>
              </w:rPr>
              <w:t>10.3</w:t>
            </w:r>
          </w:p>
        </w:tc>
        <w:tc>
          <w:tcPr>
            <w:tcW w:w="8860" w:type="dxa"/>
            <w:vAlign w:val="bottom"/>
            <w:gridSpan w:val="2"/>
          </w:tcPr>
          <w:p>
            <w:pPr>
              <w:spacing w:after="0"/>
              <w:rPr>
                <w:sz w:val="20"/>
                <w:szCs w:val="20"/>
                <w:color w:val="auto"/>
              </w:rPr>
            </w:pPr>
            <w:r>
              <w:rPr>
                <w:rFonts w:ascii="Arial" w:cs="Arial" w:eastAsia="Arial" w:hAnsi="Arial"/>
                <w:sz w:val="22"/>
                <w:szCs w:val="22"/>
                <w:color w:val="auto"/>
              </w:rPr>
              <w:t>Procedures; Non-Exclusivity; Remedies.</w:t>
            </w:r>
          </w:p>
        </w:tc>
      </w:tr>
      <w:tr>
        <w:trPr>
          <w:trHeight w:val="20"/>
        </w:trPr>
        <w:tc>
          <w:tcPr>
            <w:tcW w:w="168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76"/>
        </w:trPr>
        <w:tc>
          <w:tcPr>
            <w:tcW w:w="1680" w:type="dxa"/>
            <w:vAlign w:val="bottom"/>
          </w:tcPr>
          <w:p>
            <w:pPr>
              <w:jc w:val="right"/>
              <w:ind w:right="452"/>
              <w:spacing w:after="0"/>
              <w:rPr>
                <w:sz w:val="20"/>
                <w:szCs w:val="20"/>
                <w:color w:val="auto"/>
              </w:rPr>
            </w:pPr>
            <w:r>
              <w:rPr>
                <w:rFonts w:ascii="Arial" w:cs="Arial" w:eastAsia="Arial" w:hAnsi="Arial"/>
                <w:sz w:val="22"/>
                <w:szCs w:val="22"/>
                <w:color w:val="auto"/>
              </w:rPr>
              <w:t>(a)</w:t>
            </w:r>
          </w:p>
        </w:tc>
        <w:tc>
          <w:tcPr>
            <w:tcW w:w="8860" w:type="dxa"/>
            <w:vAlign w:val="bottom"/>
            <w:gridSpan w:val="2"/>
          </w:tcPr>
          <w:p>
            <w:pPr>
              <w:ind w:left="1380"/>
              <w:spacing w:after="0"/>
              <w:rPr>
                <w:sz w:val="20"/>
                <w:szCs w:val="20"/>
                <w:color w:val="auto"/>
              </w:rPr>
            </w:pPr>
            <w:r>
              <w:rPr>
                <w:rFonts w:ascii="Arial" w:cs="Arial" w:eastAsia="Arial" w:hAnsi="Arial"/>
                <w:sz w:val="22"/>
                <w:szCs w:val="22"/>
                <w:color w:val="auto"/>
                <w:w w:val="94"/>
              </w:rPr>
              <w:t>If a claim for indemnification or advancement of expenses under Section 10 is not</w:t>
            </w:r>
          </w:p>
        </w:tc>
      </w:tr>
    </w:tbl>
    <w:p>
      <w:pPr>
        <w:jc w:val="both"/>
        <w:spacing w:after="0" w:line="280" w:lineRule="auto"/>
        <w:rPr>
          <w:sz w:val="20"/>
          <w:szCs w:val="20"/>
          <w:color w:val="auto"/>
        </w:rPr>
      </w:pPr>
      <w:r>
        <w:rPr>
          <w:rFonts w:ascii="Arial" w:cs="Arial" w:eastAsia="Arial" w:hAnsi="Arial"/>
          <w:sz w:val="19"/>
          <w:szCs w:val="19"/>
          <w:color w:val="auto"/>
        </w:rPr>
        <w:t>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5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The rights conferred on any Covered Person by Section 10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(c) 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(d) Any amendment or repeal of the foregoing provisions of Section 10 shall not adversely affect any right or protection hereunder of any Covered Person in respect of any act or omission occurring prior to the time of such amendment or repeal.</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(e) Section 10 shall not limit the right of the Corporation, to the extent and in the manner permitted by applicable law, to indemnify and to advance expenses to persons other than Covered Persons when and as authorized by appropriate corporate action.</w:t>
      </w:r>
    </w:p>
    <w:p>
      <w:pPr>
        <w:spacing w:after="0" w:line="18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Exclusive Venue for Certain Litigation</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11.1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of Incorporation or Bylaws (as either may be amended from time to time), or (iv) any action asserting a claim governed by the internal affairs doctrine shall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w:t>
      </w:r>
    </w:p>
    <w:p>
      <w:pPr>
        <w:ind w:firstLine="8"/>
        <w:spacing w:after="0" w:line="237" w:lineRule="auto"/>
        <w:tabs>
          <w:tab w:leader="none" w:pos="339" w:val="left"/>
        </w:tabs>
        <w:numPr>
          <w:ilvl w:val="0"/>
          <w:numId w:val="3"/>
        </w:numPr>
        <w:rPr>
          <w:rFonts w:ascii="Arial" w:cs="Arial" w:eastAsia="Arial" w:hAnsi="Arial"/>
          <w:sz w:val="22"/>
          <w:szCs w:val="22"/>
          <w:color w:val="auto"/>
        </w:rPr>
      </w:pPr>
      <w:r>
        <w:rPr>
          <w:rFonts w:ascii="Arial" w:cs="Arial" w:eastAsia="Arial" w:hAnsi="Arial"/>
          <w:sz w:val="22"/>
          <w:szCs w:val="22"/>
          <w:color w:val="auto"/>
        </w:rPr>
        <w:t>having service of process made upon such stockholder in any such action by service upon such stockholder’s counsel in the Foreign Action as agent for such stockholder.</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9" w:right="239" w:bottom="1440" w:gutter="0" w:footer="0" w:header="0"/>
        </w:sectPr>
      </w:pPr>
    </w:p>
    <w:bookmarkStart w:id="23" w:name="page24"/>
    <w:bookmarkEnd w:id="23"/>
    <w:p>
      <w:pPr>
        <w:jc w:val="both"/>
        <w:ind w:firstLine="877"/>
        <w:spacing w:after="0" w:line="236" w:lineRule="auto"/>
        <w:rPr>
          <w:sz w:val="20"/>
          <w:szCs w:val="20"/>
          <w:color w:val="auto"/>
        </w:rPr>
      </w:pPr>
      <w:r>
        <w:rPr>
          <w:rFonts w:ascii="Arial" w:cs="Arial" w:eastAsia="Arial" w:hAnsi="Arial"/>
          <w:sz w:val="22"/>
          <w:szCs w:val="22"/>
          <w:color w:val="auto"/>
        </w:rPr>
        <w:t>12.1 These By-Laws may be altered, amended or repealed or new By-Laws may be adopted by the stockholders or by the Board of Directors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4"/>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2019-12-06T01:33:12Z</dcterms:created>
  <dcterms:modified xsi:type="dcterms:W3CDTF">2019-12-06T01:33:12Z</dcterms:modified>
</cp:coreProperties>
</file>