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2, 2012</w:t>
      </w:r>
    </w:p>
    <w:p>
      <w:pPr>
        <w:spacing w:after="0" w:line="16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01-34219</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04-2623104</w:t>
      </w:r>
    </w:p>
    <w:p>
      <w:pPr>
        <w:spacing w:after="0" w:line="35" w:lineRule="exact"/>
        <w:rPr>
          <w:sz w:val="24"/>
          <w:szCs w:val="24"/>
          <w:color w:val="auto"/>
        </w:rPr>
      </w:pPr>
    </w:p>
    <w:p>
      <w:pPr>
        <w:sectPr>
          <w:pgSz w:w="11900" w:h="16838" w:orient="portrait"/>
          <w:cols w:equalWidth="0" w:num="2">
            <w:col w:w="7500" w:space="720"/>
            <w:col w:w="2800"/>
          </w:cols>
          <w:pgMar w:left="240" w:top="314" w:right="639" w:bottom="1440" w:gutter="0" w:footer="0" w:header="0"/>
          <w:type w:val="continuous"/>
        </w:sectPr>
      </w:pPr>
    </w:p>
    <w:p>
      <w:pPr>
        <w:spacing w:after="0" w:line="9" w:lineRule="exact"/>
        <w:rPr>
          <w:sz w:val="24"/>
          <w:szCs w:val="24"/>
          <w:color w:val="auto"/>
        </w:rPr>
      </w:pPr>
    </w:p>
    <w:p>
      <w:pPr>
        <w:ind w:left="220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4"/>
          <w:szCs w:val="14"/>
          <w:b w:val="1"/>
          <w:bCs w:val="1"/>
          <w:color w:val="auto"/>
        </w:rPr>
        <w:t>(IRS Employer</w:t>
      </w:r>
    </w:p>
    <w:p>
      <w:pPr>
        <w:jc w:val="center"/>
        <w:ind w:right="1700"/>
        <w:spacing w:after="0"/>
        <w:rPr>
          <w:sz w:val="20"/>
          <w:szCs w:val="20"/>
          <w:color w:val="auto"/>
        </w:rPr>
      </w:pPr>
      <w:r>
        <w:rPr>
          <w:rFonts w:ascii="Arial" w:cs="Arial" w:eastAsia="Arial" w:hAnsi="Arial"/>
          <w:sz w:val="12"/>
          <w:szCs w:val="12"/>
          <w:b w:val="1"/>
          <w:bCs w:val="1"/>
          <w:color w:val="auto"/>
        </w:rPr>
        <w:t>Identification Number)</w:t>
      </w:r>
    </w:p>
    <w:p>
      <w:pPr>
        <w:spacing w:after="0" w:line="171" w:lineRule="exact"/>
        <w:rPr>
          <w:sz w:val="24"/>
          <w:szCs w:val="24"/>
          <w:color w:val="auto"/>
        </w:rPr>
      </w:pPr>
    </w:p>
    <w:p>
      <w:pPr>
        <w:sectPr>
          <w:pgSz w:w="11900" w:h="16838" w:orient="portrait"/>
          <w:cols w:equalWidth="0" w:num="2">
            <w:col w:w="7260" w:space="720"/>
            <w:col w:w="304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registrant’s principal executive office)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(781) 828-9300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August 2, 2012, Casual Male Retail Group Inc. (the “Company”) held its Annual Meeting. The Company had 48,462,771 shares of common stock outstanding on June 15, 2012, the record date for the Annual Meeting. At the Annual Meeting, holders of 44,375,918 shares of the Company’s common stock were present in person or represented by proxy. Set forth below are the matters submitted at this meeting by the Board of Directors to a vote of stockholders and the final results of the voting for each proposal.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1: Election of Directors.</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Company’s stockholders elected eight directors to hold office until the 2013 Annual Meeting of Stockholders and until their respective successors are duly elected and qualified. The results of the voting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Directors</w:t>
            </w:r>
          </w:p>
        </w:tc>
        <w:tc>
          <w:tcPr>
            <w:tcW w:w="4060" w:type="dxa"/>
            <w:vAlign w:val="bottom"/>
          </w:tcPr>
          <w:p>
            <w:pPr>
              <w:spacing w:after="0"/>
              <w:rPr>
                <w:sz w:val="15"/>
                <w:szCs w:val="15"/>
                <w:color w:val="auto"/>
              </w:rPr>
            </w:pPr>
          </w:p>
        </w:tc>
        <w:tc>
          <w:tcPr>
            <w:tcW w:w="2320" w:type="dxa"/>
            <w:vAlign w:val="bottom"/>
            <w:gridSpan w:val="2"/>
          </w:tcPr>
          <w:p>
            <w:pPr>
              <w:jc w:val="center"/>
              <w:ind w:right="1520"/>
              <w:spacing w:after="0"/>
              <w:rPr>
                <w:sz w:val="20"/>
                <w:szCs w:val="20"/>
                <w:color w:val="auto"/>
              </w:rPr>
            </w:pPr>
            <w:r>
              <w:rPr>
                <w:rFonts w:ascii="Arial" w:cs="Arial" w:eastAsia="Arial" w:hAnsi="Arial"/>
                <w:sz w:val="14"/>
                <w:szCs w:val="14"/>
                <w:color w:val="auto"/>
                <w:w w:val="86"/>
              </w:rPr>
              <w:t>Votes FOR</w:t>
            </w:r>
          </w:p>
        </w:tc>
        <w:tc>
          <w:tcPr>
            <w:tcW w:w="2600" w:type="dxa"/>
            <w:vAlign w:val="bottom"/>
            <w:gridSpan w:val="2"/>
          </w:tcPr>
          <w:p>
            <w:pPr>
              <w:spacing w:after="0"/>
              <w:rPr>
                <w:sz w:val="20"/>
                <w:szCs w:val="20"/>
                <w:color w:val="auto"/>
              </w:rPr>
            </w:pPr>
            <w:r>
              <w:rPr>
                <w:rFonts w:ascii="Arial" w:cs="Arial" w:eastAsia="Arial" w:hAnsi="Arial"/>
                <w:sz w:val="14"/>
                <w:szCs w:val="14"/>
                <w:color w:val="auto"/>
              </w:rPr>
              <w:t>Votes WITHHOLD</w:t>
            </w: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Broker Non-Votes</w:t>
            </w:r>
          </w:p>
        </w:tc>
      </w:tr>
      <w:tr>
        <w:trPr>
          <w:trHeight w:val="203"/>
        </w:trPr>
        <w:tc>
          <w:tcPr>
            <w:tcW w:w="4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Seymour Holtzman</w:t>
            </w: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34,926,371</w:t>
            </w:r>
          </w:p>
        </w:tc>
        <w:tc>
          <w:tcPr>
            <w:tcW w:w="15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94"/>
              <w:spacing w:after="0" w:line="203" w:lineRule="exact"/>
              <w:rPr>
                <w:sz w:val="20"/>
                <w:szCs w:val="20"/>
                <w:color w:val="auto"/>
              </w:rPr>
            </w:pPr>
            <w:r>
              <w:rPr>
                <w:rFonts w:ascii="Arial" w:cs="Arial" w:eastAsia="Arial" w:hAnsi="Arial"/>
                <w:sz w:val="18"/>
                <w:szCs w:val="18"/>
                <w:color w:val="auto"/>
              </w:rPr>
              <w:t>3,178,744</w:t>
            </w:r>
          </w:p>
        </w:tc>
        <w:tc>
          <w:tcPr>
            <w:tcW w:w="15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6,270,803</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34,309,493</w:t>
            </w:r>
          </w:p>
        </w:tc>
        <w:tc>
          <w:tcPr>
            <w:tcW w:w="1520" w:type="dxa"/>
            <w:vAlign w:val="bottom"/>
          </w:tcPr>
          <w:p>
            <w:pPr>
              <w:spacing w:after="0"/>
              <w:rPr>
                <w:sz w:val="18"/>
                <w:szCs w:val="18"/>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3,795,622</w:t>
            </w:r>
          </w:p>
        </w:tc>
        <w:tc>
          <w:tcPr>
            <w:tcW w:w="15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6,270,803</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36,580,400</w:t>
            </w:r>
          </w:p>
        </w:tc>
        <w:tc>
          <w:tcPr>
            <w:tcW w:w="1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1,524,715</w:t>
            </w:r>
          </w:p>
        </w:tc>
        <w:tc>
          <w:tcPr>
            <w:tcW w:w="15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6,270,803</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31,496,273</w:t>
            </w:r>
          </w:p>
        </w:tc>
        <w:tc>
          <w:tcPr>
            <w:tcW w:w="1520" w:type="dxa"/>
            <w:vAlign w:val="bottom"/>
          </w:tcPr>
          <w:p>
            <w:pPr>
              <w:spacing w:after="0"/>
              <w:rPr>
                <w:sz w:val="18"/>
                <w:szCs w:val="18"/>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6,608,842</w:t>
            </w:r>
          </w:p>
        </w:tc>
        <w:tc>
          <w:tcPr>
            <w:tcW w:w="15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6,270,803</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Kyees</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37,313,552</w:t>
            </w:r>
          </w:p>
        </w:tc>
        <w:tc>
          <w:tcPr>
            <w:tcW w:w="1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791,563</w:t>
            </w:r>
          </w:p>
        </w:tc>
        <w:tc>
          <w:tcPr>
            <w:tcW w:w="15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6,270,803</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36,886,491</w:t>
            </w:r>
          </w:p>
        </w:tc>
        <w:tc>
          <w:tcPr>
            <w:tcW w:w="1520" w:type="dxa"/>
            <w:vAlign w:val="bottom"/>
          </w:tcPr>
          <w:p>
            <w:pPr>
              <w:spacing w:after="0"/>
              <w:rPr>
                <w:sz w:val="18"/>
                <w:szCs w:val="18"/>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1,218,624</w:t>
            </w:r>
          </w:p>
        </w:tc>
        <w:tc>
          <w:tcPr>
            <w:tcW w:w="15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6,270,803</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34,981,307</w:t>
            </w:r>
          </w:p>
        </w:tc>
        <w:tc>
          <w:tcPr>
            <w:tcW w:w="1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3,123,808</w:t>
            </w:r>
          </w:p>
        </w:tc>
        <w:tc>
          <w:tcPr>
            <w:tcW w:w="15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6,270,803</w:t>
            </w: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36,586,555</w:t>
            </w:r>
          </w:p>
        </w:tc>
        <w:tc>
          <w:tcPr>
            <w:tcW w:w="1520" w:type="dxa"/>
            <w:vAlign w:val="bottom"/>
          </w:tcPr>
          <w:p>
            <w:pPr>
              <w:spacing w:after="0"/>
              <w:rPr>
                <w:sz w:val="19"/>
                <w:szCs w:val="19"/>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1,518,560</w:t>
            </w:r>
          </w:p>
        </w:tc>
        <w:tc>
          <w:tcPr>
            <w:tcW w:w="15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6,270,803</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2: Advisory Vote on Compensation of Named 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of the Company’s named executive officers was approved by a non-binding advisory vote based upon the following votes:</w:t>
      </w:r>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3"/>
              </w:rPr>
              <w:t>Votes</w:t>
            </w:r>
          </w:p>
        </w:tc>
        <w:tc>
          <w:tcPr>
            <w:tcW w:w="17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Broker Non-</w:t>
            </w:r>
          </w:p>
        </w:tc>
      </w:tr>
      <w:tr>
        <w:trPr>
          <w:trHeight w:val="189"/>
        </w:trPr>
        <w:tc>
          <w:tcPr>
            <w:tcW w:w="66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w w:val="92"/>
              </w:rPr>
              <w:t>Votes FOR</w:t>
            </w:r>
          </w:p>
        </w:tc>
        <w:tc>
          <w:tcPr>
            <w:tcW w:w="3840" w:type="dxa"/>
            <w:vAlign w:val="bottom"/>
          </w:tcPr>
          <w:p>
            <w:pPr>
              <w:spacing w:after="0"/>
              <w:rPr>
                <w:sz w:val="16"/>
                <w:szCs w:val="16"/>
                <w:color w:val="auto"/>
              </w:rPr>
            </w:pPr>
          </w:p>
        </w:tc>
        <w:tc>
          <w:tcPr>
            <w:tcW w:w="2700" w:type="dxa"/>
            <w:vAlign w:val="bottom"/>
            <w:gridSpan w:val="2"/>
          </w:tcPr>
          <w:p>
            <w:pPr>
              <w:jc w:val="center"/>
              <w:ind w:right="1780"/>
              <w:spacing w:after="0" w:line="129" w:lineRule="exact"/>
              <w:rPr>
                <w:sz w:val="20"/>
                <w:szCs w:val="20"/>
                <w:color w:val="auto"/>
              </w:rPr>
            </w:pPr>
            <w:r>
              <w:rPr>
                <w:rFonts w:ascii="Arial" w:cs="Arial" w:eastAsia="Arial" w:hAnsi="Arial"/>
                <w:sz w:val="14"/>
                <w:szCs w:val="14"/>
                <w:color w:val="auto"/>
                <w:w w:val="90"/>
              </w:rPr>
              <w:t>Votes AGAINST</w:t>
            </w:r>
          </w:p>
        </w:tc>
        <w:tc>
          <w:tcPr>
            <w:tcW w:w="8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color w:val="auto"/>
                <w:w w:val="93"/>
              </w:rPr>
              <w:t>ABSTAINED</w:t>
            </w:r>
          </w:p>
        </w:tc>
        <w:tc>
          <w:tcPr>
            <w:tcW w:w="1780" w:type="dxa"/>
            <w:vAlign w:val="bottom"/>
          </w:tcPr>
          <w:p>
            <w:pPr>
              <w:spacing w:after="0"/>
              <w:rPr>
                <w:sz w:val="16"/>
                <w:szCs w:val="16"/>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color w:val="auto"/>
                <w:w w:val="83"/>
              </w:rPr>
              <w:t>Votes</w:t>
            </w:r>
          </w:p>
        </w:tc>
      </w:tr>
      <w:tr>
        <w:trPr>
          <w:trHeight w:val="197"/>
        </w:trPr>
        <w:tc>
          <w:tcPr>
            <w:tcW w:w="45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37,368,521</w:t>
            </w:r>
          </w:p>
        </w:tc>
        <w:tc>
          <w:tcPr>
            <w:tcW w:w="920" w:type="dxa"/>
            <w:vAlign w:val="bottom"/>
            <w:tcBorders>
              <w:top w:val="single" w:sz="8" w:color="auto"/>
            </w:tcBorders>
            <w:shd w:val="clear" w:color="auto" w:fill="CCEEFF"/>
          </w:tcPr>
          <w:p>
            <w:pPr>
              <w:jc w:val="right"/>
              <w:ind w:right="102"/>
              <w:spacing w:after="0" w:line="196" w:lineRule="exact"/>
              <w:rPr>
                <w:sz w:val="20"/>
                <w:szCs w:val="20"/>
                <w:color w:val="auto"/>
              </w:rPr>
            </w:pPr>
            <w:r>
              <w:rPr>
                <w:rFonts w:ascii="Arial" w:cs="Arial" w:eastAsia="Arial" w:hAnsi="Arial"/>
                <w:sz w:val="18"/>
                <w:szCs w:val="18"/>
                <w:color w:val="auto"/>
              </w:rPr>
              <w:t>692,265</w:t>
            </w:r>
          </w:p>
        </w:tc>
        <w:tc>
          <w:tcPr>
            <w:tcW w:w="17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44,329</w:t>
            </w:r>
          </w:p>
        </w:tc>
        <w:tc>
          <w:tcPr>
            <w:tcW w:w="17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6,270,803</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Proposal 3: Ratification of Appointment of Independent Registered Public Accountants.</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appointment of Ernst &amp; Young LLP as the Company’s independent registered public accounting firm for fiscal year ending February 2, 2013 was ratified based on the following votes:</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3"/>
              </w:rPr>
              <w:t>Votes</w:t>
            </w:r>
          </w:p>
        </w:tc>
      </w:tr>
      <w:tr>
        <w:trPr>
          <w:trHeight w:val="199"/>
        </w:trPr>
        <w:tc>
          <w:tcPr>
            <w:tcW w:w="660" w:type="dxa"/>
            <w:vAlign w:val="bottom"/>
            <w:tcBorders>
              <w:bottom w:val="single" w:sz="8" w:color="auto"/>
            </w:tcBorders>
          </w:tcPr>
          <w:p>
            <w:pPr>
              <w:spacing w:after="0" w:line="139" w:lineRule="exact"/>
              <w:rPr>
                <w:sz w:val="20"/>
                <w:szCs w:val="20"/>
                <w:color w:val="auto"/>
              </w:rPr>
            </w:pPr>
            <w:r>
              <w:rPr>
                <w:rFonts w:ascii="Arial" w:cs="Arial" w:eastAsia="Arial" w:hAnsi="Arial"/>
                <w:sz w:val="14"/>
                <w:szCs w:val="14"/>
                <w:color w:val="auto"/>
                <w:w w:val="92"/>
              </w:rPr>
              <w:t>Votes FOR</w:t>
            </w:r>
          </w:p>
        </w:tc>
        <w:tc>
          <w:tcPr>
            <w:tcW w:w="4760" w:type="dxa"/>
            <w:vAlign w:val="bottom"/>
          </w:tcPr>
          <w:p>
            <w:pPr>
              <w:spacing w:after="0"/>
              <w:rPr>
                <w:sz w:val="17"/>
                <w:szCs w:val="17"/>
                <w:color w:val="auto"/>
              </w:rPr>
            </w:pPr>
          </w:p>
        </w:tc>
        <w:tc>
          <w:tcPr>
            <w:tcW w:w="3360" w:type="dxa"/>
            <w:vAlign w:val="bottom"/>
            <w:gridSpan w:val="2"/>
          </w:tcPr>
          <w:p>
            <w:pPr>
              <w:jc w:val="center"/>
              <w:ind w:right="2440"/>
              <w:spacing w:after="0" w:line="139" w:lineRule="exact"/>
              <w:rPr>
                <w:sz w:val="20"/>
                <w:szCs w:val="20"/>
                <w:color w:val="auto"/>
              </w:rPr>
            </w:pPr>
            <w:r>
              <w:rPr>
                <w:rFonts w:ascii="Arial" w:cs="Arial" w:eastAsia="Arial" w:hAnsi="Arial"/>
                <w:sz w:val="14"/>
                <w:szCs w:val="14"/>
                <w:color w:val="auto"/>
                <w:w w:val="90"/>
              </w:rPr>
              <w:t>Votes AGAINST</w:t>
            </w:r>
          </w:p>
        </w:tc>
        <w:tc>
          <w:tcPr>
            <w:tcW w:w="80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4"/>
                <w:szCs w:val="14"/>
                <w:color w:val="auto"/>
                <w:w w:val="95"/>
              </w:rPr>
              <w:t>ABSTAINED</w:t>
            </w:r>
          </w:p>
        </w:tc>
      </w:tr>
      <w:tr>
        <w:trPr>
          <w:trHeight w:val="197"/>
        </w:trPr>
        <w:tc>
          <w:tcPr>
            <w:tcW w:w="54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42,239,226</w:t>
            </w:r>
          </w:p>
        </w:tc>
        <w:tc>
          <w:tcPr>
            <w:tcW w:w="920" w:type="dxa"/>
            <w:vAlign w:val="bottom"/>
            <w:tcBorders>
              <w:top w:val="single" w:sz="8" w:color="auto"/>
            </w:tcBorders>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w w:val="99"/>
              </w:rPr>
              <w:t>2,121,676</w:t>
            </w:r>
          </w:p>
        </w:tc>
        <w:tc>
          <w:tcPr>
            <w:tcW w:w="24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15,016</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and 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2012</w:t>
      </w:r>
    </w:p>
    <w:sectPr>
      <w:pgSz w:w="11900" w:h="16838" w:orient="portrait"/>
      <w:cols w:equalWidth="0" w:num="1">
        <w:col w:w="10980"/>
      </w:cols>
      <w:pgMar w:left="240" w:top="27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2019-12-09T10:16:39Z</dcterms:created>
  <dcterms:modified xsi:type="dcterms:W3CDTF">2019-12-09T10:16:39Z</dcterms:modified>
</cp:coreProperties>
</file>