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179705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81915</wp:posOffset>
            </wp:positionV>
            <wp:extent cx="1430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10-K/A</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94615</wp:posOffset>
            </wp:positionV>
            <wp:extent cx="1430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3560" w:right="2260" w:hanging="3556"/>
        <w:spacing w:after="0" w:line="335" w:lineRule="auto"/>
        <w:tabs>
          <w:tab w:leader="none" w:pos="511"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February 1, 2020 (Fiscal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ind w:left="520" w:hanging="516"/>
        <w:spacing w:after="0" w:line="191" w:lineRule="auto"/>
        <w:tabs>
          <w:tab w:leader="none" w:pos="52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 FOR THE</w:t>
      </w:r>
    </w:p>
    <w:p>
      <w:pPr>
        <w:spacing w:after="0" w:line="195" w:lineRule="exact"/>
        <w:rPr>
          <w:sz w:val="24"/>
          <w:szCs w:val="24"/>
          <w:color w:val="auto"/>
        </w:rPr>
      </w:pPr>
    </w:p>
    <w:p>
      <w:pPr>
        <w:ind w:left="520"/>
        <w:spacing w:after="0"/>
        <w:tabs>
          <w:tab w:leader="none" w:pos="3840" w:val="left"/>
        </w:tabs>
        <w:rPr>
          <w:sz w:val="20"/>
          <w:szCs w:val="20"/>
          <w:color w:val="auto"/>
        </w:rPr>
      </w:pPr>
      <w:r>
        <w:rPr>
          <w:rFonts w:ascii="Arial" w:cs="Arial" w:eastAsia="Arial" w:hAnsi="Arial"/>
          <w:sz w:val="17"/>
          <w:szCs w:val="17"/>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01-34219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-191770</wp:posOffset>
            </wp:positionV>
            <wp:extent cx="1430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81915</wp:posOffset>
            </wp:positionV>
            <wp:extent cx="1430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81" w:lineRule="exact"/>
        <w:rPr>
          <w:sz w:val="24"/>
          <w:szCs w:val="24"/>
          <w:color w:val="auto"/>
        </w:rPr>
      </w:pPr>
    </w:p>
    <w:tbl>
      <w:tblPr>
        <w:tblLayout w:type="fixed"/>
        <w:tblInd w:w="1580" w:type="dxa"/>
        <w:tblCellMar>
          <w:top w:w="0" w:type="dxa"/>
          <w:left w:w="0" w:type="dxa"/>
          <w:bottom w:w="0" w:type="dxa"/>
          <w:right w:w="0" w:type="dxa"/>
        </w:tblCellMar>
      </w:tblPr>
      <w:tr>
        <w:trPr>
          <w:trHeight w:val="209"/>
        </w:trPr>
        <w:tc>
          <w:tcPr>
            <w:tcW w:w="4440" w:type="dxa"/>
            <w:vAlign w:val="bottom"/>
          </w:tcPr>
          <w:p>
            <w:pPr>
              <w:jc w:val="center"/>
              <w:ind w:right="1909"/>
              <w:spacing w:after="0"/>
              <w:rPr>
                <w:sz w:val="20"/>
                <w:szCs w:val="20"/>
                <w:color w:val="auto"/>
              </w:rPr>
            </w:pPr>
            <w:r>
              <w:rPr>
                <w:rFonts w:ascii="Arial" w:cs="Arial" w:eastAsia="Arial" w:hAnsi="Arial"/>
                <w:sz w:val="17"/>
                <w:szCs w:val="17"/>
                <w:b w:val="1"/>
                <w:bCs w:val="1"/>
                <w:color w:val="auto"/>
                <w:w w:val="93"/>
              </w:rPr>
              <w:t>Delaware</w:t>
            </w:r>
          </w:p>
        </w:tc>
        <w:tc>
          <w:tcPr>
            <w:tcW w:w="2900" w:type="dxa"/>
            <w:vAlign w:val="bottom"/>
          </w:tcPr>
          <w:p>
            <w:pPr>
              <w:jc w:val="right"/>
              <w:spacing w:after="0"/>
              <w:rPr>
                <w:sz w:val="20"/>
                <w:szCs w:val="20"/>
                <w:color w:val="auto"/>
              </w:rPr>
            </w:pPr>
            <w:r>
              <w:rPr>
                <w:rFonts w:ascii="Arial" w:cs="Arial" w:eastAsia="Arial" w:hAnsi="Arial"/>
                <w:sz w:val="17"/>
                <w:szCs w:val="17"/>
                <w:b w:val="1"/>
                <w:bCs w:val="1"/>
                <w:color w:val="auto"/>
              </w:rPr>
              <w:t>04-2623104</w:t>
            </w:r>
          </w:p>
        </w:tc>
      </w:tr>
      <w:tr>
        <w:trPr>
          <w:trHeight w:val="130"/>
        </w:trPr>
        <w:tc>
          <w:tcPr>
            <w:tcW w:w="4440" w:type="dxa"/>
            <w:vAlign w:val="bottom"/>
          </w:tcPr>
          <w:p>
            <w:pPr>
              <w:jc w:val="center"/>
              <w:ind w:right="1889"/>
              <w:spacing w:after="0" w:line="130" w:lineRule="exact"/>
              <w:rPr>
                <w:sz w:val="20"/>
                <w:szCs w:val="20"/>
                <w:color w:val="auto"/>
              </w:rPr>
            </w:pPr>
            <w:r>
              <w:rPr>
                <w:rFonts w:ascii="Arial" w:cs="Arial" w:eastAsia="Arial" w:hAnsi="Arial"/>
                <w:sz w:val="12"/>
                <w:szCs w:val="12"/>
                <w:b w:val="1"/>
                <w:bCs w:val="1"/>
                <w:color w:val="auto"/>
                <w:w w:val="92"/>
              </w:rPr>
              <w:t>( State or other jurisdiction of</w:t>
            </w:r>
          </w:p>
        </w:tc>
        <w:tc>
          <w:tcPr>
            <w:tcW w:w="2900" w:type="dxa"/>
            <w:vAlign w:val="bottom"/>
          </w:tcPr>
          <w:p>
            <w:pPr>
              <w:jc w:val="center"/>
              <w:ind w:left="1869"/>
              <w:spacing w:after="0" w:line="130" w:lineRule="exact"/>
              <w:rPr>
                <w:sz w:val="20"/>
                <w:szCs w:val="20"/>
                <w:color w:val="auto"/>
              </w:rPr>
            </w:pPr>
            <w:r>
              <w:rPr>
                <w:rFonts w:ascii="Arial" w:cs="Arial" w:eastAsia="Arial" w:hAnsi="Arial"/>
                <w:sz w:val="12"/>
                <w:szCs w:val="12"/>
                <w:b w:val="1"/>
                <w:bCs w:val="1"/>
                <w:color w:val="auto"/>
                <w:w w:val="95"/>
              </w:rPr>
              <w:t>(I.R.S. Employer</w:t>
            </w:r>
          </w:p>
        </w:tc>
      </w:tr>
      <w:tr>
        <w:trPr>
          <w:trHeight w:val="158"/>
        </w:trPr>
        <w:tc>
          <w:tcPr>
            <w:tcW w:w="4440" w:type="dxa"/>
            <w:vAlign w:val="bottom"/>
          </w:tcPr>
          <w:p>
            <w:pPr>
              <w:jc w:val="center"/>
              <w:ind w:right="1889"/>
              <w:spacing w:after="0"/>
              <w:rPr>
                <w:sz w:val="20"/>
                <w:szCs w:val="20"/>
                <w:color w:val="auto"/>
              </w:rPr>
            </w:pPr>
            <w:r>
              <w:rPr>
                <w:rFonts w:ascii="Arial" w:cs="Arial" w:eastAsia="Arial" w:hAnsi="Arial"/>
                <w:sz w:val="12"/>
                <w:szCs w:val="12"/>
                <w:b w:val="1"/>
                <w:bCs w:val="1"/>
                <w:color w:val="auto"/>
                <w:w w:val="93"/>
              </w:rPr>
              <w:t>incorporation or organization)</w:t>
            </w:r>
          </w:p>
        </w:tc>
        <w:tc>
          <w:tcPr>
            <w:tcW w:w="2900" w:type="dxa"/>
            <w:vAlign w:val="bottom"/>
          </w:tcPr>
          <w:p>
            <w:pPr>
              <w:jc w:val="center"/>
              <w:ind w:left="1869"/>
              <w:spacing w:after="0"/>
              <w:rPr>
                <w:sz w:val="20"/>
                <w:szCs w:val="20"/>
                <w:color w:val="auto"/>
              </w:rPr>
            </w:pPr>
            <w:r>
              <w:rPr>
                <w:rFonts w:ascii="Arial" w:cs="Arial" w:eastAsia="Arial" w:hAnsi="Arial"/>
                <w:sz w:val="12"/>
                <w:szCs w:val="12"/>
                <w:b w:val="1"/>
                <w:bCs w:val="1"/>
                <w:color w:val="auto"/>
                <w:w w:val="94"/>
              </w:rPr>
              <w:t>Identification No.)</w:t>
            </w:r>
          </w:p>
        </w:tc>
      </w:tr>
      <w:tr>
        <w:trPr>
          <w:trHeight w:val="324"/>
        </w:trPr>
        <w:tc>
          <w:tcPr>
            <w:tcW w:w="4440" w:type="dxa"/>
            <w:vAlign w:val="bottom"/>
          </w:tcPr>
          <w:p>
            <w:pPr>
              <w:jc w:val="center"/>
              <w:ind w:right="1889"/>
              <w:spacing w:after="0"/>
              <w:rPr>
                <w:sz w:val="20"/>
                <w:szCs w:val="20"/>
                <w:color w:val="auto"/>
              </w:rPr>
            </w:pPr>
            <w:r>
              <w:rPr>
                <w:rFonts w:ascii="Arial" w:cs="Arial" w:eastAsia="Arial" w:hAnsi="Arial"/>
                <w:sz w:val="17"/>
                <w:szCs w:val="17"/>
                <w:b w:val="1"/>
                <w:bCs w:val="1"/>
                <w:color w:val="auto"/>
                <w:w w:val="94"/>
              </w:rPr>
              <w:t>555 Turnpike Street, Canton, MA</w:t>
            </w:r>
          </w:p>
        </w:tc>
        <w:tc>
          <w:tcPr>
            <w:tcW w:w="2900" w:type="dxa"/>
            <w:vAlign w:val="bottom"/>
          </w:tcPr>
          <w:p>
            <w:pPr>
              <w:jc w:val="right"/>
              <w:ind w:right="189"/>
              <w:spacing w:after="0"/>
              <w:rPr>
                <w:sz w:val="20"/>
                <w:szCs w:val="20"/>
                <w:color w:val="auto"/>
              </w:rPr>
            </w:pPr>
            <w:r>
              <w:rPr>
                <w:rFonts w:ascii="Arial" w:cs="Arial" w:eastAsia="Arial" w:hAnsi="Arial"/>
                <w:sz w:val="17"/>
                <w:szCs w:val="17"/>
                <w:b w:val="1"/>
                <w:bCs w:val="1"/>
                <w:color w:val="auto"/>
              </w:rPr>
              <w:t>02021</w:t>
            </w:r>
          </w:p>
        </w:tc>
      </w:tr>
      <w:tr>
        <w:trPr>
          <w:trHeight w:val="158"/>
        </w:trPr>
        <w:tc>
          <w:tcPr>
            <w:tcW w:w="4440" w:type="dxa"/>
            <w:vAlign w:val="bottom"/>
          </w:tcPr>
          <w:p>
            <w:pPr>
              <w:jc w:val="center"/>
              <w:ind w:right="1889"/>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2900" w:type="dxa"/>
            <w:vAlign w:val="bottom"/>
          </w:tcPr>
          <w:p>
            <w:pPr>
              <w:jc w:val="center"/>
              <w:ind w:left="1869"/>
              <w:spacing w:after="0"/>
              <w:rPr>
                <w:sz w:val="20"/>
                <w:szCs w:val="20"/>
                <w:color w:val="auto"/>
              </w:rPr>
            </w:pPr>
            <w:r>
              <w:rPr>
                <w:rFonts w:ascii="Arial" w:cs="Arial" w:eastAsia="Arial" w:hAnsi="Arial"/>
                <w:sz w:val="12"/>
                <w:szCs w:val="12"/>
                <w:b w:val="1"/>
                <w:bCs w:val="1"/>
                <w:color w:val="auto"/>
                <w:w w:val="94"/>
              </w:rPr>
              <w:t>(Zip Code)</w:t>
            </w:r>
          </w:p>
        </w:tc>
      </w:tr>
    </w:tbl>
    <w:p>
      <w:pPr>
        <w:spacing w:after="0" w:line="37" w:lineRule="exact"/>
        <w:rPr>
          <w:sz w:val="24"/>
          <w:szCs w:val="24"/>
          <w:color w:val="auto"/>
        </w:rPr>
      </w:pPr>
    </w:p>
    <w:p>
      <w:pPr>
        <w:ind w:left="3120"/>
        <w:spacing w:after="0"/>
        <w:rPr>
          <w:sz w:val="20"/>
          <w:szCs w:val="20"/>
          <w:color w:val="auto"/>
        </w:rPr>
      </w:pPr>
      <w:r>
        <w:rPr>
          <w:rFonts w:ascii="Arial" w:cs="Arial" w:eastAsia="Arial" w:hAnsi="Arial"/>
          <w:sz w:val="17"/>
          <w:szCs w:val="17"/>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94615</wp:posOffset>
            </wp:positionV>
            <wp:extent cx="1430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2" w:lineRule="exact"/>
        <w:rPr>
          <w:sz w:val="24"/>
          <w:szCs w:val="24"/>
          <w:color w:val="auto"/>
        </w:rPr>
      </w:pPr>
    </w:p>
    <w:p>
      <w:pPr>
        <w:ind w:left="760"/>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Title of each class</w:t>
            </w:r>
          </w:p>
        </w:tc>
        <w:tc>
          <w:tcPr>
            <w:tcW w:w="1820" w:type="dxa"/>
            <w:vAlign w:val="bottom"/>
          </w:tcPr>
          <w:p>
            <w:pPr>
              <w:spacing w:after="0"/>
              <w:rPr>
                <w:sz w:val="16"/>
                <w:szCs w:val="16"/>
                <w:color w:val="auto"/>
              </w:rPr>
            </w:pPr>
          </w:p>
        </w:tc>
        <w:tc>
          <w:tcPr>
            <w:tcW w:w="2140" w:type="dxa"/>
            <w:vAlign w:val="bottom"/>
            <w:gridSpan w:val="2"/>
          </w:tcPr>
          <w:p>
            <w:pPr>
              <w:spacing w:after="0"/>
              <w:rPr>
                <w:sz w:val="20"/>
                <w:szCs w:val="20"/>
                <w:color w:val="auto"/>
              </w:rPr>
            </w:pPr>
            <w:r>
              <w:rPr>
                <w:rFonts w:ascii="Arial" w:cs="Arial" w:eastAsia="Arial" w:hAnsi="Arial"/>
                <w:sz w:val="16"/>
                <w:szCs w:val="16"/>
                <w:color w:val="auto"/>
              </w:rPr>
              <w:t>Trading symbol(s)</w:t>
            </w:r>
          </w:p>
        </w:tc>
        <w:tc>
          <w:tcPr>
            <w:tcW w:w="14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Arial" w:cs="Arial" w:eastAsia="Arial" w:hAnsi="Arial"/>
                <w:sz w:val="16"/>
                <w:szCs w:val="16"/>
                <w:color w:val="auto"/>
                <w:w w:val="86"/>
              </w:rPr>
              <w:t>Name of each exchange on which registered</w:t>
            </w:r>
          </w:p>
        </w:tc>
      </w:tr>
      <w:tr>
        <w:trPr>
          <w:trHeight w:val="20"/>
        </w:trPr>
        <w:tc>
          <w:tcPr>
            <w:tcW w:w="2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r>
      <w:tr>
        <w:trPr>
          <w:trHeight w:val="208"/>
        </w:trPr>
        <w:tc>
          <w:tcPr>
            <w:tcW w:w="3520" w:type="dxa"/>
            <w:vAlign w:val="bottom"/>
            <w:gridSpan w:val="3"/>
          </w:tcPr>
          <w:p>
            <w:pPr>
              <w:ind w:left="620"/>
              <w:spacing w:after="0"/>
              <w:rPr>
                <w:sz w:val="20"/>
                <w:szCs w:val="20"/>
                <w:color w:val="auto"/>
              </w:rPr>
            </w:pPr>
            <w:r>
              <w:rPr>
                <w:rFonts w:ascii="Arial" w:cs="Arial" w:eastAsia="Arial" w:hAnsi="Arial"/>
                <w:sz w:val="16"/>
                <w:szCs w:val="16"/>
                <w:color w:val="auto"/>
                <w:w w:val="93"/>
              </w:rPr>
              <w:t>Common Stock, Par Value $0.01 Per Share</w:t>
            </w:r>
          </w:p>
        </w:tc>
        <w:tc>
          <w:tcPr>
            <w:tcW w:w="3960" w:type="dxa"/>
            <w:vAlign w:val="bottom"/>
            <w:gridSpan w:val="3"/>
          </w:tcPr>
          <w:p>
            <w:pPr>
              <w:ind w:left="1760"/>
              <w:spacing w:after="0"/>
              <w:rPr>
                <w:sz w:val="20"/>
                <w:szCs w:val="20"/>
                <w:color w:val="auto"/>
              </w:rPr>
            </w:pPr>
            <w:r>
              <w:rPr>
                <w:rFonts w:ascii="Arial" w:cs="Arial" w:eastAsia="Arial" w:hAnsi="Arial"/>
                <w:sz w:val="16"/>
                <w:szCs w:val="16"/>
                <w:color w:val="auto"/>
              </w:rPr>
              <w:t>DXLG</w:t>
            </w:r>
          </w:p>
        </w:tc>
        <w:tc>
          <w:tcPr>
            <w:tcW w:w="140" w:type="dxa"/>
            <w:vAlign w:val="bottom"/>
          </w:tcPr>
          <w:p>
            <w:pPr>
              <w:spacing w:after="0"/>
              <w:rPr>
                <w:sz w:val="18"/>
                <w:szCs w:val="18"/>
                <w:color w:val="auto"/>
              </w:rPr>
            </w:pPr>
          </w:p>
        </w:tc>
        <w:tc>
          <w:tcPr>
            <w:tcW w:w="2760" w:type="dxa"/>
            <w:vAlign w:val="bottom"/>
            <w:gridSpan w:val="2"/>
          </w:tcPr>
          <w:p>
            <w:pPr>
              <w:ind w:left="40"/>
              <w:spacing w:after="0"/>
              <w:rPr>
                <w:sz w:val="20"/>
                <w:szCs w:val="20"/>
                <w:color w:val="auto"/>
              </w:rPr>
            </w:pPr>
            <w:r>
              <w:rPr>
                <w:rFonts w:ascii="Arial" w:cs="Arial" w:eastAsia="Arial" w:hAnsi="Arial"/>
                <w:sz w:val="16"/>
                <w:szCs w:val="16"/>
                <w:color w:val="auto"/>
              </w:rPr>
              <w:t>NASDAQ Stock Market, LLC</w:t>
            </w:r>
          </w:p>
        </w:tc>
      </w:tr>
      <w:tr>
        <w:trPr>
          <w:trHeight w:val="337"/>
        </w:trPr>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560" w:type="dxa"/>
            <w:vAlign w:val="bottom"/>
            <w:gridSpan w:val="5"/>
          </w:tcPr>
          <w:p>
            <w:pPr>
              <w:ind w:left="220"/>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tc>
        <w:tc>
          <w:tcPr>
            <w:tcW w:w="2300" w:type="dxa"/>
            <w:vAlign w:val="bottom"/>
          </w:tcPr>
          <w:p>
            <w:pPr>
              <w:spacing w:after="0"/>
              <w:rPr>
                <w:sz w:val="24"/>
                <w:szCs w:val="24"/>
                <w:color w:val="auto"/>
              </w:rPr>
            </w:pPr>
          </w:p>
        </w:tc>
      </w:tr>
      <w:tr>
        <w:trPr>
          <w:trHeight w:val="254"/>
        </w:trPr>
        <w:tc>
          <w:tcPr>
            <w:tcW w:w="7480" w:type="dxa"/>
            <w:vAlign w:val="bottom"/>
            <w:gridSpan w:val="6"/>
          </w:tcPr>
          <w:p>
            <w:pPr>
              <w:spacing w:after="0"/>
              <w:rPr>
                <w:sz w:val="20"/>
                <w:szCs w:val="20"/>
                <w:color w:val="auto"/>
              </w:rPr>
            </w:pPr>
            <w:r>
              <w:rPr>
                <w:rFonts w:ascii="Arial" w:cs="Arial" w:eastAsia="Arial" w:hAnsi="Arial"/>
                <w:sz w:val="16"/>
                <w:szCs w:val="16"/>
                <w:color w:val="auto"/>
                <w:w w:val="90"/>
              </w:rPr>
              <w:t>Indicate by check mark if the registrant is a well-known seasoned issuer, as defined in Rule 405 of the Securities Act.</w:t>
            </w:r>
          </w:p>
        </w:tc>
        <w:tc>
          <w:tcPr>
            <w:tcW w:w="600" w:type="dxa"/>
            <w:vAlign w:val="bottom"/>
            <w:gridSpan w:val="2"/>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30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60"/>
        </w:trPr>
        <w:tc>
          <w:tcPr>
            <w:tcW w:w="7480" w:type="dxa"/>
            <w:vAlign w:val="bottom"/>
            <w:gridSpan w:val="6"/>
          </w:tcPr>
          <w:p>
            <w:pPr>
              <w:spacing w:after="0"/>
              <w:rPr>
                <w:sz w:val="20"/>
                <w:szCs w:val="20"/>
                <w:color w:val="auto"/>
              </w:rPr>
            </w:pPr>
            <w:r>
              <w:rPr>
                <w:rFonts w:ascii="Arial" w:cs="Arial" w:eastAsia="Arial" w:hAnsi="Arial"/>
                <w:sz w:val="16"/>
                <w:szCs w:val="16"/>
                <w:color w:val="auto"/>
                <w:w w:val="89"/>
              </w:rPr>
              <w:t>Indicate by check mark if the registrant is not required to file reports pursuant to Section 13 or Section 15(d) of the Act.</w:t>
            </w:r>
          </w:p>
        </w:tc>
        <w:tc>
          <w:tcPr>
            <w:tcW w:w="140" w:type="dxa"/>
            <w:vAlign w:val="bottom"/>
          </w:tcPr>
          <w:p>
            <w:pPr>
              <w:spacing w:after="0"/>
              <w:rPr>
                <w:sz w:val="22"/>
                <w:szCs w:val="22"/>
                <w:color w:val="auto"/>
              </w:rPr>
            </w:pPr>
          </w:p>
        </w:tc>
        <w:tc>
          <w:tcPr>
            <w:tcW w:w="460" w:type="dxa"/>
            <w:vAlign w:val="bottom"/>
          </w:tcPr>
          <w:p>
            <w:pPr>
              <w:ind w:left="20"/>
              <w:spacing w:after="0" w:line="184" w:lineRule="exact"/>
              <w:rPr>
                <w:sz w:val="20"/>
                <w:szCs w:val="20"/>
                <w:color w:val="auto"/>
              </w:rPr>
            </w:pPr>
            <w:r>
              <w:rPr>
                <w:rFonts w:ascii="Arial" w:cs="Arial" w:eastAsia="Arial" w:hAnsi="Arial"/>
                <w:sz w:val="16"/>
                <w:szCs w:val="16"/>
                <w:color w:val="auto"/>
                <w:w w:val="87"/>
              </w:rPr>
              <w:t xml:space="preserve">Yes </w:t>
            </w:r>
            <w:r>
              <w:rPr>
                <w:rFonts w:ascii="MS PGothic" w:cs="MS PGothic" w:eastAsia="MS PGothic" w:hAnsi="MS PGothic"/>
                <w:sz w:val="16"/>
                <w:szCs w:val="16"/>
                <w:color w:val="auto"/>
                <w:w w:val="87"/>
              </w:rPr>
              <w:t>☐</w:t>
            </w:r>
          </w:p>
        </w:tc>
        <w:tc>
          <w:tcPr>
            <w:tcW w:w="23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56" w:lineRule="exact"/>
        <w:rPr>
          <w:sz w:val="24"/>
          <w:szCs w:val="24"/>
          <w:color w:val="auto"/>
        </w:rPr>
      </w:pPr>
    </w:p>
    <w:p>
      <w:pPr>
        <w:ind w:right="80"/>
        <w:spacing w:after="0" w:line="20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3" w:lineRule="exact"/>
        <w:rPr>
          <w:sz w:val="24"/>
          <w:szCs w:val="24"/>
          <w:color w:val="auto"/>
        </w:rPr>
      </w:pPr>
    </w:p>
    <w:p>
      <w:pPr>
        <w:ind w:right="12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spacing w:after="0" w:line="26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146" w:lineRule="exact"/>
        <w:rPr>
          <w:sz w:val="24"/>
          <w:szCs w:val="24"/>
          <w:color w:val="auto"/>
        </w:rPr>
      </w:pPr>
    </w:p>
    <w:tbl>
      <w:tblPr>
        <w:tblLayout w:type="fixed"/>
        <w:tblInd w:w="860" w:type="dxa"/>
        <w:tblCellMar>
          <w:top w:w="0" w:type="dxa"/>
          <w:left w:w="0" w:type="dxa"/>
          <w:bottom w:w="0" w:type="dxa"/>
          <w:right w:w="0" w:type="dxa"/>
        </w:tblCellMar>
      </w:tblPr>
      <w:tr>
        <w:trPr>
          <w:trHeight w:val="195"/>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5"/>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90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180" w:type="dxa"/>
            <w:vAlign w:val="bottom"/>
          </w:tcPr>
          <w:p>
            <w:pPr>
              <w:ind w:left="90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184" w:lineRule="exact"/>
        <w:tabs>
          <w:tab w:leader="none" w:pos="6580" w:val="left"/>
          <w:tab w:leader="none" w:pos="7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7" w:lineRule="exact"/>
        <w:rPr>
          <w:sz w:val="24"/>
          <w:szCs w:val="24"/>
          <w:color w:val="auto"/>
        </w:rPr>
      </w:pPr>
    </w:p>
    <w:p>
      <w:pPr>
        <w:spacing w:after="0" w:line="348" w:lineRule="auto"/>
        <w:rPr>
          <w:sz w:val="20"/>
          <w:szCs w:val="20"/>
          <w:color w:val="auto"/>
        </w:rPr>
      </w:pPr>
      <w:r>
        <w:rPr>
          <w:rFonts w:ascii="Arial" w:cs="Arial" w:eastAsia="Arial" w:hAnsi="Arial"/>
          <w:sz w:val="13"/>
          <w:szCs w:val="13"/>
          <w:color w:val="auto"/>
        </w:rPr>
        <w:t>As of August 2, 2019, the aggregate market value of the Common Stock held by non-affiliates of the registrant was approximately $53.6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51,077,397 shares of Common Stock, $0.01 par value, outstanding as of May 15, 2020.</w:t>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137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96520</wp:posOffset>
            </wp:positionV>
            <wp:extent cx="7137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592455</wp:posOffset>
            </wp:positionV>
            <wp:extent cx="715391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7"/>
          <w:szCs w:val="17"/>
          <w:color w:val="auto"/>
        </w:rPr>
        <w:t>EXPLANATORY NOTE</w:t>
      </w:r>
    </w:p>
    <w:p>
      <w:pPr>
        <w:spacing w:after="0" w:line="2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filing this Amendment No. 1 to our Annual Report on Form 10−K for the fiscal year ended February 1, 2020 (this “Form 10-K/A”) pursuant to General Instruction G(3) to Form 10−K for the purposes of filing the information required to be disclosed pursuant to Part III of Form 10−K.</w:t>
      </w:r>
    </w:p>
    <w:p>
      <w:pPr>
        <w:spacing w:after="0" w:line="15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Except for the amendments described above, this Form 10−K/A does not modify or update the disclosure in our Annual Report on Form 10−K for the fiscal year ended February 1, 2020 filed with the Securities and Exchange Commission on March 19, 2020.</w:t>
      </w: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0" w:type="dxa"/>
            <w:vAlign w:val="bottom"/>
            <w:gridSpan w:val="3"/>
            <w:vMerge w:val="restart"/>
          </w:tcPr>
          <w:p>
            <w:pPr>
              <w:spacing w:after="0"/>
              <w:rPr>
                <w:sz w:val="20"/>
                <w:szCs w:val="20"/>
                <w:color w:val="auto"/>
              </w:rPr>
            </w:pPr>
            <w:r>
              <w:rPr>
                <w:rFonts w:ascii="Arial" w:cs="Arial" w:eastAsia="Arial" w:hAnsi="Arial"/>
                <w:sz w:val="17"/>
                <w:szCs w:val="17"/>
                <w:b w:val="1"/>
                <w:bCs w:val="1"/>
                <w:color w:val="0000EE"/>
              </w:rPr>
              <w:t>PART III</w:t>
            </w:r>
          </w:p>
        </w:tc>
        <w:tc>
          <w:tcPr>
            <w:tcW w:w="400" w:type="dxa"/>
            <w:vAlign w:val="bottom"/>
            <w:vMerge w:val="restart"/>
          </w:tcPr>
          <w:p>
            <w:pPr>
              <w:spacing w:after="0"/>
              <w:rPr>
                <w:sz w:val="14"/>
                <w:szCs w:val="14"/>
                <w:color w:val="auto"/>
              </w:rPr>
            </w:pPr>
          </w:p>
        </w:tc>
        <w:tc>
          <w:tcPr>
            <w:tcW w:w="90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7"/>
        </w:trPr>
        <w:tc>
          <w:tcPr>
            <w:tcW w:w="720" w:type="dxa"/>
            <w:vAlign w:val="bottom"/>
            <w:tcBorders>
              <w:bottom w:val="single" w:sz="8" w:color="0000EE"/>
            </w:tcBorders>
            <w:gridSpan w:val="3"/>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0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20" w:type="dxa"/>
            <w:vAlign w:val="bottom"/>
            <w:gridSpan w:val="4"/>
          </w:tcPr>
          <w:p>
            <w:pPr>
              <w:spacing w:after="0" w:line="189" w:lineRule="exact"/>
              <w:rPr>
                <w:sz w:val="20"/>
                <w:szCs w:val="20"/>
                <w:color w:val="auto"/>
              </w:rPr>
            </w:pPr>
            <w:r>
              <w:rPr>
                <w:rFonts w:ascii="Arial" w:cs="Arial" w:eastAsia="Arial" w:hAnsi="Arial"/>
                <w:sz w:val="17"/>
                <w:szCs w:val="17"/>
                <w:color w:val="0000EE"/>
              </w:rPr>
              <w:t>ITEM 10.</w:t>
            </w:r>
          </w:p>
        </w:tc>
        <w:tc>
          <w:tcPr>
            <w:tcW w:w="9000" w:type="dxa"/>
            <w:vAlign w:val="bottom"/>
          </w:tcPr>
          <w:p>
            <w:pPr>
              <w:ind w:left="20"/>
              <w:spacing w:after="0" w:line="189" w:lineRule="exact"/>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Directors, Executive Officers and Corporate Governance</w:t>
              </w:r>
            </w:hyperlink>
          </w:p>
        </w:tc>
        <w:tc>
          <w:tcPr>
            <w:tcW w:w="11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gridSpan w:val="4"/>
          </w:tcPr>
          <w:p>
            <w:pPr>
              <w:spacing w:after="0" w:line="189" w:lineRule="exact"/>
              <w:rPr>
                <w:sz w:val="20"/>
                <w:szCs w:val="20"/>
                <w:color w:val="auto"/>
              </w:rPr>
            </w:pPr>
            <w:r>
              <w:rPr>
                <w:rFonts w:ascii="Arial" w:cs="Arial" w:eastAsia="Arial" w:hAnsi="Arial"/>
                <w:sz w:val="17"/>
                <w:szCs w:val="17"/>
                <w:color w:val="0000EE"/>
              </w:rPr>
              <w:t>ITEM 11.</w:t>
            </w:r>
          </w:p>
        </w:tc>
        <w:tc>
          <w:tcPr>
            <w:tcW w:w="9000" w:type="dxa"/>
            <w:vAlign w:val="bottom"/>
          </w:tcPr>
          <w:p>
            <w:pPr>
              <w:ind w:left="20"/>
              <w:spacing w:after="0" w:line="189" w:lineRule="exact"/>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Executive Compensation</w:t>
              </w:r>
            </w:hyperlink>
          </w:p>
        </w:tc>
        <w:tc>
          <w:tcPr>
            <w:tcW w:w="11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gridSpan w:val="4"/>
          </w:tcPr>
          <w:p>
            <w:pPr>
              <w:spacing w:after="0" w:line="189" w:lineRule="exact"/>
              <w:rPr>
                <w:sz w:val="20"/>
                <w:szCs w:val="20"/>
                <w:color w:val="auto"/>
              </w:rPr>
            </w:pPr>
            <w:r>
              <w:rPr>
                <w:rFonts w:ascii="Arial" w:cs="Arial" w:eastAsia="Arial" w:hAnsi="Arial"/>
                <w:sz w:val="17"/>
                <w:szCs w:val="17"/>
                <w:color w:val="0000EE"/>
              </w:rPr>
              <w:t>ITEM 12.</w:t>
            </w:r>
          </w:p>
        </w:tc>
        <w:tc>
          <w:tcPr>
            <w:tcW w:w="9000" w:type="dxa"/>
            <w:vAlign w:val="bottom"/>
          </w:tcPr>
          <w:p>
            <w:pPr>
              <w:ind w:left="20"/>
              <w:spacing w:after="0" w:line="189" w:lineRule="exact"/>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Security Ownership of Certain Beneficial Owners and Management and Related Stockholder Matters</w:t>
              </w:r>
            </w:hyperlink>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gridSpan w:val="4"/>
          </w:tcPr>
          <w:p>
            <w:pPr>
              <w:spacing w:after="0" w:line="189" w:lineRule="exact"/>
              <w:rPr>
                <w:sz w:val="20"/>
                <w:szCs w:val="20"/>
                <w:color w:val="auto"/>
              </w:rPr>
            </w:pPr>
            <w:r>
              <w:rPr>
                <w:rFonts w:ascii="Arial" w:cs="Arial" w:eastAsia="Arial" w:hAnsi="Arial"/>
                <w:sz w:val="17"/>
                <w:szCs w:val="17"/>
                <w:color w:val="0000EE"/>
              </w:rPr>
              <w:t>ITEM 13.</w:t>
            </w:r>
          </w:p>
        </w:tc>
        <w:tc>
          <w:tcPr>
            <w:tcW w:w="9000" w:type="dxa"/>
            <w:vAlign w:val="bottom"/>
          </w:tcPr>
          <w:p>
            <w:pPr>
              <w:ind w:left="20"/>
              <w:spacing w:after="0" w:line="189" w:lineRule="exact"/>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Certain Relationships and Related Transactions, and Director Independence</w:t>
              </w:r>
            </w:hyperlink>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gridSpan w:val="4"/>
          </w:tcPr>
          <w:p>
            <w:pPr>
              <w:spacing w:after="0" w:line="189" w:lineRule="exact"/>
              <w:rPr>
                <w:sz w:val="20"/>
                <w:szCs w:val="20"/>
                <w:color w:val="auto"/>
              </w:rPr>
            </w:pPr>
            <w:r>
              <w:rPr>
                <w:rFonts w:ascii="Arial" w:cs="Arial" w:eastAsia="Arial" w:hAnsi="Arial"/>
                <w:sz w:val="17"/>
                <w:szCs w:val="17"/>
                <w:color w:val="0000EE"/>
              </w:rPr>
              <w:t>ITEM 14.</w:t>
            </w:r>
          </w:p>
        </w:tc>
        <w:tc>
          <w:tcPr>
            <w:tcW w:w="9000" w:type="dxa"/>
            <w:vAlign w:val="bottom"/>
          </w:tcPr>
          <w:p>
            <w:pPr>
              <w:ind w:left="20"/>
              <w:spacing w:after="0" w:line="189" w:lineRule="exact"/>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Principal Accountant Fees and Services</w:t>
              </w:r>
            </w:hyperlink>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70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b w:val="1"/>
                <w:bCs w:val="1"/>
                <w:color w:val="0000EE"/>
              </w:rPr>
              <w:t>PART IV</w:t>
            </w:r>
          </w:p>
        </w:tc>
        <w:tc>
          <w:tcPr>
            <w:tcW w:w="420" w:type="dxa"/>
            <w:vAlign w:val="bottom"/>
            <w:gridSpan w:val="2"/>
          </w:tcPr>
          <w:p>
            <w:pPr>
              <w:spacing w:after="0"/>
              <w:rPr>
                <w:sz w:val="24"/>
                <w:szCs w:val="24"/>
                <w:color w:val="auto"/>
              </w:rPr>
            </w:pPr>
          </w:p>
        </w:tc>
        <w:tc>
          <w:tcPr>
            <w:tcW w:w="9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20" w:type="dxa"/>
            <w:vAlign w:val="bottom"/>
            <w:gridSpan w:val="4"/>
          </w:tcPr>
          <w:p>
            <w:pPr>
              <w:spacing w:after="0" w:line="189" w:lineRule="exact"/>
              <w:rPr>
                <w:sz w:val="20"/>
                <w:szCs w:val="20"/>
                <w:color w:val="auto"/>
              </w:rPr>
            </w:pPr>
            <w:r>
              <w:rPr>
                <w:rFonts w:ascii="Arial" w:cs="Arial" w:eastAsia="Arial" w:hAnsi="Arial"/>
                <w:sz w:val="17"/>
                <w:szCs w:val="17"/>
                <w:color w:val="0000EE"/>
              </w:rPr>
              <w:t>ITEM 15.</w:t>
            </w:r>
          </w:p>
        </w:tc>
        <w:tc>
          <w:tcPr>
            <w:tcW w:w="9000" w:type="dxa"/>
            <w:vAlign w:val="bottom"/>
          </w:tcPr>
          <w:p>
            <w:pPr>
              <w:ind w:left="20"/>
              <w:spacing w:after="0" w:line="189" w:lineRule="exact"/>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Exhibits and Financial Statement Schedules</w:t>
              </w:r>
            </w:hyperlink>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120" w:type="dxa"/>
            <w:vAlign w:val="bottom"/>
            <w:gridSpan w:val="4"/>
          </w:tcPr>
          <w:p>
            <w:pPr>
              <w:spacing w:after="0"/>
              <w:rPr>
                <w:rFonts w:ascii="Arial" w:cs="Arial" w:eastAsia="Arial" w:hAnsi="Arial"/>
                <w:sz w:val="17"/>
                <w:szCs w:val="17"/>
                <w:b w:val="1"/>
                <w:bCs w:val="1"/>
                <w:u w:val="single" w:color="auto"/>
                <w:color w:val="0000EE"/>
                <w:w w:val="98"/>
              </w:rPr>
            </w:pPr>
            <w:hyperlink w:anchor="page34">
              <w:r>
                <w:rPr>
                  <w:rFonts w:ascii="Arial" w:cs="Arial" w:eastAsia="Arial" w:hAnsi="Arial"/>
                  <w:sz w:val="17"/>
                  <w:szCs w:val="17"/>
                  <w:b w:val="1"/>
                  <w:bCs w:val="1"/>
                  <w:u w:val="single" w:color="auto"/>
                  <w:color w:val="0000EE"/>
                  <w:w w:val="98"/>
                </w:rPr>
                <w:t>SIGNATURES</w:t>
              </w:r>
            </w:hyperlink>
          </w:p>
        </w:tc>
        <w:tc>
          <w:tcPr>
            <w:tcW w:w="90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0" w:type="dxa"/>
            <w:vAlign w:val="bottom"/>
          </w:tcPr>
          <w:p>
            <w:pPr>
              <w:ind w:left="4460"/>
              <w:spacing w:after="0"/>
              <w:rPr>
                <w:sz w:val="20"/>
                <w:szCs w:val="20"/>
                <w:color w:val="auto"/>
              </w:rPr>
            </w:pPr>
            <w:r>
              <w:rPr>
                <w:rFonts w:ascii="Arial" w:cs="Arial" w:eastAsia="Arial" w:hAnsi="Arial"/>
                <w:sz w:val="17"/>
                <w:szCs w:val="17"/>
                <w:color w:val="auto"/>
              </w:rPr>
              <w:t>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III.</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Set forth below is certain information regarding our current directors, including information furnished by them as to their principal occupations and business experience for the past five years, certain directorships held by each director within the past five years, their respective ages as of May 15, 2020, current committee membership, and the year in which each became a director of our Company:</w:t>
      </w: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Director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Nominating and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Cybersecurity</w:t>
            </w:r>
          </w:p>
        </w:tc>
        <w:tc>
          <w:tcPr>
            <w:tcW w:w="0" w:type="dxa"/>
            <w:vAlign w:val="bottom"/>
          </w:tcPr>
          <w:p>
            <w:pPr>
              <w:spacing w:after="0"/>
              <w:rPr>
                <w:sz w:val="1"/>
                <w:szCs w:val="1"/>
                <w:color w:val="auto"/>
              </w:rPr>
            </w:pPr>
          </w:p>
        </w:tc>
      </w:tr>
      <w:tr>
        <w:trPr>
          <w:trHeight w:val="143"/>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3"/>
              </w:rPr>
              <w:t>Age</w:t>
            </w:r>
          </w:p>
        </w:tc>
        <w:tc>
          <w:tcPr>
            <w:tcW w:w="86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Audit</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Compensation</w:t>
            </w:r>
          </w:p>
        </w:tc>
        <w:tc>
          <w:tcPr>
            <w:tcW w:w="12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9"/>
              </w:rPr>
              <w:t>Corporate</w:t>
            </w: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6"/>
        </w:trPr>
        <w:tc>
          <w:tcPr>
            <w:tcW w:w="50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Since</w:t>
            </w:r>
          </w:p>
        </w:tc>
        <w:tc>
          <w:tcPr>
            <w:tcW w:w="10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Governance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Data Privacy</w:t>
            </w:r>
          </w:p>
        </w:tc>
        <w:tc>
          <w:tcPr>
            <w:tcW w:w="0" w:type="dxa"/>
            <w:vAlign w:val="bottom"/>
          </w:tcPr>
          <w:p>
            <w:pPr>
              <w:spacing w:after="0"/>
              <w:rPr>
                <w:sz w:val="1"/>
                <w:szCs w:val="1"/>
                <w:color w:val="auto"/>
              </w:rPr>
            </w:pPr>
          </w:p>
        </w:tc>
      </w:tr>
      <w:tr>
        <w:trPr>
          <w:trHeight w:val="149"/>
        </w:trPr>
        <w:tc>
          <w:tcPr>
            <w:tcW w:w="492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John Kyees, Chairman of the Board</w:t>
            </w:r>
          </w:p>
        </w:tc>
        <w:tc>
          <w:tcPr>
            <w:tcW w:w="10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89"/>
              </w:rPr>
              <w:t>73</w:t>
            </w: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89"/>
              </w:rPr>
              <w:t>2010</w:t>
            </w:r>
          </w:p>
        </w:tc>
        <w:tc>
          <w:tcPr>
            <w:tcW w:w="1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rPr>
              <w:t>X</w:t>
            </w:r>
          </w:p>
        </w:tc>
        <w:tc>
          <w:tcPr>
            <w:tcW w:w="10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8"/>
              </w:rPr>
              <w:t>C</w:t>
            </w:r>
          </w:p>
        </w:tc>
        <w:tc>
          <w:tcPr>
            <w:tcW w:w="0" w:type="dxa"/>
            <w:vAlign w:val="bottom"/>
          </w:tcPr>
          <w:p>
            <w:pPr>
              <w:spacing w:after="0"/>
              <w:rPr>
                <w:sz w:val="1"/>
                <w:szCs w:val="1"/>
                <w:color w:val="auto"/>
              </w:rPr>
            </w:pPr>
          </w:p>
        </w:tc>
      </w:tr>
      <w:tr>
        <w:trPr>
          <w:trHeight w:val="156"/>
        </w:trPr>
        <w:tc>
          <w:tcPr>
            <w:tcW w:w="5020" w:type="dxa"/>
            <w:vAlign w:val="bottom"/>
            <w:gridSpan w:val="2"/>
          </w:tcPr>
          <w:p>
            <w:pPr>
              <w:spacing w:after="0" w:line="156" w:lineRule="exact"/>
              <w:rPr>
                <w:sz w:val="20"/>
                <w:szCs w:val="20"/>
                <w:color w:val="auto"/>
              </w:rPr>
            </w:pPr>
            <w:r>
              <w:rPr>
                <w:rFonts w:ascii="Arial" w:cs="Arial" w:eastAsia="Arial" w:hAnsi="Arial"/>
                <w:sz w:val="14"/>
                <w:szCs w:val="14"/>
                <w:color w:val="auto"/>
              </w:rPr>
              <w:t>Harvey S. Kanter, President and Chief Executive Officer and Director</w:t>
            </w:r>
          </w:p>
        </w:tc>
        <w:tc>
          <w:tcPr>
            <w:tcW w:w="600" w:type="dxa"/>
            <w:vAlign w:val="bottom"/>
          </w:tcPr>
          <w:p>
            <w:pPr>
              <w:jc w:val="center"/>
              <w:spacing w:after="0" w:line="156" w:lineRule="exact"/>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13"/>
                <w:szCs w:val="13"/>
                <w:color w:val="auto"/>
              </w:rPr>
            </w:pPr>
          </w:p>
        </w:tc>
        <w:tc>
          <w:tcPr>
            <w:tcW w:w="760" w:type="dxa"/>
            <w:vAlign w:val="bottom"/>
          </w:tcPr>
          <w:p>
            <w:pPr>
              <w:jc w:val="center"/>
              <w:spacing w:after="0" w:line="156" w:lineRule="exact"/>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Jack Boyle, Director</w:t>
            </w:r>
          </w:p>
        </w:tc>
        <w:tc>
          <w:tcPr>
            <w:tcW w:w="60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52</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2017</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center"/>
              <w:ind w:right="120"/>
              <w:spacing w:after="0" w:line="156" w:lineRule="exact"/>
              <w:rPr>
                <w:sz w:val="20"/>
                <w:szCs w:val="20"/>
                <w:color w:val="auto"/>
              </w:rPr>
            </w:pPr>
            <w:r>
              <w:rPr>
                <w:rFonts w:ascii="Arial" w:cs="Arial" w:eastAsia="Arial" w:hAnsi="Arial"/>
                <w:sz w:val="14"/>
                <w:szCs w:val="14"/>
                <w:color w:val="auto"/>
              </w:rPr>
              <w:t>X</w:t>
            </w:r>
          </w:p>
        </w:tc>
        <w:tc>
          <w:tcPr>
            <w:tcW w:w="106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6"/>
        </w:trPr>
        <w:tc>
          <w:tcPr>
            <w:tcW w:w="5020" w:type="dxa"/>
            <w:vAlign w:val="bottom"/>
            <w:gridSpan w:val="2"/>
          </w:tcPr>
          <w:p>
            <w:pPr>
              <w:spacing w:after="0" w:line="156" w:lineRule="exact"/>
              <w:rPr>
                <w:sz w:val="20"/>
                <w:szCs w:val="20"/>
                <w:color w:val="auto"/>
              </w:rPr>
            </w:pPr>
            <w:r>
              <w:rPr>
                <w:rFonts w:ascii="Arial" w:cs="Arial" w:eastAsia="Arial" w:hAnsi="Arial"/>
                <w:sz w:val="14"/>
                <w:szCs w:val="14"/>
                <w:color w:val="auto"/>
              </w:rPr>
              <w:t>Lionel F. Conacher, Director</w:t>
            </w:r>
          </w:p>
        </w:tc>
        <w:tc>
          <w:tcPr>
            <w:tcW w:w="600" w:type="dxa"/>
            <w:vAlign w:val="bottom"/>
          </w:tcPr>
          <w:p>
            <w:pPr>
              <w:jc w:val="center"/>
              <w:spacing w:after="0" w:line="156" w:lineRule="exact"/>
              <w:rPr>
                <w:sz w:val="20"/>
                <w:szCs w:val="20"/>
                <w:color w:val="auto"/>
              </w:rPr>
            </w:pPr>
            <w:r>
              <w:rPr>
                <w:rFonts w:ascii="Arial" w:cs="Arial" w:eastAsia="Arial" w:hAnsi="Arial"/>
                <w:sz w:val="14"/>
                <w:szCs w:val="14"/>
                <w:color w:val="auto"/>
                <w:w w:val="89"/>
              </w:rPr>
              <w:t>57</w:t>
            </w:r>
          </w:p>
        </w:tc>
        <w:tc>
          <w:tcPr>
            <w:tcW w:w="100" w:type="dxa"/>
            <w:vAlign w:val="bottom"/>
          </w:tcPr>
          <w:p>
            <w:pPr>
              <w:spacing w:after="0"/>
              <w:rPr>
                <w:sz w:val="13"/>
                <w:szCs w:val="13"/>
                <w:color w:val="auto"/>
              </w:rPr>
            </w:pPr>
          </w:p>
        </w:tc>
        <w:tc>
          <w:tcPr>
            <w:tcW w:w="760" w:type="dxa"/>
            <w:vAlign w:val="bottom"/>
          </w:tcPr>
          <w:p>
            <w:pPr>
              <w:jc w:val="center"/>
              <w:spacing w:after="0" w:line="156" w:lineRule="exact"/>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6" w:lineRule="exact"/>
              <w:rPr>
                <w:sz w:val="20"/>
                <w:szCs w:val="20"/>
                <w:color w:val="auto"/>
              </w:rPr>
            </w:pPr>
            <w:r>
              <w:rPr>
                <w:rFonts w:ascii="Arial" w:cs="Arial" w:eastAsia="Arial" w:hAnsi="Arial"/>
                <w:sz w:val="14"/>
                <w:szCs w:val="14"/>
                <w:color w:val="auto"/>
              </w:rPr>
              <w:t>X</w:t>
            </w:r>
          </w:p>
        </w:tc>
        <w:tc>
          <w:tcPr>
            <w:tcW w:w="1200" w:type="dxa"/>
            <w:vAlign w:val="bottom"/>
            <w:gridSpan w:val="2"/>
          </w:tcPr>
          <w:p>
            <w:pPr>
              <w:jc w:val="center"/>
              <w:ind w:right="140"/>
              <w:spacing w:after="0" w:line="156" w:lineRule="exact"/>
              <w:rPr>
                <w:sz w:val="20"/>
                <w:szCs w:val="20"/>
                <w:color w:val="auto"/>
              </w:rPr>
            </w:pPr>
            <w:r>
              <w:rPr>
                <w:rFonts w:ascii="Arial" w:cs="Arial" w:eastAsia="Arial" w:hAnsi="Arial"/>
                <w:sz w:val="14"/>
                <w:szCs w:val="14"/>
                <w:color w:val="auto"/>
              </w:rPr>
              <w:t>X</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Seymour Holtzman, Director</w:t>
            </w:r>
          </w:p>
        </w:tc>
        <w:tc>
          <w:tcPr>
            <w:tcW w:w="60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84</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2000</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gridSpan w:val="2"/>
          </w:tcPr>
          <w:p>
            <w:pPr>
              <w:spacing w:after="0" w:line="156" w:lineRule="exact"/>
              <w:rPr>
                <w:sz w:val="20"/>
                <w:szCs w:val="20"/>
                <w:color w:val="auto"/>
              </w:rPr>
            </w:pPr>
            <w:r>
              <w:rPr>
                <w:rFonts w:ascii="Arial" w:cs="Arial" w:eastAsia="Arial" w:hAnsi="Arial"/>
                <w:sz w:val="14"/>
                <w:szCs w:val="14"/>
                <w:color w:val="auto"/>
              </w:rPr>
              <w:t>Willem Mesdag, Director</w:t>
            </w:r>
          </w:p>
        </w:tc>
        <w:tc>
          <w:tcPr>
            <w:tcW w:w="600" w:type="dxa"/>
            <w:vAlign w:val="bottom"/>
          </w:tcPr>
          <w:p>
            <w:pPr>
              <w:jc w:val="center"/>
              <w:spacing w:after="0" w:line="156" w:lineRule="exact"/>
              <w:rPr>
                <w:sz w:val="20"/>
                <w:szCs w:val="20"/>
                <w:color w:val="auto"/>
              </w:rPr>
            </w:pPr>
            <w:r>
              <w:rPr>
                <w:rFonts w:ascii="Arial" w:cs="Arial" w:eastAsia="Arial" w:hAnsi="Arial"/>
                <w:sz w:val="14"/>
                <w:szCs w:val="14"/>
                <w:color w:val="auto"/>
                <w:w w:val="89"/>
              </w:rPr>
              <w:t>66</w:t>
            </w:r>
          </w:p>
        </w:tc>
        <w:tc>
          <w:tcPr>
            <w:tcW w:w="100" w:type="dxa"/>
            <w:vAlign w:val="bottom"/>
          </w:tcPr>
          <w:p>
            <w:pPr>
              <w:spacing w:after="0"/>
              <w:rPr>
                <w:sz w:val="13"/>
                <w:szCs w:val="13"/>
                <w:color w:val="auto"/>
              </w:rPr>
            </w:pPr>
          </w:p>
        </w:tc>
        <w:tc>
          <w:tcPr>
            <w:tcW w:w="760" w:type="dxa"/>
            <w:vAlign w:val="bottom"/>
          </w:tcPr>
          <w:p>
            <w:pPr>
              <w:jc w:val="center"/>
              <w:spacing w:after="0" w:line="156"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6" w:lineRule="exact"/>
              <w:rPr>
                <w:sz w:val="20"/>
                <w:szCs w:val="20"/>
                <w:color w:val="auto"/>
              </w:rPr>
            </w:pPr>
            <w:r>
              <w:rPr>
                <w:rFonts w:ascii="Arial" w:cs="Arial" w:eastAsia="Arial" w:hAnsi="Arial"/>
                <w:sz w:val="14"/>
                <w:szCs w:val="14"/>
                <w:color w:val="auto"/>
              </w:rPr>
              <w:t>X</w:t>
            </w:r>
          </w:p>
        </w:tc>
        <w:tc>
          <w:tcPr>
            <w:tcW w:w="1200" w:type="dxa"/>
            <w:vAlign w:val="bottom"/>
            <w:gridSpan w:val="2"/>
          </w:tcPr>
          <w:p>
            <w:pPr>
              <w:jc w:val="center"/>
              <w:ind w:right="140"/>
              <w:spacing w:after="0" w:line="156" w:lineRule="exact"/>
              <w:rPr>
                <w:sz w:val="20"/>
                <w:szCs w:val="20"/>
                <w:color w:val="auto"/>
              </w:rPr>
            </w:pPr>
            <w:r>
              <w:rPr>
                <w:rFonts w:ascii="Arial" w:cs="Arial" w:eastAsia="Arial" w:hAnsi="Arial"/>
                <w:sz w:val="14"/>
                <w:szCs w:val="14"/>
                <w:color w:val="auto"/>
                <w:w w:val="98"/>
              </w:rPr>
              <w:t>C</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Ward K. Mooney, Director</w:t>
            </w:r>
          </w:p>
        </w:tc>
        <w:tc>
          <w:tcPr>
            <w:tcW w:w="60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71</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center"/>
              <w:ind w:right="120"/>
              <w:spacing w:after="0" w:line="156" w:lineRule="exact"/>
              <w:rPr>
                <w:sz w:val="20"/>
                <w:szCs w:val="20"/>
                <w:color w:val="auto"/>
              </w:rPr>
            </w:pPr>
            <w:r>
              <w:rPr>
                <w:rFonts w:ascii="Arial" w:cs="Arial" w:eastAsia="Arial" w:hAnsi="Arial"/>
                <w:sz w:val="14"/>
                <w:szCs w:val="14"/>
                <w:color w:val="auto"/>
                <w:w w:val="78"/>
              </w:rPr>
              <w:t>C</w:t>
            </w:r>
          </w:p>
        </w:tc>
        <w:tc>
          <w:tcPr>
            <w:tcW w:w="1200" w:type="dxa"/>
            <w:vAlign w:val="bottom"/>
            <w:gridSpan w:val="2"/>
            <w:shd w:val="clear" w:color="auto" w:fill="CFF0FC"/>
          </w:tcPr>
          <w:p>
            <w:pPr>
              <w:jc w:val="center"/>
              <w:ind w:right="140"/>
              <w:spacing w:after="0" w:line="156" w:lineRule="exact"/>
              <w:rPr>
                <w:sz w:val="20"/>
                <w:szCs w:val="20"/>
                <w:color w:val="auto"/>
              </w:rPr>
            </w:pPr>
            <w:r>
              <w:rPr>
                <w:rFonts w:ascii="Arial" w:cs="Arial" w:eastAsia="Arial" w:hAnsi="Arial"/>
                <w:sz w:val="14"/>
                <w:szCs w:val="14"/>
                <w:color w:val="auto"/>
              </w:rPr>
              <w:t>X</w:t>
            </w: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gridSpan w:val="2"/>
          </w:tcPr>
          <w:p>
            <w:pPr>
              <w:spacing w:after="0" w:line="156" w:lineRule="exact"/>
              <w:rPr>
                <w:sz w:val="20"/>
                <w:szCs w:val="20"/>
                <w:color w:val="auto"/>
              </w:rPr>
            </w:pPr>
            <w:r>
              <w:rPr>
                <w:rFonts w:ascii="Arial" w:cs="Arial" w:eastAsia="Arial" w:hAnsi="Arial"/>
                <w:sz w:val="14"/>
                <w:szCs w:val="14"/>
                <w:color w:val="auto"/>
              </w:rPr>
              <w:t>Mitchell S. Presser, Director</w:t>
            </w:r>
          </w:p>
        </w:tc>
        <w:tc>
          <w:tcPr>
            <w:tcW w:w="600" w:type="dxa"/>
            <w:vAlign w:val="bottom"/>
          </w:tcPr>
          <w:p>
            <w:pPr>
              <w:jc w:val="center"/>
              <w:spacing w:after="0" w:line="156" w:lineRule="exact"/>
              <w:rPr>
                <w:sz w:val="20"/>
                <w:szCs w:val="20"/>
                <w:color w:val="auto"/>
              </w:rPr>
            </w:pPr>
            <w:r>
              <w:rPr>
                <w:rFonts w:ascii="Arial" w:cs="Arial" w:eastAsia="Arial" w:hAnsi="Arial"/>
                <w:sz w:val="14"/>
                <w:szCs w:val="14"/>
                <w:color w:val="auto"/>
                <w:w w:val="89"/>
              </w:rPr>
              <w:t>55</w:t>
            </w:r>
          </w:p>
        </w:tc>
        <w:tc>
          <w:tcPr>
            <w:tcW w:w="100" w:type="dxa"/>
            <w:vAlign w:val="bottom"/>
          </w:tcPr>
          <w:p>
            <w:pPr>
              <w:spacing w:after="0"/>
              <w:rPr>
                <w:sz w:val="13"/>
                <w:szCs w:val="13"/>
                <w:color w:val="auto"/>
              </w:rPr>
            </w:pPr>
          </w:p>
        </w:tc>
        <w:tc>
          <w:tcPr>
            <w:tcW w:w="760" w:type="dxa"/>
            <w:vAlign w:val="bottom"/>
          </w:tcPr>
          <w:p>
            <w:pPr>
              <w:jc w:val="center"/>
              <w:spacing w:after="0" w:line="156"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40"/>
              <w:spacing w:after="0" w:line="156" w:lineRule="exact"/>
              <w:rPr>
                <w:sz w:val="20"/>
                <w:szCs w:val="20"/>
                <w:color w:val="auto"/>
              </w:rPr>
            </w:pPr>
            <w:r>
              <w:rPr>
                <w:rFonts w:ascii="Arial" w:cs="Arial" w:eastAsia="Arial" w:hAnsi="Arial"/>
                <w:sz w:val="14"/>
                <w:szCs w:val="14"/>
                <w:color w:val="auto"/>
              </w:rPr>
              <w:t>X</w:t>
            </w:r>
          </w:p>
        </w:tc>
        <w:tc>
          <w:tcPr>
            <w:tcW w:w="1260" w:type="dxa"/>
            <w:vAlign w:val="bottom"/>
            <w:gridSpan w:val="2"/>
          </w:tcPr>
          <w:p>
            <w:pPr>
              <w:jc w:val="center"/>
              <w:ind w:right="140"/>
              <w:spacing w:after="0" w:line="156" w:lineRule="exact"/>
              <w:rPr>
                <w:sz w:val="20"/>
                <w:szCs w:val="20"/>
                <w:color w:val="auto"/>
              </w:rPr>
            </w:pPr>
            <w:r>
              <w:rPr>
                <w:rFonts w:ascii="Arial" w:cs="Arial" w:eastAsia="Arial" w:hAnsi="Arial"/>
                <w:sz w:val="14"/>
                <w:szCs w:val="14"/>
                <w:color w:val="auto"/>
                <w:w w:val="78"/>
              </w:rPr>
              <w:t>C</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Ivy Ross, Director</w:t>
            </w:r>
          </w:p>
        </w:tc>
        <w:tc>
          <w:tcPr>
            <w:tcW w:w="60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64</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2013</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center"/>
              <w:ind w:right="120"/>
              <w:spacing w:after="0" w:line="156" w:lineRule="exact"/>
              <w:rPr>
                <w:sz w:val="20"/>
                <w:szCs w:val="20"/>
                <w:color w:val="auto"/>
              </w:rPr>
            </w:pPr>
            <w:r>
              <w:rPr>
                <w:rFonts w:ascii="Arial" w:cs="Arial" w:eastAsia="Arial" w:hAnsi="Arial"/>
                <w:sz w:val="14"/>
                <w:szCs w:val="14"/>
                <w:color w:val="auto"/>
              </w:rPr>
              <w:t>X</w:t>
            </w:r>
          </w:p>
        </w:tc>
        <w:tc>
          <w:tcPr>
            <w:tcW w:w="106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328"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2010 and was appointed Chairman of the Board in January 2019. From February 2017 through January 2019, Mr.</w:t>
      </w:r>
      <w:r>
        <w:rPr>
          <w:rFonts w:ascii="Arial" w:cs="Arial" w:eastAsia="Arial" w:hAnsi="Arial"/>
          <w:sz w:val="16"/>
          <w:szCs w:val="16"/>
          <w:i w:val="1"/>
          <w:iCs w:val="1"/>
          <w:color w:val="auto"/>
        </w:rPr>
        <w:t xml:space="preserve"> </w:t>
      </w:r>
      <w:r>
        <w:rPr>
          <w:rFonts w:ascii="Arial" w:cs="Arial" w:eastAsia="Arial" w:hAnsi="Arial"/>
          <w:sz w:val="16"/>
          <w:szCs w:val="16"/>
          <w:color w:val="auto"/>
        </w:rPr>
        <w:t>Kyees served as the Company's Lead Independent Director. From February 2014 until May 2014, Mr. Kyees served as Interim Chief Financial Officer of the Company. In 2010, Mr. Kyees retired as the chief investor relations officer from Urban Outfitters, Inc., a retail chain, after serving as chief financial officer from 2003 to 2010. Mr. Kyees serves as lead independent director and chairman of the audit committee of Vera Bradley, Inc., a publicly-traded company. Mr. Kyees is also a director and chairman of the audit committee of Arhaus Furniture, a privately-held retailer. Mr. Kyees served as Interim Chief Financial Officer for Arhaus Furniture from November 2015 to March 2016. Mr. Kyees previously served as a director and member of the audit committee of Rackwise, Inc., a publicly-traded company. Mr. Kyees brings to the Board extensive executive-level retail experience having served as chief financial officer for several prominent retailers. His insight with respect to merchandising, operational activities and finance is an asset to our Board.</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i w:val="1"/>
          <w:iCs w:val="1"/>
          <w:color w:val="auto"/>
        </w:rPr>
        <w:t xml:space="preserve">Harvey S. Kanter </w:t>
      </w:r>
      <w:r>
        <w:rPr>
          <w:rFonts w:ascii="Arial" w:cs="Arial" w:eastAsia="Arial" w:hAnsi="Arial"/>
          <w:sz w:val="16"/>
          <w:szCs w:val="16"/>
          <w:color w:val="auto"/>
        </w:rPr>
        <w:t>is the President, Chief Executive Officer and a director of the Company. Mr. Kanter joined the Company in February 2019 in a transition role</w:t>
      </w:r>
      <w:r>
        <w:rPr>
          <w:rFonts w:ascii="Arial" w:cs="Arial" w:eastAsia="Arial" w:hAnsi="Arial"/>
          <w:sz w:val="16"/>
          <w:szCs w:val="16"/>
          <w:i w:val="1"/>
          <w:iCs w:val="1"/>
          <w:color w:val="auto"/>
        </w:rPr>
        <w:t xml:space="preserve"> </w:t>
      </w:r>
      <w:r>
        <w:rPr>
          <w:rFonts w:ascii="Arial" w:cs="Arial" w:eastAsia="Arial" w:hAnsi="Arial"/>
          <w:sz w:val="16"/>
          <w:szCs w:val="16"/>
          <w:color w:val="auto"/>
        </w:rPr>
        <w:t>as Advisor to the Acting CEO and assumed the role of President and Chief Executive Officer and a director of the Company in April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Mr. Kanter served as a director and a member of the compensation committee of Potbelly Corporation, a publicly-traded company, from August 2015 until May 2019. He is also a brand ambassador for the Fred Hutch Cancer Research Institute, and is an advisory member to the Seattle University Executive MBA Program. Mr. Kanter brings an extensive knowledge of omni-channel retailing, with strong strategic and operational expertise.</w:t>
      </w:r>
    </w:p>
    <w:p>
      <w:pPr>
        <w:spacing w:after="0" w:line="16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i w:val="1"/>
          <w:iCs w:val="1"/>
          <w:color w:val="auto"/>
        </w:rPr>
        <w:t xml:space="preserve">Jack Boyle </w:t>
      </w:r>
      <w:r>
        <w:rPr>
          <w:rFonts w:ascii="Arial" w:cs="Arial" w:eastAsia="Arial" w:hAnsi="Arial"/>
          <w:sz w:val="16"/>
          <w:szCs w:val="16"/>
          <w:color w:val="auto"/>
        </w:rPr>
        <w:t>has been a director since August 2017. Since February 2019, Mr. Boyle has been the global co-president of direct to consumer/omni channel for</w:t>
      </w:r>
      <w:r>
        <w:rPr>
          <w:rFonts w:ascii="Arial" w:cs="Arial" w:eastAsia="Arial" w:hAnsi="Arial"/>
          <w:sz w:val="16"/>
          <w:szCs w:val="16"/>
          <w:i w:val="1"/>
          <w:iCs w:val="1"/>
          <w:color w:val="auto"/>
        </w:rPr>
        <w:t xml:space="preserve"> </w:t>
      </w:r>
      <w:r>
        <w:rPr>
          <w:rFonts w:ascii="Arial" w:cs="Arial" w:eastAsia="Arial" w:hAnsi="Arial"/>
          <w:sz w:val="16"/>
          <w:szCs w:val="16"/>
          <w:color w:val="auto"/>
        </w:rPr>
        <w:t>Fanatics, Inc., a market leader for officially licensed sports merchandise. Prior to that, from December 2017 to February 2019, Mr. Boyle was the co-president of North America direct to consumer/omni channel. He originally joined the company as president of merchandising in June 2012.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 w:name="page4"/>
    <w:bookmarkEnd w:id="3"/>
    <w:p>
      <w:pPr>
        <w:spacing w:after="0" w:line="278" w:lineRule="auto"/>
        <w:rPr>
          <w:sz w:val="20"/>
          <w:szCs w:val="20"/>
          <w:color w:val="auto"/>
        </w:rPr>
      </w:pPr>
      <w:r>
        <w:rPr>
          <w:rFonts w:ascii="Arial" w:cs="Arial" w:eastAsia="Arial" w:hAnsi="Arial"/>
          <w:sz w:val="16"/>
          <w:szCs w:val="16"/>
          <w:i w:val="1"/>
          <w:iCs w:val="1"/>
          <w:color w:val="auto"/>
        </w:rPr>
        <w:t xml:space="preserve">Lionel F. Conacher </w:t>
      </w:r>
      <w:r>
        <w:rPr>
          <w:rFonts w:ascii="Arial" w:cs="Arial" w:eastAsia="Arial" w:hAnsi="Arial"/>
          <w:sz w:val="16"/>
          <w:szCs w:val="16"/>
          <w:color w:val="auto"/>
        </w:rPr>
        <w:t>has been a director since June 2018. From January 2011 to June 2018, Mr. Conacher was a senior advisor for Altamont Capital Partners LLC</w:t>
      </w:r>
      <w:r>
        <w:rPr>
          <w:rFonts w:ascii="Arial" w:cs="Arial" w:eastAsia="Arial" w:hAnsi="Arial"/>
          <w:sz w:val="16"/>
          <w:szCs w:val="16"/>
          <w:i w:val="1"/>
          <w:iCs w:val="1"/>
          <w:color w:val="auto"/>
        </w:rPr>
        <w:t xml:space="preserve"> </w:t>
      </w:r>
      <w:r>
        <w:rPr>
          <w:rFonts w:ascii="Arial" w:cs="Arial" w:eastAsia="Arial" w:hAnsi="Arial"/>
          <w:sz w:val="16"/>
          <w:szCs w:val="16"/>
          <w:color w:val="auto"/>
        </w:rPr>
        <w:t>(“ACP”), a private equity firm. Mr. Conacher left ACP on June 30, 2018 to pursue the development of a new venture capital fund, Next Ventures Management, LLC. Mr. Conacher became managing partner of Next Ventures, GP in August 2018.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currently serves as a member of the board of directors for AmpHP Inc., a venture-backed human performance company. He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the Board.</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i w:val="1"/>
          <w:iCs w:val="1"/>
          <w:color w:val="auto"/>
        </w:rPr>
        <w:t xml:space="preserve">Seymour Holtzman </w:t>
      </w:r>
      <w:r>
        <w:rPr>
          <w:rFonts w:ascii="Arial" w:cs="Arial" w:eastAsia="Arial" w:hAnsi="Arial"/>
          <w:sz w:val="15"/>
          <w:szCs w:val="15"/>
          <w:color w:val="auto"/>
        </w:rPr>
        <w:t>has been a director since April 2000. From August 2014 to January 2019, Mr. Holtzman served as our Executive Chairman of the Board and</w:t>
      </w:r>
      <w:r>
        <w:rPr>
          <w:rFonts w:ascii="Arial" w:cs="Arial" w:eastAsia="Arial" w:hAnsi="Arial"/>
          <w:sz w:val="15"/>
          <w:szCs w:val="15"/>
          <w:i w:val="1"/>
          <w:iCs w:val="1"/>
          <w:color w:val="auto"/>
        </w:rPr>
        <w:t xml:space="preserve"> </w:t>
      </w:r>
      <w:r>
        <w:rPr>
          <w:rFonts w:ascii="Arial" w:cs="Arial" w:eastAsia="Arial" w:hAnsi="Arial"/>
          <w:sz w:val="15"/>
          <w:szCs w:val="15"/>
          <w:color w:val="auto"/>
        </w:rPr>
        <w:t>from April 2000 to August 2014 as Chairman of the Board. Mr. Holtzman has been involved in the retail business for over 40 years. For many years, he has been the president and chief executive officer of Jewelcor, Incorporated, a former New York Stock Exchange listed company that operated a chain of retail stores.</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an indirect owner of C.D. Peacock, Inc., a Chicago, Illinois retail jewelry establishment, and is the managing member of Luxury Swiss, LLC, a retail Rolex watch establishment. Mr. Holtzman was formerly an officer of Homeclick LLC, which is currently the subject of an assignment for the benefit of creditors insolvency proceeding. Mr. Holtzman is a successful entrepreneur with extensive experience working with public companies and provides valuable insight to the Board with respect to strategic planning.</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2014. Since January 2005, Mr. Mesdag has been the managing partner of Red Mountain Capital Partners LLC,</w:t>
      </w:r>
      <w:r>
        <w:rPr>
          <w:rFonts w:ascii="Arial" w:cs="Arial" w:eastAsia="Arial" w:hAnsi="Arial"/>
          <w:sz w:val="16"/>
          <w:szCs w:val="16"/>
          <w:i w:val="1"/>
          <w:iCs w:val="1"/>
          <w:color w:val="auto"/>
        </w:rPr>
        <w:t xml:space="preserve"> </w:t>
      </w:r>
      <w:r>
        <w:rPr>
          <w:rFonts w:ascii="Arial" w:cs="Arial" w:eastAsia="Arial" w:hAnsi="Arial"/>
          <w:sz w:val="16"/>
          <w:szCs w:val="16"/>
          <w:color w:val="auto"/>
        </w:rPr>
        <w:t>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Encore Capital Group, Inc., Nature’s Sunshine Products, Inc. and Yuma Energy, Inc., all of which are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and corporate governance.</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color w:val="auto"/>
        </w:rPr>
        <w:t xml:space="preserve">Ward K. Mooney </w:t>
      </w:r>
      <w:r>
        <w:rPr>
          <w:rFonts w:ascii="Arial" w:cs="Arial" w:eastAsia="Arial" w:hAnsi="Arial"/>
          <w:sz w:val="17"/>
          <w:szCs w:val="17"/>
          <w:color w:val="auto"/>
        </w:rPr>
        <w:t>has been a director since July 2006. Mr. Mooney was a co-founder of Crystal Financial LLC, formerly Crystal Capital, and served as its CEO</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2010 until his retirement in December 2017. From April 2006 to April 2010, Mr. Mooney was the Senior Managing Partner of Crystal Capital. Prior to April 2006, Mr. Mooney was the president of Bank of America Retail Finance Group and managing partner of Back Bay Capital, which Mr. Mooney co-founded and both of which were formerly Bank of Boston businesses. Mr. Mooney provides the Board with valuable insight with respect to his extensive experience as a lender in the retail industry.</w:t>
      </w:r>
    </w:p>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has been a director since May 2007. Since April 2020, Mr. Presser has been a partner of Mergers + Acquisitions and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at Morrison &amp; Foerster and also serves as co-chair of the firm’s Global Corporate Department. From July 2014 until April 2020, Mr. Presser was a partner and the head of U.S. Global Transactions at Freshfields Bruckhaus Deringer LLP. From January 2014 until July 2014, Mr. Presser was a senior advisor to Paine Schwartz Partners (formerly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Presser’s extensive experience in private equity and strategic planning provides valuable insight to the Board.</w:t>
      </w:r>
    </w:p>
    <w:p>
      <w:pPr>
        <w:spacing w:after="0" w:line="166"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i w:val="1"/>
          <w:iCs w:val="1"/>
          <w:color w:val="auto"/>
        </w:rPr>
        <w:t xml:space="preserve">Ivy Ross </w:t>
      </w:r>
      <w:r>
        <w:rPr>
          <w:rFonts w:ascii="Arial" w:cs="Arial" w:eastAsia="Arial" w:hAnsi="Arial"/>
          <w:sz w:val="15"/>
          <w:szCs w:val="15"/>
          <w:color w:val="auto"/>
        </w:rPr>
        <w:t>has been a director since January 2013. In May 2014, Ms. Ross joined Google as head of Glass and is currently a vice president, design for hardware</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5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All directors hold office until the next Annual Meeting of Stockholders and until their respective successors have been duly elected and qualified or until their earlier death, resignation or removal.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Current Non-Director Executive Officers</w:t>
      </w:r>
    </w:p>
    <w:p>
      <w:pPr>
        <w:spacing w:after="0" w:line="117"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i w:val="1"/>
          <w:iCs w:val="1"/>
          <w:color w:val="auto"/>
        </w:rPr>
        <w:t>Peter H. Stratton, Jr.</w:t>
      </w:r>
      <w:r>
        <w:rPr>
          <w:rFonts w:ascii="Arial" w:cs="Arial" w:eastAsia="Arial" w:hAnsi="Arial"/>
          <w:sz w:val="15"/>
          <w:szCs w:val="15"/>
          <w:color w:val="auto"/>
        </w:rPr>
        <w:t>, 48, has been our Executive Vice President, Chief Financial Officer and Treasurer since November 2017. Prior to that, Mr. Stratton served</w:t>
      </w:r>
      <w:r>
        <w:rPr>
          <w:rFonts w:ascii="Arial" w:cs="Arial" w:eastAsia="Arial" w:hAnsi="Arial"/>
          <w:sz w:val="15"/>
          <w:szCs w:val="15"/>
          <w:i w:val="1"/>
          <w:iCs w:val="1"/>
          <w:color w:val="auto"/>
        </w:rPr>
        <w:t xml:space="preserve"> </w:t>
      </w:r>
      <w:r>
        <w:rPr>
          <w:rFonts w:ascii="Arial" w:cs="Arial" w:eastAsia="Arial" w:hAnsi="Arial"/>
          <w:sz w:val="15"/>
          <w:szCs w:val="15"/>
          <w:color w:val="auto"/>
        </w:rPr>
        <w:t>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2009. Prior to May 2007, Mr. Stratton held various finance and accounting leadership positions at Legal Sea Foods, Inc., Shaw’s Supermarkets, Inc. and Cintas Corporation.</w:t>
      </w:r>
    </w:p>
    <w:p>
      <w:pPr>
        <w:spacing w:after="0" w:line="17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color w:val="auto"/>
        </w:rPr>
        <w:t xml:space="preserve">Francis C. Chane, </w:t>
      </w:r>
      <w:r>
        <w:rPr>
          <w:rFonts w:ascii="Arial" w:cs="Arial" w:eastAsia="Arial" w:hAnsi="Arial"/>
          <w:sz w:val="17"/>
          <w:szCs w:val="17"/>
          <w:color w:val="auto"/>
        </w:rPr>
        <w:t>57, has been our Senior Vice President of Supply Chain and Customer Fulfillment since June 2011. Mr. Chane joined the Company in June</w:t>
      </w:r>
      <w:r>
        <w:rPr>
          <w:rFonts w:ascii="Arial" w:cs="Arial" w:eastAsia="Arial" w:hAnsi="Arial"/>
          <w:sz w:val="17"/>
          <w:szCs w:val="17"/>
          <w:i w:val="1"/>
          <w:iCs w:val="1"/>
          <w:color w:val="auto"/>
        </w:rPr>
        <w:t xml:space="preserve"> </w:t>
      </w:r>
      <w:r>
        <w:rPr>
          <w:rFonts w:ascii="Arial" w:cs="Arial" w:eastAsia="Arial" w:hAnsi="Arial"/>
          <w:sz w:val="17"/>
          <w:szCs w:val="17"/>
          <w:color w:val="auto"/>
        </w:rPr>
        <w:t>2008 as our Vice President of Distribution &amp; Logistics. Prior to joining our Company, Mr. Chane was 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John F. Cooney</w:t>
      </w:r>
      <w:r>
        <w:rPr>
          <w:rFonts w:ascii="Arial" w:cs="Arial" w:eastAsia="Arial" w:hAnsi="Arial"/>
          <w:sz w:val="17"/>
          <w:szCs w:val="17"/>
          <w:color w:val="auto"/>
        </w:rPr>
        <w:t>, 37, has been our Vice President of Finance and Managing Director, Corporate Controller and Chief Accounting Officer since May 2018 and was</w:t>
      </w:r>
      <w:r>
        <w:rPr>
          <w:rFonts w:ascii="Arial" w:cs="Arial" w:eastAsia="Arial" w:hAnsi="Arial"/>
          <w:sz w:val="17"/>
          <w:szCs w:val="17"/>
          <w:i w:val="1"/>
          <w:iCs w:val="1"/>
          <w:color w:val="auto"/>
        </w:rPr>
        <w:t xml:space="preserve"> </w:t>
      </w:r>
      <w:r>
        <w:rPr>
          <w:rFonts w:ascii="Arial" w:cs="Arial" w:eastAsia="Arial" w:hAnsi="Arial"/>
          <w:sz w:val="17"/>
          <w:szCs w:val="17"/>
          <w:color w:val="auto"/>
        </w:rPr>
        <w:t>our Vice President of Finance, Corporate Controller and Chief Accounting Officer since May 2015 and our Vice President of Finance and Corporate Controller since June 2014. From November 2010 until June 2014, Mr. Cooney was our Director of Financial Accounting and Reporting. Prior to joining the Company, Mr. Cooney was an audit manager with PricewaterhouseCoopers LLP, which he joined in August 2004.</w:t>
      </w:r>
    </w:p>
    <w:p>
      <w:pPr>
        <w:spacing w:after="0" w:line="175"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Ujjwal Dhoot</w:t>
      </w:r>
      <w:r>
        <w:rPr>
          <w:rFonts w:ascii="Arial" w:cs="Arial" w:eastAsia="Arial" w:hAnsi="Arial"/>
          <w:sz w:val="16"/>
          <w:szCs w:val="16"/>
          <w:color w:val="auto"/>
        </w:rPr>
        <w:t>, 36, has been our Chief Digital Officer since December 2019 and an officer of the Company since May 2020. Prior to joining our Company, Mr.</w:t>
      </w:r>
      <w:r>
        <w:rPr>
          <w:rFonts w:ascii="Arial" w:cs="Arial" w:eastAsia="Arial" w:hAnsi="Arial"/>
          <w:sz w:val="16"/>
          <w:szCs w:val="16"/>
          <w:i w:val="1"/>
          <w:iCs w:val="1"/>
          <w:color w:val="auto"/>
        </w:rPr>
        <w:t xml:space="preserve"> </w:t>
      </w:r>
      <w:r>
        <w:rPr>
          <w:rFonts w:ascii="Arial" w:cs="Arial" w:eastAsia="Arial" w:hAnsi="Arial"/>
          <w:sz w:val="16"/>
          <w:szCs w:val="16"/>
          <w:color w:val="auto"/>
        </w:rPr>
        <w:t>Dhoot was the chief marketing officer and chief product officer for Health E-Commerce, a hyper growth healthcare e-Commerce company, from January 2018 to December 2019. Prior to that, Mr. Dhoot was the vice president of marketing for Charming Charlie from March 2017 until April 2017 and their vice president of marketing and e-commerce from April 2017 until January 2018. From June 2013 until March 2016, Mr. Dhoot was the chief marketing officer of FSAstore.com. Prior to that, Mr. Dhoot held vice president of marketing positions at Jen Beckman Project, Inc. and PetCareRx, Inc.</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 xml:space="preserve">Anthony J. Gaeta, </w:t>
      </w:r>
      <w:r>
        <w:rPr>
          <w:rFonts w:ascii="Arial" w:cs="Arial" w:eastAsia="Arial" w:hAnsi="Arial"/>
          <w:sz w:val="17"/>
          <w:szCs w:val="17"/>
          <w:color w:val="auto"/>
        </w:rPr>
        <w:t>50, has been our Senior Vice President of Store Sales and Operations since November 2017. Mr. Gaeta joined the Company in April 2010 as a</w:t>
      </w:r>
      <w:r>
        <w:rPr>
          <w:rFonts w:ascii="Arial" w:cs="Arial" w:eastAsia="Arial" w:hAnsi="Arial"/>
          <w:sz w:val="17"/>
          <w:szCs w:val="17"/>
          <w:i w:val="1"/>
          <w:iCs w:val="1"/>
          <w:color w:val="auto"/>
        </w:rPr>
        <w:t xml:space="preserve"> </w:t>
      </w:r>
      <w:r>
        <w:rPr>
          <w:rFonts w:ascii="Arial" w:cs="Arial" w:eastAsia="Arial" w:hAnsi="Arial"/>
          <w:sz w:val="17"/>
          <w:szCs w:val="17"/>
          <w:color w:val="auto"/>
        </w:rPr>
        <w:t>Zone Vice President and was promoted to Vice President of Store Operations and Training in November 2013 before being named to his current position. Prior to joining the Company, Mr. Gaeta was a regional manager for Men’s Wearhouse from September 2007 until April 2011 and, prior to that, a regional vice president for After Hours Formalwear from March 2006 until September 2007</w:t>
      </w:r>
      <w:r>
        <w:rPr>
          <w:rFonts w:ascii="Arial" w:cs="Arial" w:eastAsia="Arial" w:hAnsi="Arial"/>
          <w:sz w:val="15"/>
          <w:szCs w:val="15"/>
          <w:color w:val="auto"/>
        </w:rPr>
        <w:t>.</w:t>
      </w:r>
    </w:p>
    <w:p>
      <w:pPr>
        <w:spacing w:after="0" w:line="14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i w:val="1"/>
          <w:iCs w:val="1"/>
          <w:color w:val="auto"/>
        </w:rPr>
        <w:t xml:space="preserve">Robert S. Molloy, </w:t>
      </w:r>
      <w:r>
        <w:rPr>
          <w:rFonts w:ascii="Arial" w:cs="Arial" w:eastAsia="Arial" w:hAnsi="Arial"/>
          <w:sz w:val="17"/>
          <w:szCs w:val="17"/>
          <w:color w:val="auto"/>
        </w:rPr>
        <w:t>60, has been our Chief Administrative Officer, General Counsel and Secretary since May 2018, having previously served as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General Counsel since April 2010 and Secretary of the Company since May 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36"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i w:val="1"/>
          <w:iCs w:val="1"/>
          <w:color w:val="auto"/>
        </w:rPr>
        <w:t>Allison Surette</w:t>
      </w:r>
      <w:r>
        <w:rPr>
          <w:rFonts w:ascii="Arial" w:cs="Arial" w:eastAsia="Arial" w:hAnsi="Arial"/>
          <w:sz w:val="15"/>
          <w:szCs w:val="15"/>
          <w:color w:val="auto"/>
        </w:rPr>
        <w:t>, 39, has been our Senior Vice President General Merchandise Manager since May 2018. Prior to that, Ms. Surette was Vice President</w:t>
      </w:r>
      <w:r>
        <w:rPr>
          <w:rFonts w:ascii="Arial" w:cs="Arial" w:eastAsia="Arial" w:hAnsi="Arial"/>
          <w:sz w:val="15"/>
          <w:szCs w:val="15"/>
          <w:i w:val="1"/>
          <w:iCs w:val="1"/>
          <w:color w:val="auto"/>
        </w:rPr>
        <w:t xml:space="preserve"> </w:t>
      </w:r>
      <w:r>
        <w:rPr>
          <w:rFonts w:ascii="Arial" w:cs="Arial" w:eastAsia="Arial" w:hAnsi="Arial"/>
          <w:sz w:val="15"/>
          <w:szCs w:val="15"/>
          <w:color w:val="auto"/>
        </w:rPr>
        <w:t>Merchandise Manager of Private Label, Active, Young Men’s and Outerwear since September 2016.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between any of our directors and executive officers.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12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Audit Committee</w:t>
      </w:r>
    </w:p>
    <w:p>
      <w:pPr>
        <w:spacing w:after="0" w:line="2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have a separately-designated standing Audit Committee established in accordance with section 3(a)(58)(A) of the Exchange Act. The Audit Committee is currently comprised of Messrs. Mooney, Conacher, Kyees and Mesdag. Each of the members of the Audit Committee is independent, as independence for Audit Committee members is defined under the rules of Nasdaq. Messrs. Conacher, Mesdag, Mooney and Kyees each qualify as an audit committee financial expert under the rules of the Securities Exchange Commission (the “SEC”).</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Nominations</w:t>
      </w:r>
    </w:p>
    <w:p>
      <w:pPr>
        <w:spacing w:after="0" w:line="22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No material changes have been made to the procedures by which security holders may recommend nominees to our Board from those that were described in our Definitive Proxy Statement for our 2019 Annual Meeting of Stockholders that was filed with the SEC on July 2, 2019.</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180"/>
          </w:cols>
          <w:pgMar w:left="320" w:top="538" w:right="39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2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Compensation Discussion and Analysis provides a summary of our executive compensation philosophy and programs, and discusses the compensation paid to our Chief Executive Officer (“CEO”), our Chief Financial Officer (“CFO”) and other current and former executive officers who served in fiscal 2019 (collectively, our “Named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Our Named Executive Officers for fiscal 2019 were:</w:t>
      </w:r>
    </w:p>
    <w:p>
      <w:pPr>
        <w:spacing w:after="0" w:line="221" w:lineRule="exact"/>
        <w:rPr>
          <w:sz w:val="20"/>
          <w:szCs w:val="20"/>
          <w:color w:val="auto"/>
        </w:rPr>
      </w:pPr>
    </w:p>
    <w:p>
      <w:pPr>
        <w:ind w:left="1120" w:hanging="373"/>
        <w:spacing w:after="0"/>
        <w:tabs>
          <w:tab w:leader="none" w:pos="11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Harvey S. Kanter, President, CEO and Director</w:t>
      </w:r>
    </w:p>
    <w:p>
      <w:pPr>
        <w:spacing w:after="0" w:line="26" w:lineRule="exact"/>
        <w:rPr>
          <w:rFonts w:ascii="MS PGothic" w:cs="MS PGothic" w:eastAsia="MS PGothic" w:hAnsi="MS PGothic"/>
          <w:sz w:val="17"/>
          <w:szCs w:val="17"/>
          <w:color w:val="auto"/>
        </w:rPr>
      </w:pPr>
    </w:p>
    <w:p>
      <w:pPr>
        <w:ind w:left="1120" w:hanging="373"/>
        <w:spacing w:after="0"/>
        <w:tabs>
          <w:tab w:leader="none" w:pos="11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David A. Levin, former Acting CEO</w:t>
      </w:r>
    </w:p>
    <w:p>
      <w:pPr>
        <w:spacing w:after="0" w:line="12" w:lineRule="exact"/>
        <w:rPr>
          <w:rFonts w:ascii="MS PGothic" w:cs="MS PGothic" w:eastAsia="MS PGothic" w:hAnsi="MS PGothic"/>
          <w:sz w:val="17"/>
          <w:szCs w:val="17"/>
          <w:color w:val="auto"/>
        </w:rPr>
      </w:pPr>
    </w:p>
    <w:p>
      <w:pPr>
        <w:ind w:left="1120" w:hanging="373"/>
        <w:spacing w:after="0"/>
        <w:tabs>
          <w:tab w:leader="none" w:pos="11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Peter H. Stratton, Jr., Executive Vice President, CFO and Treasurer</w:t>
      </w:r>
    </w:p>
    <w:p>
      <w:pPr>
        <w:spacing w:after="0" w:line="12" w:lineRule="exact"/>
        <w:rPr>
          <w:rFonts w:ascii="MS PGothic" w:cs="MS PGothic" w:eastAsia="MS PGothic" w:hAnsi="MS PGothic"/>
          <w:sz w:val="17"/>
          <w:szCs w:val="17"/>
          <w:color w:val="auto"/>
        </w:rPr>
      </w:pPr>
    </w:p>
    <w:p>
      <w:pPr>
        <w:ind w:left="1120" w:hanging="373"/>
        <w:spacing w:after="0"/>
        <w:tabs>
          <w:tab w:leader="none" w:pos="11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Robert S. Molloy, Chief Administrative Officer, General Counsel and Secretary</w:t>
      </w:r>
    </w:p>
    <w:p>
      <w:pPr>
        <w:spacing w:after="0" w:line="12" w:lineRule="exact"/>
        <w:rPr>
          <w:rFonts w:ascii="MS PGothic" w:cs="MS PGothic" w:eastAsia="MS PGothic" w:hAnsi="MS PGothic"/>
          <w:sz w:val="17"/>
          <w:szCs w:val="17"/>
          <w:color w:val="auto"/>
        </w:rPr>
      </w:pPr>
    </w:p>
    <w:p>
      <w:pPr>
        <w:ind w:left="1120" w:hanging="373"/>
        <w:spacing w:after="0"/>
        <w:tabs>
          <w:tab w:leader="none" w:pos="11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Francis C. Chane, Senior Vice President, Supply Chain and Customer Fulfillment</w:t>
      </w:r>
    </w:p>
    <w:p>
      <w:pPr>
        <w:spacing w:after="0" w:line="12" w:lineRule="exact"/>
        <w:rPr>
          <w:rFonts w:ascii="MS PGothic" w:cs="MS PGothic" w:eastAsia="MS PGothic" w:hAnsi="MS PGothic"/>
          <w:sz w:val="17"/>
          <w:szCs w:val="17"/>
          <w:color w:val="auto"/>
        </w:rPr>
      </w:pPr>
    </w:p>
    <w:p>
      <w:pPr>
        <w:ind w:left="1120" w:hanging="373"/>
        <w:spacing w:after="0"/>
        <w:tabs>
          <w:tab w:leader="none" w:pos="11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Anthony J. Gaeta, Senior Vice President of Store Sales and Operations</w:t>
      </w:r>
    </w:p>
    <w:p>
      <w:pPr>
        <w:spacing w:after="0" w:line="12" w:lineRule="exact"/>
        <w:rPr>
          <w:rFonts w:ascii="MS PGothic" w:cs="MS PGothic" w:eastAsia="MS PGothic" w:hAnsi="MS PGothic"/>
          <w:sz w:val="17"/>
          <w:szCs w:val="17"/>
          <w:color w:val="auto"/>
        </w:rPr>
      </w:pPr>
    </w:p>
    <w:p>
      <w:pPr>
        <w:ind w:left="1120" w:hanging="373"/>
        <w:spacing w:after="0"/>
        <w:tabs>
          <w:tab w:leader="none" w:pos="11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Brian S. Reaves, former Executive Vice President and Chief Operating Officer</w:t>
      </w:r>
    </w:p>
    <w:p>
      <w:pPr>
        <w:spacing w:after="0" w:line="12" w:lineRule="exact"/>
        <w:rPr>
          <w:rFonts w:ascii="MS PGothic" w:cs="MS PGothic" w:eastAsia="MS PGothic" w:hAnsi="MS PGothic"/>
          <w:sz w:val="17"/>
          <w:szCs w:val="17"/>
          <w:color w:val="auto"/>
        </w:rPr>
      </w:pPr>
    </w:p>
    <w:p>
      <w:pPr>
        <w:ind w:left="1120" w:hanging="373"/>
        <w:spacing w:after="0"/>
        <w:tabs>
          <w:tab w:leader="none" w:pos="11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James S. Davey, former Executive Vice President and Chief Marketing Officer</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Management Changes in 2019</w:t>
      </w:r>
    </w:p>
    <w:p>
      <w:pPr>
        <w:spacing w:after="0" w:line="117" w:lineRule="exact"/>
        <w:rPr>
          <w:sz w:val="20"/>
          <w:szCs w:val="20"/>
          <w:color w:val="auto"/>
        </w:rPr>
      </w:pPr>
    </w:p>
    <w:p>
      <w:pPr>
        <w:jc w:val="both"/>
        <w:ind w:right="260"/>
        <w:spacing w:after="0" w:line="295" w:lineRule="auto"/>
        <w:rPr>
          <w:sz w:val="20"/>
          <w:szCs w:val="20"/>
          <w:color w:val="auto"/>
        </w:rPr>
      </w:pPr>
      <w:r>
        <w:rPr>
          <w:rFonts w:ascii="Arial" w:cs="Arial" w:eastAsia="Arial" w:hAnsi="Arial"/>
          <w:sz w:val="16"/>
          <w:szCs w:val="16"/>
          <w:color w:val="auto"/>
        </w:rPr>
        <w:t>Our CEO was initially hired on February 19, 2019 in a transition role as Advisor to the Acting CEO, and was appointed President, CEO and a director of the Company on April 1, 2019. Prior to Mr. Kanter’s appointment, Mr. Levin served as Acting CEO from January 1, 2019 until April 1, 2019. See “</w:t>
      </w:r>
      <w:r>
        <w:rPr>
          <w:rFonts w:ascii="Arial" w:cs="Arial" w:eastAsia="Arial" w:hAnsi="Arial"/>
          <w:sz w:val="16"/>
          <w:szCs w:val="16"/>
          <w:i w:val="1"/>
          <w:iCs w:val="1"/>
          <w:color w:val="auto"/>
        </w:rPr>
        <w:t>Employment</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below for discussion regarding Mr. Kanter’s employment agreement and the terms of Mr. Levin’s service as Acting CEO.</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COVID-19 Update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While this CD&amp;A discussion primarily relates to compensation paid to our executives during fiscal 2019, the COVID-19 pandemic has impacted recent decision-making by the Compensation Committee. As part of our commitment to cost containment in mitigation of the COVID-19 pandemic impact on our business, in April 2020, Messrs. Kanter, Stratton, Molloy, Chane and Gaeta each took a temporary 20% reduction in their respective base salaries. Each of the other members of the management team, down to the director level, took a temporary reduction in their base salaries ranging from 10% to 20%. The Compensation Committee approved the payout of awards in March 2020 for amounts earned under the 2019 AIP, but because of the uncertainty surrounding the COVID-19 pandemic, has not established an AIP for fiscal 2020. Similarly, with respect to our long-term incentive plans, no long-term incentive plan for the 2020-2022 performance period has been established, and the Compensation Committee has not made any adjustments to any existing targets under the 2018-2020 LTIP or 2019-2021 LTIP. The Compensation Committee will continue to evaluate the impact of COVID-19 in relation to the financial performance of the Company and therefore on executive compensation, during this unprecedented time.</w:t>
      </w:r>
    </w:p>
    <w:p>
      <w:pPr>
        <w:spacing w:after="0" w:line="6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addition, in March 2020, the non-employee directors suspended their compensation for the second quarter of fiscal 2020. The Board of Directors is meeting telephonically with management on a weekly basis as we continue to navigate through this pandemic.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Fiscal 2019 Financial Highlights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Fiscal 2019 was a year of significant transformation for the Company. The Company realigned its management team and exited an unprofitable line of business with the closure of the Company’s Rochester division. The Company also completed its first full year with our new wholesale business, invested in new CRM and data analytics capabilities, and converted 14 Casual Male stores to the DXL format.</w:t>
      </w:r>
    </w:p>
    <w:p>
      <w:pPr>
        <w:spacing w:after="0" w:line="6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Company’s performance in fiscal 2019 resulted in an improved balance sheet, with reduced inventory and a reduction in our total debt. Total sales for fiscal 2019 increased slightly to $474.0 million, principally driven by the growth from the Company’s wholesale business. Our retail segment had a comparable sales increase of 0.1%, driven primarily by the growth in our direct business, and offset by a decrease in store sales from a decline in traffic as well as from the closing of our Rochester Clothing stores.</w:t>
      </w:r>
    </w:p>
    <w:p>
      <w:pPr>
        <w:spacing w:after="0" w:line="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Although our total sales from our retail segment were less than expected during fiscal 2019, we effectively managed our gross margin and reduced our selling, general and administrative (SG&amp;A) expenses, which contributed to our improved operating results. Our net loss for fiscal 2019 was $(0.16) per diluted share as compared to a net loss of $(0.28) per diluted share in fiscal 2018.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u w:val="single" w:color="auto"/>
          <w:color w:val="auto"/>
        </w:rPr>
        <w:t>Fiscal 2019 Executive Compensation Highlights</w:t>
      </w:r>
    </w:p>
    <w:p>
      <w:pPr>
        <w:spacing w:after="0" w:line="22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believe that the compensation earned by our Named Executive Officers in fiscal 2019 is aligned with the performance of the Company, and reflects that, although there was improvement in the financial results of the Company, overall results for the year were below expectations. As a result, total compensation earned by our Named Executive Officers in fiscal 2019 decreased when compared to fiscal 2018. The decrease in compensation reflects a reduced payout under the Company’s 2019 AIP and a shift in the time-based compensation under the 2019-2021 LTIP from 100% equity to a combination of 50% equity and 50% cash. In addition, because of the switch in fiscal 2018 from a two-year LTIP to a three-year LTIP, there was no opportunity in fiscal 2019 to receive any performance-based LTIP payouts.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following table shows total compensation earned for those Named Executive Officers who were serving at the end of fiscal 2019 as compared to fiscal 2018, as applicable:</w:t>
      </w:r>
    </w:p>
    <w:tbl>
      <w:tblPr>
        <w:tblLayout w:type="fixed"/>
        <w:tblInd w:w="40" w:type="dxa"/>
        <w:tblCellMar>
          <w:top w:w="0" w:type="dxa"/>
          <w:left w:w="0" w:type="dxa"/>
          <w:bottom w:w="0" w:type="dxa"/>
          <w:right w:w="0" w:type="dxa"/>
        </w:tblCellMar>
      </w:tblPr>
      <w:tr>
        <w:trPr>
          <w:trHeight w:val="276"/>
        </w:trPr>
        <w:tc>
          <w:tcPr>
            <w:tcW w:w="2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5"/>
          </w:tcPr>
          <w:p>
            <w:pPr>
              <w:ind w:left="1060"/>
              <w:spacing w:after="0" w:line="276" w:lineRule="exact"/>
              <w:rPr>
                <w:sz w:val="20"/>
                <w:szCs w:val="20"/>
                <w:color w:val="auto"/>
              </w:rPr>
            </w:pPr>
            <w:r>
              <w:rPr>
                <w:rFonts w:ascii="Arial" w:cs="Arial" w:eastAsia="Arial" w:hAnsi="Arial"/>
                <w:sz w:val="16"/>
                <w:szCs w:val="16"/>
                <w:b w:val="1"/>
                <w:bCs w:val="1"/>
                <w:color w:val="auto"/>
              </w:rPr>
              <w:t>Total Compensation</w:t>
            </w:r>
            <w:r>
              <w:rPr>
                <w:rFonts w:ascii="Arial" w:cs="Arial" w:eastAsia="Arial" w:hAnsi="Arial"/>
                <w:sz w:val="26"/>
                <w:szCs w:val="26"/>
                <w:b w:val="1"/>
                <w:bCs w:val="1"/>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gridSpan w:val="5"/>
          </w:tcPr>
          <w:p>
            <w:pPr>
              <w:ind w:left="920"/>
              <w:spacing w:after="0" w:line="276" w:lineRule="exact"/>
              <w:rPr>
                <w:sz w:val="20"/>
                <w:szCs w:val="20"/>
                <w:color w:val="auto"/>
              </w:rPr>
            </w:pPr>
            <w:r>
              <w:rPr>
                <w:rFonts w:ascii="Arial" w:cs="Arial" w:eastAsia="Arial" w:hAnsi="Arial"/>
                <w:sz w:val="16"/>
                <w:szCs w:val="16"/>
                <w:b w:val="1"/>
                <w:bCs w:val="1"/>
                <w:color w:val="auto"/>
                <w:w w:val="90"/>
              </w:rPr>
              <w:t xml:space="preserve">Total Realized Pay </w:t>
            </w:r>
            <w:r>
              <w:rPr>
                <w:rFonts w:ascii="Arial" w:cs="Arial" w:eastAsia="Arial" w:hAnsi="Arial"/>
                <w:sz w:val="26"/>
                <w:szCs w:val="26"/>
                <w:b w:val="1"/>
                <w:bCs w:val="1"/>
                <w:color w:val="auto"/>
                <w:w w:val="90"/>
                <w:vertAlign w:val="superscript"/>
              </w:rPr>
              <w:t>(2)</w:t>
            </w:r>
          </w:p>
        </w:tc>
        <w:tc>
          <w:tcPr>
            <w:tcW w:w="9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r>
      <w:tr>
        <w:trPr>
          <w:trHeight w:val="201"/>
        </w:trPr>
        <w:tc>
          <w:tcPr>
            <w:tcW w:w="2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Named Executive Officer</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5"/>
              </w:rPr>
              <w:t>Fiscal 2019</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3"/>
              <w:spacing w:after="0" w:line="201" w:lineRule="exact"/>
              <w:rPr>
                <w:sz w:val="20"/>
                <w:szCs w:val="20"/>
                <w:color w:val="auto"/>
              </w:rPr>
            </w:pPr>
            <w:r>
              <w:rPr>
                <w:rFonts w:ascii="Arial" w:cs="Arial" w:eastAsia="Arial" w:hAnsi="Arial"/>
                <w:sz w:val="14"/>
                <w:szCs w:val="14"/>
                <w:b w:val="1"/>
                <w:bCs w:val="1"/>
                <w:color w:val="auto"/>
                <w:w w:val="98"/>
              </w:rPr>
              <w:t xml:space="preserve">Fiscal 2018 </w:t>
            </w:r>
            <w:r>
              <w:rPr>
                <w:rFonts w:ascii="Arial" w:cs="Arial" w:eastAsia="Arial" w:hAnsi="Arial"/>
                <w:sz w:val="23"/>
                <w:szCs w:val="23"/>
                <w:b w:val="1"/>
                <w:bCs w:val="1"/>
                <w:color w:val="auto"/>
                <w:w w:val="98"/>
                <w:vertAlign w:val="superscript"/>
              </w:rPr>
              <w:t>(3)</w:t>
            </w: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 Change</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1"/>
              </w:rPr>
              <w:t>Fiscal 2019</w:t>
            </w:r>
          </w:p>
        </w:tc>
        <w:tc>
          <w:tcPr>
            <w:tcW w:w="18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2"/>
              <w:spacing w:after="0" w:line="201" w:lineRule="exact"/>
              <w:rPr>
                <w:sz w:val="20"/>
                <w:szCs w:val="20"/>
                <w:color w:val="auto"/>
              </w:rPr>
            </w:pPr>
            <w:r>
              <w:rPr>
                <w:rFonts w:ascii="Arial" w:cs="Arial" w:eastAsia="Arial" w:hAnsi="Arial"/>
                <w:sz w:val="14"/>
                <w:szCs w:val="14"/>
                <w:b w:val="1"/>
                <w:bCs w:val="1"/>
                <w:color w:val="auto"/>
              </w:rPr>
              <w:t xml:space="preserve">Fiscal 2018 </w:t>
            </w:r>
            <w:r>
              <w:rPr>
                <w:rFonts w:ascii="Arial" w:cs="Arial" w:eastAsia="Arial" w:hAnsi="Arial"/>
                <w:sz w:val="23"/>
                <w:szCs w:val="23"/>
                <w:b w:val="1"/>
                <w:bCs w:val="1"/>
                <w:color w:val="auto"/>
                <w:vertAlign w:val="superscript"/>
              </w:rPr>
              <w:t>(3)</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Arial" w:cs="Arial" w:eastAsia="Arial" w:hAnsi="Arial"/>
                <w:sz w:val="16"/>
                <w:szCs w:val="16"/>
                <w:color w:val="auto"/>
              </w:rPr>
              <w:t>Harvey S. Kanter</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3,164,067</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1,222,093</w:t>
            </w:r>
          </w:p>
        </w:tc>
        <w:tc>
          <w:tcPr>
            <w:tcW w:w="50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11"/>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Peter H. Stratton, Jr.</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588,245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821,669</w:t>
            </w: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(28.4)%</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639,910</w:t>
            </w:r>
          </w:p>
        </w:tc>
        <w:tc>
          <w:tcPr>
            <w:tcW w:w="500" w:type="dxa"/>
            <w:vAlign w:val="bottom"/>
            <w:gridSpan w:val="2"/>
            <w:shd w:val="clear" w:color="auto" w:fill="CFF0FC"/>
          </w:tcPr>
          <w:p>
            <w:pPr>
              <w:jc w:val="right"/>
              <w:ind w:right="16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728,432</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(12.2)%</w:t>
            </w:r>
          </w:p>
        </w:tc>
      </w:tr>
      <w:tr>
        <w:trPr>
          <w:trHeight w:val="205"/>
        </w:trPr>
        <w:tc>
          <w:tcPr>
            <w:tcW w:w="2720" w:type="dxa"/>
            <w:vAlign w:val="bottom"/>
          </w:tcPr>
          <w:p>
            <w:pPr>
              <w:spacing w:after="0"/>
              <w:rPr>
                <w:sz w:val="20"/>
                <w:szCs w:val="20"/>
                <w:color w:val="auto"/>
              </w:rPr>
            </w:pPr>
            <w:r>
              <w:rPr>
                <w:rFonts w:ascii="Arial" w:cs="Arial" w:eastAsia="Arial" w:hAnsi="Arial"/>
                <w:sz w:val="16"/>
                <w:szCs w:val="16"/>
                <w:color w:val="auto"/>
              </w:rPr>
              <w:t>Robert S. Molloy</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533,245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711,069</w:t>
            </w:r>
          </w:p>
        </w:tc>
        <w:tc>
          <w:tcPr>
            <w:tcW w:w="2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(25.0)%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583,951</w:t>
            </w:r>
          </w:p>
        </w:tc>
        <w:tc>
          <w:tcPr>
            <w:tcW w:w="50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622,366</w:t>
            </w:r>
          </w:p>
        </w:tc>
        <w:tc>
          <w:tcPr>
            <w:tcW w:w="14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r>
      <w:tr>
        <w:trPr>
          <w:trHeight w:val="211"/>
        </w:trPr>
        <w:tc>
          <w:tcPr>
            <w:tcW w:w="2720" w:type="dxa"/>
            <w:vAlign w:val="bottom"/>
            <w:shd w:val="clear" w:color="auto" w:fill="CFF0FC"/>
          </w:tcPr>
          <w:p>
            <w:pPr>
              <w:spacing w:after="0"/>
              <w:rPr>
                <w:sz w:val="20"/>
                <w:szCs w:val="20"/>
                <w:color w:val="auto"/>
              </w:rPr>
            </w:pPr>
            <w:r>
              <w:rPr>
                <w:rFonts w:ascii="Arial" w:cs="Arial" w:eastAsia="Arial" w:hAnsi="Arial"/>
                <w:sz w:val="16"/>
                <w:szCs w:val="16"/>
                <w:color w:val="auto"/>
              </w:rPr>
              <w:t>Francis C. Chane</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419,423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452,612</w:t>
            </w:r>
          </w:p>
        </w:tc>
        <w:tc>
          <w:tcPr>
            <w:tcW w:w="500" w:type="dxa"/>
            <w:vAlign w:val="bottom"/>
            <w:gridSpan w:val="2"/>
            <w:shd w:val="clear" w:color="auto" w:fill="CFF0FC"/>
          </w:tcPr>
          <w:p>
            <w:pPr>
              <w:jc w:val="right"/>
              <w:ind w:right="16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r>
      <w:tr>
        <w:trPr>
          <w:trHeight w:val="202"/>
        </w:trPr>
        <w:tc>
          <w:tcPr>
            <w:tcW w:w="2720" w:type="dxa"/>
            <w:vAlign w:val="bottom"/>
          </w:tcPr>
          <w:p>
            <w:pPr>
              <w:spacing w:after="0"/>
              <w:rPr>
                <w:sz w:val="20"/>
                <w:szCs w:val="20"/>
                <w:color w:val="auto"/>
              </w:rPr>
            </w:pPr>
            <w:r>
              <w:rPr>
                <w:rFonts w:ascii="Arial" w:cs="Arial" w:eastAsia="Arial" w:hAnsi="Arial"/>
                <w:sz w:val="16"/>
                <w:szCs w:val="16"/>
                <w:color w:val="auto"/>
              </w:rPr>
              <w:t>Anthony J. Gaeta</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408,405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433,128</w:t>
            </w:r>
          </w:p>
        </w:tc>
        <w:tc>
          <w:tcPr>
            <w:tcW w:w="50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bl>
    <w:p>
      <w:pPr>
        <w:spacing w:after="0" w:line="100" w:lineRule="exact"/>
        <w:rPr>
          <w:sz w:val="20"/>
          <w:szCs w:val="20"/>
          <w:color w:val="auto"/>
        </w:rPr>
      </w:pPr>
    </w:p>
    <w:p>
      <w:pPr>
        <w:ind w:left="740" w:right="320" w:hanging="371"/>
        <w:spacing w:after="0" w:line="274"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compensation reflects amounts as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which for Mr. Kanter includes the fair value of $1.6 million for one-time, sign-on awards granted in connection with his hiring.</w:t>
      </w:r>
    </w:p>
    <w:p>
      <w:pPr>
        <w:spacing w:after="0" w:line="178" w:lineRule="exact"/>
        <w:rPr>
          <w:rFonts w:ascii="Arial" w:cs="Arial" w:eastAsia="Arial" w:hAnsi="Arial"/>
          <w:sz w:val="16"/>
          <w:szCs w:val="16"/>
          <w:color w:val="auto"/>
        </w:rPr>
      </w:pPr>
    </w:p>
    <w:p>
      <w:pPr>
        <w:ind w:left="740" w:right="20" w:hanging="371"/>
        <w:spacing w:after="0" w:line="353" w:lineRule="auto"/>
        <w:tabs>
          <w:tab w:leader="none" w:pos="7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Total realized pay is calculated as total compensation per the “</w:t>
      </w:r>
      <w:r>
        <w:rPr>
          <w:rFonts w:ascii="Arial" w:cs="Arial" w:eastAsia="Arial" w:hAnsi="Arial"/>
          <w:sz w:val="13"/>
          <w:szCs w:val="13"/>
          <w:i w:val="1"/>
          <w:iCs w:val="1"/>
          <w:color w:val="auto"/>
        </w:rPr>
        <w:t>Summary Compensation Table</w:t>
      </w:r>
      <w:r>
        <w:rPr>
          <w:rFonts w:ascii="Arial" w:cs="Arial" w:eastAsia="Arial" w:hAnsi="Arial"/>
          <w:sz w:val="13"/>
          <w:szCs w:val="13"/>
          <w:color w:val="auto"/>
        </w:rPr>
        <w:t>” minus the value of equity awards granted, as reported in the “</w:t>
      </w:r>
      <w:r>
        <w:rPr>
          <w:rFonts w:ascii="Arial" w:cs="Arial" w:eastAsia="Arial" w:hAnsi="Arial"/>
          <w:sz w:val="13"/>
          <w:szCs w:val="13"/>
          <w:i w:val="1"/>
          <w:iCs w:val="1"/>
          <w:color w:val="auto"/>
        </w:rPr>
        <w:t>Stock</w:t>
      </w:r>
      <w:r>
        <w:rPr>
          <w:rFonts w:ascii="Arial" w:cs="Arial" w:eastAsia="Arial" w:hAnsi="Arial"/>
          <w:sz w:val="13"/>
          <w:szCs w:val="13"/>
          <w:color w:val="auto"/>
        </w:rPr>
        <w:t xml:space="preserve"> </w:t>
      </w:r>
      <w:r>
        <w:rPr>
          <w:rFonts w:ascii="Arial" w:cs="Arial" w:eastAsia="Arial" w:hAnsi="Arial"/>
          <w:sz w:val="13"/>
          <w:szCs w:val="13"/>
          <w:i w:val="1"/>
          <w:iCs w:val="1"/>
          <w:color w:val="auto"/>
        </w:rPr>
        <w:t>Awards</w:t>
      </w:r>
      <w:r>
        <w:rPr>
          <w:rFonts w:ascii="Arial" w:cs="Arial" w:eastAsia="Arial" w:hAnsi="Arial"/>
          <w:sz w:val="13"/>
          <w:szCs w:val="13"/>
          <w:color w:val="auto"/>
        </w:rPr>
        <w:t>” column of that table, plus the value of any options exercised or stock awards that vested, as reflected in the “</w:t>
      </w:r>
      <w:r>
        <w:rPr>
          <w:rFonts w:ascii="Arial" w:cs="Arial" w:eastAsia="Arial" w:hAnsi="Arial"/>
          <w:sz w:val="13"/>
          <w:szCs w:val="13"/>
          <w:i w:val="1"/>
          <w:iCs w:val="1"/>
          <w:color w:val="auto"/>
        </w:rPr>
        <w:t>Option Exercises and Stock Vested</w:t>
      </w:r>
      <w:r>
        <w:rPr>
          <w:rFonts w:ascii="Arial" w:cs="Arial" w:eastAsia="Arial" w:hAnsi="Arial"/>
          <w:sz w:val="13"/>
          <w:szCs w:val="13"/>
          <w:color w:val="auto"/>
        </w:rPr>
        <w:t>” table for each</w:t>
      </w:r>
      <w:r>
        <w:rPr>
          <w:rFonts w:ascii="Arial" w:cs="Arial" w:eastAsia="Arial" w:hAnsi="Arial"/>
          <w:sz w:val="13"/>
          <w:szCs w:val="13"/>
          <w:i w:val="1"/>
          <w:iCs w:val="1"/>
          <w:color w:val="auto"/>
        </w:rPr>
        <w:t xml:space="preserve"> </w:t>
      </w:r>
      <w:r>
        <w:rPr>
          <w:rFonts w:ascii="Arial" w:cs="Arial" w:eastAsia="Arial" w:hAnsi="Arial"/>
          <w:sz w:val="13"/>
          <w:szCs w:val="13"/>
          <w:color w:val="auto"/>
        </w:rPr>
        <w:t>of the respective years. For fiscal 2019 realized pay, the vested stock awards which are included relate</w:t>
      </w:r>
      <w:r>
        <w:rPr>
          <w:rFonts w:ascii="Arial" w:cs="Arial" w:eastAsia="Arial" w:hAnsi="Arial"/>
          <w:sz w:val="13"/>
          <w:szCs w:val="13"/>
          <w:color w:val="auto"/>
          <w:strike w:val="1"/>
        </w:rPr>
        <w:t>d</w:t>
      </w:r>
      <w:r>
        <w:rPr>
          <w:rFonts w:ascii="Arial" w:cs="Arial" w:eastAsia="Arial" w:hAnsi="Arial"/>
          <w:sz w:val="13"/>
          <w:szCs w:val="13"/>
          <w:color w:val="auto"/>
        </w:rPr>
        <w:t xml:space="preserve"> to the 2016-2017 LTIP, 2017-2018 LTIP and 2018-2020 LTIP.</w:t>
      </w:r>
    </w:p>
    <w:p>
      <w:pPr>
        <w:spacing w:after="0" w:line="134" w:lineRule="exact"/>
        <w:rPr>
          <w:rFonts w:ascii="Arial" w:cs="Arial" w:eastAsia="Arial" w:hAnsi="Arial"/>
          <w:sz w:val="13"/>
          <w:szCs w:val="13"/>
          <w:color w:val="auto"/>
        </w:rPr>
      </w:pPr>
    </w:p>
    <w:p>
      <w:pPr>
        <w:ind w:left="740" w:right="220" w:hanging="371"/>
        <w:spacing w:after="0" w:line="274"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Mr. Kanter joined the Company on February 19, 2019 and therefore had no fiscal 2018 compensation. There is no comparable salary information for Messrs. Chane and Gaeta because they only became named executive officers in fiscal 2019.</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Philosophy and Objectives</w:t>
      </w:r>
    </w:p>
    <w:p>
      <w:pPr>
        <w:spacing w:after="0" w:line="12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believes that an effective executive compensation program will:</w:t>
      </w:r>
    </w:p>
    <w:p>
      <w:pPr>
        <w:spacing w:after="0" w:line="117" w:lineRule="exact"/>
        <w:rPr>
          <w:sz w:val="20"/>
          <w:szCs w:val="20"/>
          <w:color w:val="auto"/>
        </w:rPr>
      </w:pPr>
    </w:p>
    <w:p>
      <w:pPr>
        <w:ind w:left="760" w:hanging="24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Attract, retain and engage the executive talent the Company requires to perform in line with the Board’s expectations;</w:t>
      </w:r>
    </w:p>
    <w:p>
      <w:pPr>
        <w:spacing w:after="0" w:line="117" w:lineRule="exact"/>
        <w:rPr>
          <w:rFonts w:ascii="Arial" w:cs="Arial" w:eastAsia="Arial" w:hAnsi="Arial"/>
          <w:sz w:val="17"/>
          <w:szCs w:val="17"/>
          <w:color w:val="auto"/>
        </w:rPr>
      </w:pPr>
    </w:p>
    <w:p>
      <w:pPr>
        <w:ind w:left="760" w:right="800" w:hanging="248"/>
        <w:spacing w:after="0" w:line="286"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Recognize and reward the achievement of specific annual and long-term performance goals through a combination of cash and stock-based compensation; and</w:t>
      </w:r>
    </w:p>
    <w:p>
      <w:pPr>
        <w:spacing w:after="0" w:line="55" w:lineRule="exact"/>
        <w:rPr>
          <w:rFonts w:ascii="Arial" w:cs="Arial" w:eastAsia="Arial" w:hAnsi="Arial"/>
          <w:sz w:val="17"/>
          <w:szCs w:val="17"/>
          <w:color w:val="auto"/>
        </w:rPr>
      </w:pPr>
    </w:p>
    <w:p>
      <w:pPr>
        <w:ind w:left="760" w:hanging="24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Align the Company’s executives’ interests with those of its stockholders.</w:t>
      </w:r>
    </w:p>
    <w:p>
      <w:pPr>
        <w:spacing w:after="0" w:line="22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When reviewing compensation, the Compensation Committee emphasizes Direct Compensation. Direct Compensation consists of total cash compensation (base salary and annual performance-based cash incentive awards) plus long-term incentive awards, which are primarily stock-based. Every year, we assess the effectiveness of our compensation plans with the goal of strengthening our overall compensation program as appropriate, including by adjusting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Features of Our Executive Compensation Program</w:t>
      </w:r>
    </w:p>
    <w:p>
      <w:pPr>
        <w:spacing w:after="0" w:line="13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believe that the Company’s executive compensation program includes key features that align the compensation for our executive officers with the interests of our stockholders.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238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7"/>
                <w:szCs w:val="17"/>
                <w:i w:val="1"/>
                <w:iCs w:val="1"/>
                <w:color w:val="auto"/>
                <w:w w:val="89"/>
              </w:rPr>
              <w:t>What We Do</w:t>
            </w:r>
          </w:p>
        </w:tc>
        <w:tc>
          <w:tcPr>
            <w:tcW w:w="16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460" w:type="dxa"/>
            <w:vAlign w:val="bottom"/>
            <w:gridSpan w:val="2"/>
          </w:tcPr>
          <w:p>
            <w:pPr>
              <w:spacing w:after="0"/>
              <w:rPr>
                <w:sz w:val="20"/>
                <w:szCs w:val="20"/>
                <w:color w:val="auto"/>
              </w:rPr>
            </w:pPr>
            <w:r>
              <w:rPr>
                <w:rFonts w:ascii="Arial" w:cs="Arial" w:eastAsia="Arial" w:hAnsi="Arial"/>
                <w:sz w:val="17"/>
                <w:szCs w:val="17"/>
                <w:i w:val="1"/>
                <w:iCs w:val="1"/>
                <w:color w:val="auto"/>
              </w:rPr>
              <w:t>What We Don’t Do</w:t>
            </w:r>
          </w:p>
        </w:tc>
      </w:tr>
      <w:tr>
        <w:trPr>
          <w:trHeight w:val="30"/>
        </w:trPr>
        <w:tc>
          <w:tcPr>
            <w:tcW w:w="2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160" w:type="dxa"/>
            <w:vAlign w:val="bottom"/>
          </w:tcPr>
          <w:p>
            <w:pPr>
              <w:spacing w:after="0"/>
              <w:rPr>
                <w:sz w:val="2"/>
                <w:szCs w:val="2"/>
                <w:color w:val="auto"/>
              </w:rPr>
            </w:pPr>
          </w:p>
        </w:tc>
      </w:tr>
      <w:tr>
        <w:trPr>
          <w:trHeight w:val="322"/>
        </w:trPr>
        <w:tc>
          <w:tcPr>
            <w:tcW w:w="4860" w:type="dxa"/>
            <w:vAlign w:val="bottom"/>
            <w:gridSpan w:val="3"/>
            <w:shd w:val="clear" w:color="auto" w:fill="CFF0FC"/>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Focus on performance-based pay</w:t>
            </w:r>
          </w:p>
        </w:tc>
        <w:tc>
          <w:tcPr>
            <w:tcW w:w="6380" w:type="dxa"/>
            <w:vAlign w:val="bottom"/>
            <w:gridSpan w:val="3"/>
            <w:shd w:val="clear" w:color="auto" w:fill="CFF0FC"/>
          </w:tcPr>
          <w:p>
            <w:pPr>
              <w:ind w:left="10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 re-pricing of underwater options</w:t>
            </w:r>
          </w:p>
        </w:tc>
      </w:tr>
      <w:tr>
        <w:trPr>
          <w:trHeight w:val="313"/>
        </w:trPr>
        <w:tc>
          <w:tcPr>
            <w:tcW w:w="4860" w:type="dxa"/>
            <w:vAlign w:val="bottom"/>
            <w:gridSpan w:val="3"/>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Balance short-term and long-term incentives</w:t>
            </w:r>
          </w:p>
        </w:tc>
        <w:tc>
          <w:tcPr>
            <w:tcW w:w="6380" w:type="dxa"/>
            <w:vAlign w:val="bottom"/>
            <w:gridSpan w:val="3"/>
          </w:tcPr>
          <w:p>
            <w:pPr>
              <w:ind w:left="10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 hedging of Company stock</w:t>
            </w:r>
          </w:p>
        </w:tc>
      </w:tr>
      <w:tr>
        <w:trPr>
          <w:trHeight w:val="313"/>
        </w:trPr>
        <w:tc>
          <w:tcPr>
            <w:tcW w:w="4860" w:type="dxa"/>
            <w:vAlign w:val="bottom"/>
            <w:gridSpan w:val="3"/>
            <w:shd w:val="clear" w:color="auto" w:fill="CFF0FC"/>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Use multiple targets for performance awards</w:t>
            </w:r>
          </w:p>
        </w:tc>
        <w:tc>
          <w:tcPr>
            <w:tcW w:w="6380" w:type="dxa"/>
            <w:vAlign w:val="bottom"/>
            <w:gridSpan w:val="3"/>
            <w:shd w:val="clear" w:color="auto" w:fill="CFF0FC"/>
          </w:tcPr>
          <w:p>
            <w:pPr>
              <w:ind w:left="10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 tax gross-up on severance payments</w:t>
            </w:r>
          </w:p>
        </w:tc>
      </w:tr>
      <w:tr>
        <w:trPr>
          <w:trHeight w:val="330"/>
        </w:trPr>
        <w:tc>
          <w:tcPr>
            <w:tcW w:w="4860" w:type="dxa"/>
            <w:vAlign w:val="bottom"/>
            <w:gridSpan w:val="3"/>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Provide executives with very limited perquisites</w:t>
            </w:r>
          </w:p>
        </w:tc>
        <w:tc>
          <w:tcPr>
            <w:tcW w:w="6380" w:type="dxa"/>
            <w:vAlign w:val="bottom"/>
            <w:gridSpan w:val="3"/>
          </w:tcPr>
          <w:p>
            <w:pPr>
              <w:ind w:left="10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37400" cy="198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198755"/>
                    </a:xfrm>
                    <a:prstGeom prst="rect">
                      <a:avLst/>
                    </a:prstGeom>
                    <a:noFill/>
                  </pic:spPr>
                </pic:pic>
              </a:graphicData>
            </a:graphic>
          </wp:anchor>
        </w:drawing>
      </w:r>
    </w:p>
    <w:p>
      <w:pPr>
        <w:spacing w:after="0" w:line="54" w:lineRule="exact"/>
        <w:rPr>
          <w:sz w:val="20"/>
          <w:szCs w:val="20"/>
          <w:color w:val="auto"/>
        </w:rPr>
      </w:pPr>
    </w:p>
    <w:p>
      <w:pPr>
        <w:ind w:left="440" w:hanging="274"/>
        <w:spacing w:after="0"/>
        <w:tabs>
          <w:tab w:leader="none" w:pos="44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Require “double-trigger” change-in-control provisions</w:t>
      </w:r>
    </w:p>
    <w:p>
      <w:pPr>
        <w:spacing w:after="0" w:line="117" w:lineRule="exact"/>
        <w:rPr>
          <w:rFonts w:ascii="MS PGothic" w:cs="MS PGothic" w:eastAsia="MS PGothic" w:hAnsi="MS PGothic"/>
          <w:sz w:val="17"/>
          <w:szCs w:val="17"/>
          <w:color w:val="auto"/>
        </w:rPr>
      </w:pPr>
    </w:p>
    <w:p>
      <w:pPr>
        <w:ind w:left="480" w:right="6280" w:hanging="314"/>
        <w:spacing w:after="0" w:line="286" w:lineRule="auto"/>
        <w:tabs>
          <w:tab w:leader="none" w:pos="441"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Maintain a “clawback” policy covering incentive cash and equity programs</w:t>
      </w:r>
    </w:p>
    <w:p>
      <w:pPr>
        <w:spacing w:after="0" w:line="55" w:lineRule="exact"/>
        <w:rPr>
          <w:rFonts w:ascii="MS PGothic" w:cs="MS PGothic" w:eastAsia="MS PGothic" w:hAnsi="MS PGothic"/>
          <w:sz w:val="17"/>
          <w:szCs w:val="17"/>
          <w:color w:val="auto"/>
        </w:rPr>
      </w:pPr>
    </w:p>
    <w:p>
      <w:pPr>
        <w:ind w:left="440" w:hanging="274"/>
        <w:spacing w:after="0"/>
        <w:tabs>
          <w:tab w:leader="none" w:pos="44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Seek to mitigate undue risk in compensation plans</w:t>
      </w:r>
    </w:p>
    <w:p>
      <w:pPr>
        <w:spacing w:after="0" w:line="117" w:lineRule="exact"/>
        <w:rPr>
          <w:rFonts w:ascii="MS PGothic" w:cs="MS PGothic" w:eastAsia="MS PGothic" w:hAnsi="MS PGothic"/>
          <w:sz w:val="17"/>
          <w:szCs w:val="17"/>
          <w:color w:val="auto"/>
        </w:rPr>
      </w:pPr>
    </w:p>
    <w:p>
      <w:pPr>
        <w:ind w:left="440" w:hanging="274"/>
        <w:spacing w:after="0"/>
        <w:tabs>
          <w:tab w:leader="none" w:pos="44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Utilize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-380365</wp:posOffset>
            </wp:positionV>
            <wp:extent cx="7137400" cy="198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7400" cy="1987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198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1987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Compensation Consultants</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to assist in carrying out its duties, including the review of compensation of our Named Executive Officers. The Compensation Committee may accept, reject or modify any recommendations by compensation consultants or other outside advisors.</w:t>
      </w:r>
    </w:p>
    <w:p>
      <w:pPr>
        <w:spacing w:after="0" w:line="17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Compensation Committee periodically consults with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 In early fiscal 2018, the Compensation Committee engaged Segal to evaluate CEO compensation in connection with its search for a new CEO and in early 2019 to evaluate the compensation of our other NEOs in comparison to the same proxy peer group. The Compensation Committee also consulted with Segal in August 2019 to evaluate the Company’s long-term incentive program, including its mix of equity and cash.</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2019 Target Compensation</w:t>
      </w:r>
    </w:p>
    <w:p>
      <w:pPr>
        <w:spacing w:after="0" w:line="117"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i w:val="1"/>
          <w:iCs w:val="1"/>
          <w:color w:val="auto"/>
        </w:rPr>
        <w:t>CEO Compensation</w:t>
      </w:r>
      <w:r>
        <w:rPr>
          <w:rFonts w:ascii="Arial" w:cs="Arial" w:eastAsia="Arial" w:hAnsi="Arial"/>
          <w:sz w:val="16"/>
          <w:szCs w:val="16"/>
          <w:color w:val="auto"/>
        </w:rPr>
        <w:t>. The Compensation Committee is responsible for determining the target compensation of our CEO. Working with Segal,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compared each element of the CEO’s Direct Compensation (base salary, annual incentive plan and long-term incentive compensation) to published survey data and data from the Company’s peer group. The Compensation Committee’s objective is that total target compensation should approximate the median target compensation of the Company’s peer group. In developing the compensation package for our current CEO, the Compensation Committee placed additional weight on the performance pay, by increasing the participation rate in the long-term incentive plan, and, as part of his compensation package, Mr. Kanter received a significant, sign-on performance stock unit award (“PSU”) tied directly to the Company’s stock price.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color w:val="auto"/>
        </w:rPr>
        <w:t xml:space="preserve">Other Named Executive Officers. </w:t>
      </w:r>
      <w:r>
        <w:rPr>
          <w:rFonts w:ascii="Arial" w:cs="Arial" w:eastAsia="Arial" w:hAnsi="Arial"/>
          <w:sz w:val="17"/>
          <w:szCs w:val="17"/>
          <w:color w:val="auto"/>
        </w:rPr>
        <w:t>Our CEO is primarily responsible for determining the compensation paid to our other Named Executive Officers,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review and approval of the Compensation Committee. Our other Named Executive Officers are provided with a competitive base salary and an opportunity to earn performance awards each year, which are driven by our overall financial targets. In May 2019, Segal completed a review of the compensation paid to our other Named Executive Officers, and reported that compensation was within the median (or 50% percentile) of the Company’s 2018 proxy peer group. See “</w:t>
      </w:r>
      <w:r>
        <w:rPr>
          <w:rFonts w:ascii="Arial" w:cs="Arial" w:eastAsia="Arial" w:hAnsi="Arial"/>
          <w:sz w:val="17"/>
          <w:szCs w:val="17"/>
          <w:i w:val="1"/>
          <w:iCs w:val="1"/>
          <w:color w:val="auto"/>
        </w:rPr>
        <w:t>Compensation Components and Fiscal 2019 Compensation Decisions</w:t>
      </w:r>
      <w:r>
        <w:rPr>
          <w:rFonts w:ascii="Arial" w:cs="Arial" w:eastAsia="Arial" w:hAnsi="Arial"/>
          <w:sz w:val="17"/>
          <w:szCs w:val="17"/>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Peers</w:t>
      </w:r>
    </w:p>
    <w:p>
      <w:pPr>
        <w:spacing w:after="0" w:line="117" w:lineRule="exact"/>
        <w:rPr>
          <w:sz w:val="20"/>
          <w:szCs w:val="20"/>
          <w:color w:val="auto"/>
        </w:rPr>
      </w:pPr>
    </w:p>
    <w:p>
      <w:pPr>
        <w:ind w:right="420"/>
        <w:spacing w:after="0" w:line="357" w:lineRule="auto"/>
        <w:rPr>
          <w:sz w:val="20"/>
          <w:szCs w:val="20"/>
          <w:color w:val="auto"/>
        </w:rPr>
      </w:pPr>
      <w:r>
        <w:rPr>
          <w:rFonts w:ascii="Arial" w:cs="Arial" w:eastAsia="Arial" w:hAnsi="Arial"/>
          <w:sz w:val="15"/>
          <w:szCs w:val="15"/>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2019 peer group were: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00" w:type="dxa"/>
            <w:vAlign w:val="bottom"/>
          </w:tcPr>
          <w:p>
            <w:pPr>
              <w:ind w:left="580"/>
              <w:spacing w:after="0"/>
              <w:rPr>
                <w:sz w:val="20"/>
                <w:szCs w:val="20"/>
                <w:color w:val="auto"/>
              </w:rPr>
            </w:pPr>
            <w:r>
              <w:rPr>
                <w:rFonts w:ascii="Arial" w:cs="Arial" w:eastAsia="Arial" w:hAnsi="Arial"/>
                <w:sz w:val="17"/>
                <w:szCs w:val="17"/>
                <w:color w:val="auto"/>
              </w:rPr>
              <w:t>•</w:t>
            </w:r>
          </w:p>
        </w:tc>
        <w:tc>
          <w:tcPr>
            <w:tcW w:w="2920" w:type="dxa"/>
            <w:vAlign w:val="bottom"/>
          </w:tcPr>
          <w:p>
            <w:pPr>
              <w:ind w:left="460"/>
              <w:spacing w:after="0"/>
              <w:rPr>
                <w:sz w:val="20"/>
                <w:szCs w:val="20"/>
                <w:color w:val="auto"/>
              </w:rPr>
            </w:pPr>
            <w:r>
              <w:rPr>
                <w:rFonts w:ascii="Arial" w:cs="Arial" w:eastAsia="Arial" w:hAnsi="Arial"/>
                <w:sz w:val="17"/>
                <w:szCs w:val="17"/>
                <w:color w:val="auto"/>
              </w:rPr>
              <w:t>Boot Barn Holding, Inc.</w:t>
            </w:r>
          </w:p>
        </w:tc>
        <w:tc>
          <w:tcPr>
            <w:tcW w:w="580" w:type="dxa"/>
            <w:vAlign w:val="bottom"/>
          </w:tcPr>
          <w:p>
            <w:pPr>
              <w:ind w:left="420"/>
              <w:spacing w:after="0"/>
              <w:rPr>
                <w:sz w:val="20"/>
                <w:szCs w:val="20"/>
                <w:color w:val="auto"/>
              </w:rPr>
            </w:pPr>
            <w:r>
              <w:rPr>
                <w:rFonts w:ascii="Arial" w:cs="Arial" w:eastAsia="Arial" w:hAnsi="Arial"/>
                <w:sz w:val="17"/>
                <w:szCs w:val="17"/>
                <w:color w:val="auto"/>
              </w:rPr>
              <w:t>•</w:t>
            </w:r>
          </w:p>
        </w:tc>
        <w:tc>
          <w:tcPr>
            <w:tcW w:w="2460" w:type="dxa"/>
            <w:vAlign w:val="bottom"/>
          </w:tcPr>
          <w:p>
            <w:pPr>
              <w:ind w:left="100"/>
              <w:spacing w:after="0"/>
              <w:rPr>
                <w:sz w:val="20"/>
                <w:szCs w:val="20"/>
                <w:color w:val="auto"/>
              </w:rPr>
            </w:pPr>
            <w:r>
              <w:rPr>
                <w:rFonts w:ascii="Arial" w:cs="Arial" w:eastAsia="Arial" w:hAnsi="Arial"/>
                <w:sz w:val="17"/>
                <w:szCs w:val="17"/>
                <w:color w:val="auto"/>
              </w:rPr>
              <w:t>Duluth Holding, Inc.</w:t>
            </w:r>
          </w:p>
        </w:tc>
        <w:tc>
          <w:tcPr>
            <w:tcW w:w="660" w:type="dxa"/>
            <w:vAlign w:val="bottom"/>
          </w:tcPr>
          <w:p>
            <w:pPr>
              <w:ind w:left="500"/>
              <w:spacing w:after="0"/>
              <w:rPr>
                <w:sz w:val="20"/>
                <w:szCs w:val="20"/>
                <w:color w:val="auto"/>
              </w:rPr>
            </w:pPr>
            <w:r>
              <w:rPr>
                <w:rFonts w:ascii="Arial" w:cs="Arial" w:eastAsia="Arial" w:hAnsi="Arial"/>
                <w:sz w:val="17"/>
                <w:szCs w:val="17"/>
                <w:color w:val="auto"/>
              </w:rPr>
              <w:t>•</w:t>
            </w:r>
          </w:p>
        </w:tc>
        <w:tc>
          <w:tcPr>
            <w:tcW w:w="3540" w:type="dxa"/>
            <w:vAlign w:val="bottom"/>
          </w:tcPr>
          <w:p>
            <w:pPr>
              <w:ind w:left="100"/>
              <w:spacing w:after="0"/>
              <w:rPr>
                <w:sz w:val="20"/>
                <w:szCs w:val="20"/>
                <w:color w:val="auto"/>
              </w:rPr>
            </w:pPr>
            <w:r>
              <w:rPr>
                <w:rFonts w:ascii="Arial" w:cs="Arial" w:eastAsia="Arial" w:hAnsi="Arial"/>
                <w:sz w:val="17"/>
                <w:szCs w:val="17"/>
                <w:color w:val="auto"/>
              </w:rPr>
              <w:t>Tilly’s Inc.</w:t>
            </w:r>
          </w:p>
        </w:tc>
      </w:tr>
      <w:tr>
        <w:trPr>
          <w:trHeight w:val="326"/>
        </w:trPr>
        <w:tc>
          <w:tcPr>
            <w:tcW w:w="1100" w:type="dxa"/>
            <w:vAlign w:val="bottom"/>
          </w:tcPr>
          <w:p>
            <w:pPr>
              <w:ind w:left="580"/>
              <w:spacing w:after="0"/>
              <w:rPr>
                <w:sz w:val="20"/>
                <w:szCs w:val="20"/>
                <w:color w:val="auto"/>
              </w:rPr>
            </w:pPr>
            <w:r>
              <w:rPr>
                <w:rFonts w:ascii="Arial" w:cs="Arial" w:eastAsia="Arial" w:hAnsi="Arial"/>
                <w:sz w:val="17"/>
                <w:szCs w:val="17"/>
                <w:color w:val="auto"/>
              </w:rPr>
              <w:t>•</w:t>
            </w:r>
          </w:p>
        </w:tc>
        <w:tc>
          <w:tcPr>
            <w:tcW w:w="2920" w:type="dxa"/>
            <w:vAlign w:val="bottom"/>
          </w:tcPr>
          <w:p>
            <w:pPr>
              <w:ind w:left="460"/>
              <w:spacing w:after="0"/>
              <w:rPr>
                <w:sz w:val="20"/>
                <w:szCs w:val="20"/>
                <w:color w:val="auto"/>
              </w:rPr>
            </w:pPr>
            <w:r>
              <w:rPr>
                <w:rFonts w:ascii="Arial" w:cs="Arial" w:eastAsia="Arial" w:hAnsi="Arial"/>
                <w:sz w:val="17"/>
                <w:szCs w:val="17"/>
                <w:color w:val="auto"/>
              </w:rPr>
              <w:t>Build-A-Bear Workshop, Inc.</w:t>
            </w:r>
          </w:p>
        </w:tc>
        <w:tc>
          <w:tcPr>
            <w:tcW w:w="580" w:type="dxa"/>
            <w:vAlign w:val="bottom"/>
          </w:tcPr>
          <w:p>
            <w:pPr>
              <w:ind w:left="420"/>
              <w:spacing w:after="0"/>
              <w:rPr>
                <w:sz w:val="20"/>
                <w:szCs w:val="20"/>
                <w:color w:val="auto"/>
              </w:rPr>
            </w:pPr>
            <w:r>
              <w:rPr>
                <w:rFonts w:ascii="Arial" w:cs="Arial" w:eastAsia="Arial" w:hAnsi="Arial"/>
                <w:sz w:val="17"/>
                <w:szCs w:val="17"/>
                <w:color w:val="auto"/>
              </w:rPr>
              <w:t>•</w:t>
            </w:r>
          </w:p>
        </w:tc>
        <w:tc>
          <w:tcPr>
            <w:tcW w:w="2460" w:type="dxa"/>
            <w:vAlign w:val="bottom"/>
          </w:tcPr>
          <w:p>
            <w:pPr>
              <w:ind w:left="100"/>
              <w:spacing w:after="0"/>
              <w:rPr>
                <w:sz w:val="20"/>
                <w:szCs w:val="20"/>
                <w:color w:val="auto"/>
              </w:rPr>
            </w:pPr>
            <w:r>
              <w:rPr>
                <w:rFonts w:ascii="Arial" w:cs="Arial" w:eastAsia="Arial" w:hAnsi="Arial"/>
                <w:sz w:val="17"/>
                <w:szCs w:val="17"/>
                <w:color w:val="auto"/>
              </w:rPr>
              <w:t>Francesca’s Holding Corp.</w:t>
            </w:r>
          </w:p>
        </w:tc>
        <w:tc>
          <w:tcPr>
            <w:tcW w:w="660" w:type="dxa"/>
            <w:vAlign w:val="bottom"/>
          </w:tcPr>
          <w:p>
            <w:pPr>
              <w:ind w:left="500"/>
              <w:spacing w:after="0"/>
              <w:rPr>
                <w:sz w:val="20"/>
                <w:szCs w:val="20"/>
                <w:color w:val="auto"/>
              </w:rPr>
            </w:pPr>
            <w:r>
              <w:rPr>
                <w:rFonts w:ascii="Arial" w:cs="Arial" w:eastAsia="Arial" w:hAnsi="Arial"/>
                <w:sz w:val="17"/>
                <w:szCs w:val="17"/>
                <w:color w:val="auto"/>
              </w:rPr>
              <w:t>•</w:t>
            </w:r>
          </w:p>
        </w:tc>
        <w:tc>
          <w:tcPr>
            <w:tcW w:w="3540" w:type="dxa"/>
            <w:vAlign w:val="bottom"/>
          </w:tcPr>
          <w:p>
            <w:pPr>
              <w:ind w:left="100"/>
              <w:spacing w:after="0"/>
              <w:rPr>
                <w:sz w:val="20"/>
                <w:szCs w:val="20"/>
                <w:color w:val="auto"/>
              </w:rPr>
            </w:pPr>
            <w:r>
              <w:rPr>
                <w:rFonts w:ascii="Arial" w:cs="Arial" w:eastAsia="Arial" w:hAnsi="Arial"/>
                <w:sz w:val="17"/>
                <w:szCs w:val="17"/>
                <w:color w:val="auto"/>
              </w:rPr>
              <w:t>Vera Bradley</w:t>
            </w:r>
          </w:p>
        </w:tc>
      </w:tr>
      <w:tr>
        <w:trPr>
          <w:trHeight w:val="326"/>
        </w:trPr>
        <w:tc>
          <w:tcPr>
            <w:tcW w:w="1100" w:type="dxa"/>
            <w:vAlign w:val="bottom"/>
          </w:tcPr>
          <w:p>
            <w:pPr>
              <w:ind w:left="580"/>
              <w:spacing w:after="0"/>
              <w:rPr>
                <w:sz w:val="20"/>
                <w:szCs w:val="20"/>
                <w:color w:val="auto"/>
              </w:rPr>
            </w:pPr>
            <w:r>
              <w:rPr>
                <w:rFonts w:ascii="Arial" w:cs="Arial" w:eastAsia="Arial" w:hAnsi="Arial"/>
                <w:sz w:val="17"/>
                <w:szCs w:val="17"/>
                <w:color w:val="auto"/>
              </w:rPr>
              <w:t>•</w:t>
            </w:r>
          </w:p>
        </w:tc>
        <w:tc>
          <w:tcPr>
            <w:tcW w:w="2920" w:type="dxa"/>
            <w:vAlign w:val="bottom"/>
          </w:tcPr>
          <w:p>
            <w:pPr>
              <w:ind w:left="460"/>
              <w:spacing w:after="0"/>
              <w:rPr>
                <w:sz w:val="20"/>
                <w:szCs w:val="20"/>
                <w:color w:val="auto"/>
              </w:rPr>
            </w:pPr>
            <w:r>
              <w:rPr>
                <w:rFonts w:ascii="Arial" w:cs="Arial" w:eastAsia="Arial" w:hAnsi="Arial"/>
                <w:sz w:val="17"/>
                <w:szCs w:val="17"/>
                <w:color w:val="auto"/>
              </w:rPr>
              <w:t>Cato Group</w:t>
            </w:r>
          </w:p>
        </w:tc>
        <w:tc>
          <w:tcPr>
            <w:tcW w:w="580" w:type="dxa"/>
            <w:vAlign w:val="bottom"/>
          </w:tcPr>
          <w:p>
            <w:pPr>
              <w:ind w:left="420"/>
              <w:spacing w:after="0"/>
              <w:rPr>
                <w:sz w:val="20"/>
                <w:szCs w:val="20"/>
                <w:color w:val="auto"/>
              </w:rPr>
            </w:pPr>
            <w:r>
              <w:rPr>
                <w:rFonts w:ascii="Arial" w:cs="Arial" w:eastAsia="Arial" w:hAnsi="Arial"/>
                <w:sz w:val="17"/>
                <w:szCs w:val="17"/>
                <w:color w:val="auto"/>
              </w:rPr>
              <w:t>•</w:t>
            </w:r>
          </w:p>
        </w:tc>
        <w:tc>
          <w:tcPr>
            <w:tcW w:w="2460" w:type="dxa"/>
            <w:vAlign w:val="bottom"/>
          </w:tcPr>
          <w:p>
            <w:pPr>
              <w:ind w:left="100"/>
              <w:spacing w:after="0"/>
              <w:rPr>
                <w:sz w:val="20"/>
                <w:szCs w:val="20"/>
                <w:color w:val="auto"/>
              </w:rPr>
            </w:pPr>
            <w:r>
              <w:rPr>
                <w:rFonts w:ascii="Arial" w:cs="Arial" w:eastAsia="Arial" w:hAnsi="Arial"/>
                <w:sz w:val="17"/>
                <w:szCs w:val="17"/>
                <w:color w:val="auto"/>
              </w:rPr>
              <w:t>Kirkland’s, Inc.</w:t>
            </w:r>
          </w:p>
        </w:tc>
        <w:tc>
          <w:tcPr>
            <w:tcW w:w="660" w:type="dxa"/>
            <w:vAlign w:val="bottom"/>
          </w:tcPr>
          <w:p>
            <w:pPr>
              <w:ind w:left="500"/>
              <w:spacing w:after="0"/>
              <w:rPr>
                <w:sz w:val="20"/>
                <w:szCs w:val="20"/>
                <w:color w:val="auto"/>
              </w:rPr>
            </w:pPr>
            <w:r>
              <w:rPr>
                <w:rFonts w:ascii="Arial" w:cs="Arial" w:eastAsia="Arial" w:hAnsi="Arial"/>
                <w:sz w:val="17"/>
                <w:szCs w:val="17"/>
                <w:color w:val="auto"/>
              </w:rPr>
              <w:t>•</w:t>
            </w:r>
          </w:p>
        </w:tc>
        <w:tc>
          <w:tcPr>
            <w:tcW w:w="3540" w:type="dxa"/>
            <w:vAlign w:val="bottom"/>
          </w:tcPr>
          <w:p>
            <w:pPr>
              <w:ind w:left="100"/>
              <w:spacing w:after="0"/>
              <w:rPr>
                <w:sz w:val="20"/>
                <w:szCs w:val="20"/>
                <w:color w:val="auto"/>
              </w:rPr>
            </w:pPr>
            <w:r>
              <w:rPr>
                <w:rFonts w:ascii="Arial" w:cs="Arial" w:eastAsia="Arial" w:hAnsi="Arial"/>
                <w:sz w:val="17"/>
                <w:szCs w:val="17"/>
                <w:color w:val="auto"/>
              </w:rPr>
              <w:t>Vince Holding Corp.</w:t>
            </w:r>
          </w:p>
        </w:tc>
      </w:tr>
      <w:tr>
        <w:trPr>
          <w:trHeight w:val="326"/>
        </w:trPr>
        <w:tc>
          <w:tcPr>
            <w:tcW w:w="1100" w:type="dxa"/>
            <w:vAlign w:val="bottom"/>
          </w:tcPr>
          <w:p>
            <w:pPr>
              <w:ind w:left="580"/>
              <w:spacing w:after="0"/>
              <w:rPr>
                <w:sz w:val="20"/>
                <w:szCs w:val="20"/>
                <w:color w:val="auto"/>
              </w:rPr>
            </w:pPr>
            <w:r>
              <w:rPr>
                <w:rFonts w:ascii="Arial" w:cs="Arial" w:eastAsia="Arial" w:hAnsi="Arial"/>
                <w:sz w:val="17"/>
                <w:szCs w:val="17"/>
                <w:color w:val="auto"/>
              </w:rPr>
              <w:t>•</w:t>
            </w:r>
          </w:p>
        </w:tc>
        <w:tc>
          <w:tcPr>
            <w:tcW w:w="2920" w:type="dxa"/>
            <w:vAlign w:val="bottom"/>
          </w:tcPr>
          <w:p>
            <w:pPr>
              <w:ind w:left="460"/>
              <w:spacing w:after="0"/>
              <w:rPr>
                <w:sz w:val="20"/>
                <w:szCs w:val="20"/>
                <w:color w:val="auto"/>
              </w:rPr>
            </w:pPr>
            <w:r>
              <w:rPr>
                <w:rFonts w:ascii="Arial" w:cs="Arial" w:eastAsia="Arial" w:hAnsi="Arial"/>
                <w:sz w:val="17"/>
                <w:szCs w:val="17"/>
                <w:color w:val="auto"/>
              </w:rPr>
              <w:t>Christopher &amp; Banks</w:t>
            </w:r>
          </w:p>
        </w:tc>
        <w:tc>
          <w:tcPr>
            <w:tcW w:w="580" w:type="dxa"/>
            <w:vAlign w:val="bottom"/>
          </w:tcPr>
          <w:p>
            <w:pPr>
              <w:ind w:left="420"/>
              <w:spacing w:after="0"/>
              <w:rPr>
                <w:sz w:val="20"/>
                <w:szCs w:val="20"/>
                <w:color w:val="auto"/>
              </w:rPr>
            </w:pPr>
            <w:r>
              <w:rPr>
                <w:rFonts w:ascii="Arial" w:cs="Arial" w:eastAsia="Arial" w:hAnsi="Arial"/>
                <w:sz w:val="17"/>
                <w:szCs w:val="17"/>
                <w:color w:val="auto"/>
              </w:rPr>
              <w:t>•</w:t>
            </w:r>
          </w:p>
        </w:tc>
        <w:tc>
          <w:tcPr>
            <w:tcW w:w="2460" w:type="dxa"/>
            <w:vAlign w:val="bottom"/>
          </w:tcPr>
          <w:p>
            <w:pPr>
              <w:ind w:left="100"/>
              <w:spacing w:after="0"/>
              <w:rPr>
                <w:sz w:val="20"/>
                <w:szCs w:val="20"/>
                <w:color w:val="auto"/>
              </w:rPr>
            </w:pPr>
            <w:r>
              <w:rPr>
                <w:rFonts w:ascii="Arial" w:cs="Arial" w:eastAsia="Arial" w:hAnsi="Arial"/>
                <w:sz w:val="17"/>
                <w:szCs w:val="17"/>
                <w:color w:val="auto"/>
              </w:rPr>
              <w:t>Movado Group</w:t>
            </w:r>
          </w:p>
        </w:tc>
        <w:tc>
          <w:tcPr>
            <w:tcW w:w="660" w:type="dxa"/>
            <w:vAlign w:val="bottom"/>
          </w:tcPr>
          <w:p>
            <w:pPr>
              <w:ind w:left="500"/>
              <w:spacing w:after="0"/>
              <w:rPr>
                <w:sz w:val="20"/>
                <w:szCs w:val="20"/>
                <w:color w:val="auto"/>
              </w:rPr>
            </w:pPr>
            <w:r>
              <w:rPr>
                <w:rFonts w:ascii="Arial" w:cs="Arial" w:eastAsia="Arial" w:hAnsi="Arial"/>
                <w:sz w:val="17"/>
                <w:szCs w:val="17"/>
                <w:color w:val="auto"/>
              </w:rPr>
              <w:t>•</w:t>
            </w:r>
          </w:p>
        </w:tc>
        <w:tc>
          <w:tcPr>
            <w:tcW w:w="3540" w:type="dxa"/>
            <w:vAlign w:val="bottom"/>
          </w:tcPr>
          <w:p>
            <w:pPr>
              <w:ind w:left="100"/>
              <w:spacing w:after="0"/>
              <w:rPr>
                <w:sz w:val="20"/>
                <w:szCs w:val="20"/>
                <w:color w:val="auto"/>
              </w:rPr>
            </w:pPr>
            <w:r>
              <w:rPr>
                <w:rFonts w:ascii="Arial" w:cs="Arial" w:eastAsia="Arial" w:hAnsi="Arial"/>
                <w:sz w:val="17"/>
                <w:szCs w:val="17"/>
                <w:color w:val="auto"/>
              </w:rPr>
              <w:t>Zumiez, Inc.</w:t>
            </w:r>
          </w:p>
        </w:tc>
      </w:tr>
      <w:tr>
        <w:trPr>
          <w:trHeight w:val="534"/>
        </w:trPr>
        <w:tc>
          <w:tcPr>
            <w:tcW w:w="1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60" w:type="dxa"/>
            <w:vAlign w:val="bottom"/>
          </w:tcPr>
          <w:p>
            <w:pPr>
              <w:ind w:left="980"/>
              <w:spacing w:after="0"/>
              <w:rPr>
                <w:sz w:val="20"/>
                <w:szCs w:val="20"/>
                <w:color w:val="auto"/>
              </w:rPr>
            </w:pPr>
            <w:r>
              <w:rPr>
                <w:rFonts w:ascii="Arial" w:cs="Arial" w:eastAsia="Arial" w:hAnsi="Arial"/>
                <w:sz w:val="17"/>
                <w:szCs w:val="17"/>
                <w:color w:val="auto"/>
              </w:rPr>
              <w:t>8</w:t>
            </w:r>
          </w:p>
        </w:tc>
        <w:tc>
          <w:tcPr>
            <w:tcW w:w="6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19"/>
        </w:trPr>
        <w:tc>
          <w:tcPr>
            <w:tcW w:w="11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22" w:right="319" w:bottom="1440" w:gutter="0" w:footer="0" w:header="0"/>
        </w:sectPr>
      </w:pPr>
    </w:p>
    <w:bookmarkStart w:id="9" w:name="page10"/>
    <w:bookmarkEnd w:id="9"/>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Citi Trends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Sportsman’s Warehouse</w:t>
      </w:r>
    </w:p>
    <w:p>
      <w:pPr>
        <w:spacing w:after="0" w:line="178" w:lineRule="exact"/>
        <w:rPr>
          <w:sz w:val="20"/>
          <w:szCs w:val="20"/>
          <w:color w:val="auto"/>
        </w:rPr>
      </w:pPr>
    </w:p>
    <w:p>
      <w:pPr>
        <w:sectPr>
          <w:pgSz w:w="11900" w:h="16838" w:orient="portrait"/>
          <w:cols w:equalWidth="0" w:num="4">
            <w:col w:w="840" w:space="720"/>
            <w:col w:w="2160" w:space="720"/>
            <w:col w:w="60" w:space="200"/>
            <w:col w:w="6480"/>
          </w:cols>
          <w:pgMar w:left="320" w:top="335" w:right="399" w:bottom="1440" w:gutter="0" w:footer="0" w:header="0"/>
        </w:sect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Destination Maternity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Tile Shop Holdings</w:t>
      </w:r>
    </w:p>
    <w:p>
      <w:pPr>
        <w:spacing w:after="0" w:line="211" w:lineRule="exact"/>
        <w:rPr>
          <w:sz w:val="20"/>
          <w:szCs w:val="20"/>
          <w:color w:val="auto"/>
        </w:rPr>
      </w:pPr>
    </w:p>
    <w:p>
      <w:pPr>
        <w:sectPr>
          <w:pgSz w:w="11900" w:h="16838" w:orient="portrait"/>
          <w:cols w:equalWidth="0" w:num="4">
            <w:col w:w="840" w:space="720"/>
            <w:col w:w="2160" w:space="720"/>
            <w:col w:w="60" w:space="200"/>
            <w:col w:w="6480"/>
          </w:cols>
          <w:pgMar w:left="320" w:top="335" w:right="39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For fiscal 2020, we updated our peer group to remove Destination Maternity, due to bankruptcy, and add Retailwinds, Inc.</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order to develop an appropriate peer group, we consider companies with a range of revenues, assets and market capitalizations that may differ from those included by independent analysts such as Institutional Shareholder Services (ISS). When we reviewed our 2019 peers, we fell just below the median of the revenues and assets of our peer group. Our market capitalization was considered in developing our peer group, but due to the fact that our stock is so thinly traded, more weight was given to the revenue and assets.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Say-on-Pay</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At our 2019 Annual Meeting, stockholders had an opportunity to cast a non-binding advisory vote on executive compensation as disclosed in the 2019 Proxy Statement. Of the votes cast on the say-on-pay proposal, 91.7% voted in favor of the proposal. The Compensation Committee considered the results of the 2019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Assessment/Clawback</w:t>
      </w:r>
    </w:p>
    <w:p>
      <w:pPr>
        <w:spacing w:after="0" w:line="11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results in a financial restatement. Incentive-Based Compensation includes all cash and equity awards.</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Components and Fiscal 2019 Compensation Decisions</w:t>
      </w:r>
    </w:p>
    <w:p>
      <w:pPr>
        <w:spacing w:after="0" w:line="1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287655</wp:posOffset>
            </wp:positionV>
            <wp:extent cx="5781040" cy="1761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1040" cy="176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0" w:firstLine="4"/>
        <w:spacing w:after="0" w:line="237" w:lineRule="auto"/>
        <w:tabs>
          <w:tab w:leader="none" w:pos="10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above target compensation for the CEO does not reflect the value of Mr. Kanter’s sign-on awards granted in connection with his hiring, which included a PSU award aligned with long-term stockholder growth.</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executive compensation are as follows:</w:t>
      </w:r>
    </w:p>
    <w:p>
      <w:pPr>
        <w:spacing w:after="0" w:line="117" w:lineRule="exact"/>
        <w:rPr>
          <w:sz w:val="20"/>
          <w:szCs w:val="20"/>
          <w:color w:val="auto"/>
        </w:rPr>
      </w:pPr>
    </w:p>
    <w:p>
      <w:pPr>
        <w:ind w:left="760" w:hanging="248"/>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Base salary</w:t>
      </w:r>
    </w:p>
    <w:p>
      <w:pPr>
        <w:spacing w:after="0" w:line="117" w:lineRule="exact"/>
        <w:rPr>
          <w:rFonts w:ascii="Arial" w:cs="Arial" w:eastAsia="Arial" w:hAnsi="Arial"/>
          <w:sz w:val="17"/>
          <w:szCs w:val="17"/>
          <w:color w:val="auto"/>
        </w:rPr>
      </w:pPr>
    </w:p>
    <w:p>
      <w:pPr>
        <w:ind w:left="760" w:right="100"/>
        <w:spacing w:after="0" w:line="286" w:lineRule="auto"/>
        <w:rPr>
          <w:rFonts w:ascii="Arial" w:cs="Arial" w:eastAsia="Arial" w:hAnsi="Arial"/>
          <w:sz w:val="17"/>
          <w:szCs w:val="17"/>
          <w:color w:val="auto"/>
        </w:rPr>
      </w:pPr>
      <w:r>
        <w:rPr>
          <w:rFonts w:ascii="Arial" w:cs="Arial" w:eastAsia="Arial" w:hAnsi="Arial"/>
          <w:sz w:val="17"/>
          <w:szCs w:val="17"/>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55" w:lineRule="exact"/>
        <w:rPr>
          <w:rFonts w:ascii="Arial" w:cs="Arial" w:eastAsia="Arial" w:hAnsi="Arial"/>
          <w:sz w:val="17"/>
          <w:szCs w:val="17"/>
          <w:color w:val="auto"/>
        </w:rPr>
      </w:pPr>
    </w:p>
    <w:p>
      <w:pPr>
        <w:ind w:left="760"/>
        <w:spacing w:after="0" w:line="266" w:lineRule="auto"/>
        <w:rPr>
          <w:rFonts w:ascii="Arial" w:cs="Arial" w:eastAsia="Arial" w:hAnsi="Arial"/>
          <w:sz w:val="17"/>
          <w:szCs w:val="17"/>
          <w:color w:val="auto"/>
        </w:rPr>
      </w:pPr>
      <w:r>
        <w:rPr>
          <w:rFonts w:ascii="Arial" w:cs="Arial" w:eastAsia="Arial" w:hAnsi="Arial"/>
          <w:sz w:val="17"/>
          <w:szCs w:val="17"/>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1" w:lineRule="exact"/>
        <w:rPr>
          <w:rFonts w:ascii="Arial" w:cs="Arial" w:eastAsia="Arial" w:hAnsi="Arial"/>
          <w:sz w:val="17"/>
          <w:szCs w:val="17"/>
          <w:color w:val="auto"/>
        </w:rPr>
      </w:pPr>
    </w:p>
    <w:p>
      <w:pPr>
        <w:ind w:left="760"/>
        <w:spacing w:after="0" w:line="271" w:lineRule="auto"/>
        <w:rPr>
          <w:rFonts w:ascii="Arial" w:cs="Arial" w:eastAsia="Arial" w:hAnsi="Arial"/>
          <w:sz w:val="17"/>
          <w:szCs w:val="17"/>
          <w:color w:val="auto"/>
        </w:rPr>
      </w:pPr>
      <w:r>
        <w:rPr>
          <w:rFonts w:ascii="Arial" w:cs="Arial" w:eastAsia="Arial" w:hAnsi="Arial"/>
          <w:sz w:val="17"/>
          <w:szCs w:val="17"/>
          <w:color w:val="auto"/>
        </w:rPr>
        <w:t>The Compensation Committee expects the CEO’s base salary to be at or near the peer group median, and to approximate 25%-33% of his target Direct Compensation. Our CEO determines the base salary of our other Named Executive Officers, subject to the review and approval of the Compensation Committee, and targets the median of the peer group and published industry compensation surveys.</w:t>
      </w:r>
    </w:p>
    <w:p>
      <w:pPr>
        <w:spacing w:after="0" w:line="67" w:lineRule="exact"/>
        <w:rPr>
          <w:rFonts w:ascii="Arial" w:cs="Arial" w:eastAsia="Arial" w:hAnsi="Arial"/>
          <w:sz w:val="17"/>
          <w:szCs w:val="17"/>
          <w:color w:val="auto"/>
        </w:rPr>
      </w:pPr>
    </w:p>
    <w:p>
      <w:pPr>
        <w:ind w:left="760" w:right="360"/>
        <w:spacing w:after="0" w:line="271" w:lineRule="auto"/>
        <w:rPr>
          <w:rFonts w:ascii="Arial" w:cs="Arial" w:eastAsia="Arial" w:hAnsi="Arial"/>
          <w:sz w:val="17"/>
          <w:szCs w:val="17"/>
          <w:color w:val="auto"/>
        </w:rPr>
      </w:pPr>
      <w:r>
        <w:rPr>
          <w:rFonts w:ascii="Arial" w:cs="Arial" w:eastAsia="Arial" w:hAnsi="Arial"/>
          <w:sz w:val="17"/>
          <w:szCs w:val="17"/>
          <w:color w:val="auto"/>
        </w:rPr>
        <w:t>For fiscal 2019, Messrs. Chane and Gaeta received merit increases of 1.8% and 3.5%, respectively, to bring their base salaries to $290,000 and $295,000, respectively. There were no other adjustments to the base salaries of our other Named Executive Officers. Our CEO’s base salary was negotiated as part of his employment agreement.</w:t>
      </w:r>
    </w:p>
    <w:p>
      <w:pPr>
        <w:spacing w:after="0" w:line="171" w:lineRule="exact"/>
        <w:rPr>
          <w:rFonts w:ascii="Arial" w:cs="Arial" w:eastAsia="Arial" w:hAnsi="Arial"/>
          <w:sz w:val="17"/>
          <w:szCs w:val="17"/>
          <w:color w:val="auto"/>
        </w:rPr>
      </w:pPr>
    </w:p>
    <w:p>
      <w:pPr>
        <w:ind w:left="760" w:hanging="248"/>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Performance-based Annual Incentive Plan</w:t>
      </w:r>
    </w:p>
    <w:p>
      <w:pPr>
        <w:spacing w:after="0" w:line="221" w:lineRule="exact"/>
        <w:rPr>
          <w:rFonts w:ascii="Arial" w:cs="Arial" w:eastAsia="Arial" w:hAnsi="Arial"/>
          <w:sz w:val="17"/>
          <w:szCs w:val="17"/>
          <w:color w:val="auto"/>
        </w:rPr>
      </w:pPr>
    </w:p>
    <w:p>
      <w:pPr>
        <w:ind w:left="760" w:right="20"/>
        <w:spacing w:after="0" w:line="271" w:lineRule="auto"/>
        <w:rPr>
          <w:rFonts w:ascii="Arial" w:cs="Arial" w:eastAsia="Arial" w:hAnsi="Arial"/>
          <w:sz w:val="17"/>
          <w:szCs w:val="17"/>
          <w:color w:val="auto"/>
        </w:rPr>
      </w:pPr>
      <w:r>
        <w:rPr>
          <w:rFonts w:ascii="Arial" w:cs="Arial" w:eastAsia="Arial" w:hAnsi="Arial"/>
          <w:sz w:val="17"/>
          <w:szCs w:val="17"/>
          <w:color w:val="auto"/>
        </w:rPr>
        <w:t>The Compensation Committee believes that a substantial portion of each Named Executive Officer’s compensation should tie directly to our Company’s financial performance. Our Fourth Amended and Restated Annual Incentive Plan (“AIP”) provides for an annual performance-based cash incentive for all executives as well as certain non-executive employees.</w:t>
      </w:r>
    </w:p>
    <w:p>
      <w:pPr>
        <w:spacing w:after="0" w:line="171"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7"/>
          <w:szCs w:val="17"/>
          <w:u w:val="single" w:color="auto"/>
          <w:color w:val="auto"/>
        </w:rPr>
        <w:t>2019 AIP</w:t>
      </w:r>
    </w:p>
    <w:p>
      <w:pPr>
        <w:spacing w:after="0" w:line="221" w:lineRule="exact"/>
        <w:rPr>
          <w:rFonts w:ascii="Arial" w:cs="Arial" w:eastAsia="Arial" w:hAnsi="Arial"/>
          <w:sz w:val="17"/>
          <w:szCs w:val="17"/>
          <w:color w:val="auto"/>
        </w:rPr>
      </w:pPr>
    </w:p>
    <w:p>
      <w:pPr>
        <w:ind w:left="760" w:right="220"/>
        <w:spacing w:after="0" w:line="262" w:lineRule="auto"/>
        <w:rPr>
          <w:rFonts w:ascii="Arial" w:cs="Arial" w:eastAsia="Arial" w:hAnsi="Arial"/>
          <w:sz w:val="17"/>
          <w:szCs w:val="17"/>
          <w:color w:val="auto"/>
        </w:rPr>
      </w:pPr>
      <w:r>
        <w:rPr>
          <w:rFonts w:ascii="Arial" w:cs="Arial" w:eastAsia="Arial" w:hAnsi="Arial"/>
          <w:sz w:val="17"/>
          <w:szCs w:val="17"/>
          <w:color w:val="auto"/>
        </w:rPr>
        <w:t>On May 1, 2019, the Compensation Committee established financial and operating performance metrics for grants under the 2019 AIP. The performance targets included Corporate targets (Sales and Adjusted EBITDA), departmental targets for Store Operations, Marketing &amp; Digital, and Merchandise/Planning and Allocation, as well as discretionary personal goals. Because Mr. Kanter had only recently assumed the position of President and CEO, the Compensation Committee felt it was necessary to decrease the number of Corporate targets for fiscal 2019 as compared to previous years and to focus on Sales and Adjusted EBITDA to allow Mr. Kanter the flexibility to implement or modify any business initiatives without rendering other targets under the 2019 AIP irrelevant.</w:t>
      </w:r>
    </w:p>
    <w:p>
      <w:pPr>
        <w:spacing w:after="0" w:line="178" w:lineRule="exact"/>
        <w:rPr>
          <w:rFonts w:ascii="Arial" w:cs="Arial" w:eastAsia="Arial" w:hAnsi="Arial"/>
          <w:sz w:val="17"/>
          <w:szCs w:val="17"/>
          <w:color w:val="auto"/>
        </w:rPr>
      </w:pPr>
    </w:p>
    <w:p>
      <w:pPr>
        <w:ind w:left="760" w:right="120"/>
        <w:spacing w:after="0" w:line="306" w:lineRule="auto"/>
        <w:rPr>
          <w:rFonts w:ascii="Arial" w:cs="Arial" w:eastAsia="Arial" w:hAnsi="Arial"/>
          <w:sz w:val="17"/>
          <w:szCs w:val="17"/>
          <w:color w:val="auto"/>
        </w:rPr>
      </w:pPr>
      <w:r>
        <w:rPr>
          <w:rFonts w:ascii="Arial" w:cs="Arial" w:eastAsia="Arial" w:hAnsi="Arial"/>
          <w:sz w:val="15"/>
          <w:szCs w:val="15"/>
          <w:color w:val="auto"/>
        </w:rPr>
        <w:t>Shortly after assuming his position as President and CEO, Mr. Kanter, working with senior management, evaluated and developed a strategic plan, specifically focused on our marketing and digital platforms in driving greater customer engagement. Senior Management began to implement many initiatives, which included a realignment of the marketing team and a shift in our marketing and digital strategy, expecting much of the benefit of the restructuring to be recognized long-term. In light of the strategic plan developed by Mr. Kanter and the subsequent approval by the Board in August 2019 of the revised strategic plan, the Compensation Committee reconsidered the 2019 AIP and approved modifications to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ind w:left="760" w:right="100"/>
        <w:spacing w:after="0" w:line="279" w:lineRule="auto"/>
        <w:rPr>
          <w:sz w:val="20"/>
          <w:szCs w:val="20"/>
          <w:color w:val="auto"/>
        </w:rPr>
      </w:pPr>
      <w:r>
        <w:rPr>
          <w:rFonts w:ascii="Arial" w:cs="Arial" w:eastAsia="Arial" w:hAnsi="Arial"/>
          <w:sz w:val="16"/>
          <w:szCs w:val="16"/>
          <w:color w:val="auto"/>
        </w:rPr>
        <w:t>previously-established targets to align with the revised strategic plan but did not change any of the metrics. In doing so, the Compensation Committee considered the Company’s performance through the end of the second quarter in relation to the previously-established targets and determined that, as of that date, no payout under the previously-established targets was probable. The Compensation Committee also modified the threshold and maximum limits in which the achievement of the financial metric targets would be met. In addition, because the 2019 AIP was being modified in August, the Compensation Committee determined that, solely with respect to the portion of any payout earned for achievement of the Corporate targets under the plan, including departmental goals, such portions of the payout would be reduced by 50%. The Compensation Committee believed that it was possible, with an approximate 50% probability, to meet or exceed each of the adjusted targets.</w:t>
      </w:r>
    </w:p>
    <w:p>
      <w:pPr>
        <w:spacing w:after="0" w:line="170" w:lineRule="exact"/>
        <w:rPr>
          <w:sz w:val="20"/>
          <w:szCs w:val="20"/>
          <w:color w:val="auto"/>
        </w:rPr>
      </w:pPr>
    </w:p>
    <w:p>
      <w:pPr>
        <w:ind w:left="760" w:right="220"/>
        <w:spacing w:after="0" w:line="281" w:lineRule="auto"/>
        <w:rPr>
          <w:sz w:val="20"/>
          <w:szCs w:val="20"/>
          <w:color w:val="auto"/>
        </w:rPr>
      </w:pPr>
      <w:r>
        <w:rPr>
          <w:rFonts w:ascii="Arial" w:cs="Arial" w:eastAsia="Arial" w:hAnsi="Arial"/>
          <w:sz w:val="16"/>
          <w:szCs w:val="16"/>
          <w:color w:val="auto"/>
        </w:rPr>
        <w:t>The Company’s Corporate metrics for the 2019 AIP included Sales and Adjusted EBITDA and represented 80% of the AIP for Messrs. Kanter, Stratton, Molloy, Chane, Levin and Reaves, and 40% of the AIP for Messrs. Gaeta and Davey. Messrs. Gaeta and Davey had specific departmental goals representing 40%. Discretionary personal goals represented the remaining 20% for each Named Executive Officer. These discretionary goals were pre-established and were an important component to the success of our strategic goals. For fiscal 2019, Mr. Kanter’s target participation in the AIP was at 100% of his annual salary, on a prorated basis, Messrs. Stratton, Reaves and Davey participated at 55% of their respective salaries, and Messrs. Molloy, Chane and Gaeta participated at 40% of their respective salaries.</w:t>
      </w:r>
    </w:p>
    <w:p>
      <w:pPr>
        <w:spacing w:after="0" w:line="16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2019 AIP performance metrics and actual results against these metrics were as follows:</w:t>
      </w:r>
    </w:p>
    <w:p>
      <w:pPr>
        <w:sectPr>
          <w:pgSz w:w="11900" w:h="16838" w:orient="portrait"/>
          <w:cols w:equalWidth="0" w:num="1">
            <w:col w:w="11260"/>
          </w:cols>
          <w:pgMar w:left="320" w:top="335" w:right="319" w:bottom="1440" w:gutter="0" w:footer="0" w:header="0"/>
        </w:sect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3"/>
          </w:tcPr>
          <w:p>
            <w:pPr>
              <w:jc w:val="center"/>
              <w:ind w:left="26"/>
              <w:spacing w:after="0"/>
              <w:rPr>
                <w:sz w:val="20"/>
                <w:szCs w:val="20"/>
                <w:color w:val="auto"/>
              </w:rPr>
            </w:pPr>
            <w:r>
              <w:rPr>
                <w:rFonts w:ascii="Arial" w:cs="Arial" w:eastAsia="Arial" w:hAnsi="Arial"/>
                <w:sz w:val="10"/>
                <w:szCs w:val="10"/>
                <w:b w:val="1"/>
                <w:bCs w:val="1"/>
                <w:color w:val="auto"/>
                <w:w w:val="99"/>
              </w:rPr>
              <w:t>Award %</w:t>
            </w:r>
          </w:p>
        </w:tc>
        <w:tc>
          <w:tcPr>
            <w:tcW w:w="180" w:type="dxa"/>
            <w:vAlign w:val="bottom"/>
          </w:tcPr>
          <w:p>
            <w:pPr>
              <w:spacing w:after="0"/>
              <w:rPr>
                <w:sz w:val="10"/>
                <w:szCs w:val="10"/>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Award %</w:t>
            </w:r>
          </w:p>
        </w:tc>
        <w:tc>
          <w:tcPr>
            <w:tcW w:w="0" w:type="dxa"/>
            <w:vAlign w:val="bottom"/>
          </w:tcPr>
          <w:p>
            <w:pPr>
              <w:spacing w:after="0"/>
              <w:rPr>
                <w:sz w:val="1"/>
                <w:szCs w:val="1"/>
                <w:color w:val="auto"/>
              </w:rPr>
            </w:pPr>
          </w:p>
        </w:tc>
      </w:tr>
      <w:tr>
        <w:trPr>
          <w:trHeight w:val="117"/>
        </w:trPr>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3"/>
          </w:tcPr>
          <w:p>
            <w:pPr>
              <w:jc w:val="center"/>
              <w:ind w:left="26"/>
              <w:spacing w:after="0"/>
              <w:rPr>
                <w:sz w:val="20"/>
                <w:szCs w:val="20"/>
                <w:color w:val="auto"/>
              </w:rPr>
            </w:pPr>
            <w:r>
              <w:rPr>
                <w:rFonts w:ascii="Arial" w:cs="Arial" w:eastAsia="Arial" w:hAnsi="Arial"/>
                <w:sz w:val="10"/>
                <w:szCs w:val="10"/>
                <w:b w:val="1"/>
                <w:bCs w:val="1"/>
                <w:color w:val="auto"/>
                <w:w w:val="96"/>
              </w:rPr>
              <w:t>Attributable to</w:t>
            </w:r>
          </w:p>
        </w:tc>
        <w:tc>
          <w:tcPr>
            <w:tcW w:w="740" w:type="dxa"/>
            <w:vAlign w:val="bottom"/>
            <w:gridSpan w:val="3"/>
          </w:tcPr>
          <w:p>
            <w:pPr>
              <w:jc w:val="center"/>
              <w:ind w:left="22"/>
              <w:spacing w:after="0"/>
              <w:rPr>
                <w:sz w:val="20"/>
                <w:szCs w:val="20"/>
                <w:color w:val="auto"/>
              </w:rPr>
            </w:pPr>
            <w:r>
              <w:rPr>
                <w:rFonts w:ascii="Arial" w:cs="Arial" w:eastAsia="Arial" w:hAnsi="Arial"/>
                <w:sz w:val="10"/>
                <w:szCs w:val="10"/>
                <w:b w:val="1"/>
                <w:bCs w:val="1"/>
                <w:color w:val="auto"/>
                <w:w w:val="96"/>
              </w:rPr>
              <w:t>Attributable to</w:t>
            </w:r>
          </w:p>
        </w:tc>
        <w:tc>
          <w:tcPr>
            <w:tcW w:w="0" w:type="dxa"/>
            <w:vAlign w:val="bottom"/>
          </w:tcPr>
          <w:p>
            <w:pPr>
              <w:spacing w:after="0"/>
              <w:rPr>
                <w:sz w:val="1"/>
                <w:szCs w:val="1"/>
                <w:color w:val="auto"/>
              </w:rPr>
            </w:pPr>
          </w:p>
        </w:tc>
      </w:tr>
      <w:tr>
        <w:trPr>
          <w:trHeight w:val="117"/>
        </w:trPr>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2"/>
              </w:rPr>
              <w:t>Metric</w:t>
            </w:r>
          </w:p>
        </w:tc>
        <w:tc>
          <w:tcPr>
            <w:tcW w:w="260" w:type="dxa"/>
            <w:vAlign w:val="bottom"/>
            <w:vMerge w:val="restart"/>
          </w:tcPr>
          <w:p>
            <w:pPr>
              <w:spacing w:after="0"/>
              <w:rPr>
                <w:sz w:val="10"/>
                <w:szCs w:val="10"/>
                <w:color w:val="auto"/>
              </w:rPr>
            </w:pPr>
          </w:p>
        </w:tc>
        <w:tc>
          <w:tcPr>
            <w:tcW w:w="1020" w:type="dxa"/>
            <w:vAlign w:val="bottom"/>
            <w:gridSpan w:val="3"/>
          </w:tcPr>
          <w:p>
            <w:pPr>
              <w:jc w:val="center"/>
              <w:ind w:left="26"/>
              <w:spacing w:after="0"/>
              <w:rPr>
                <w:sz w:val="20"/>
                <w:szCs w:val="20"/>
                <w:color w:val="auto"/>
              </w:rPr>
            </w:pPr>
            <w:r>
              <w:rPr>
                <w:rFonts w:ascii="Arial" w:cs="Arial" w:eastAsia="Arial" w:hAnsi="Arial"/>
                <w:sz w:val="10"/>
                <w:szCs w:val="10"/>
                <w:b w:val="1"/>
                <w:bCs w:val="1"/>
                <w:color w:val="auto"/>
                <w:w w:val="96"/>
              </w:rPr>
              <w:t>Target for NEOs</w:t>
            </w:r>
          </w:p>
        </w:tc>
        <w:tc>
          <w:tcPr>
            <w:tcW w:w="180" w:type="dxa"/>
            <w:vAlign w:val="bottom"/>
          </w:tcPr>
          <w:p>
            <w:pPr>
              <w:spacing w:after="0"/>
              <w:rPr>
                <w:sz w:val="10"/>
                <w:szCs w:val="10"/>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Target for</w:t>
            </w:r>
          </w:p>
        </w:tc>
        <w:tc>
          <w:tcPr>
            <w:tcW w:w="0" w:type="dxa"/>
            <w:vAlign w:val="bottom"/>
          </w:tcPr>
          <w:p>
            <w:pPr>
              <w:spacing w:after="0"/>
              <w:rPr>
                <w:sz w:val="1"/>
                <w:szCs w:val="1"/>
                <w:color w:val="auto"/>
              </w:rPr>
            </w:pPr>
          </w:p>
        </w:tc>
      </w:tr>
      <w:tr>
        <w:trPr>
          <w:trHeight w:val="11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Corporate</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auto"/>
                <w:w w:val="96"/>
              </w:rPr>
              <w:t>Sales</w:t>
            </w:r>
          </w:p>
        </w:tc>
        <w:tc>
          <w:tcPr>
            <w:tcW w:w="4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020" w:type="dxa"/>
            <w:vAlign w:val="bottom"/>
            <w:gridSpan w:val="3"/>
          </w:tcPr>
          <w:p>
            <w:pPr>
              <w:jc w:val="center"/>
              <w:ind w:left="46"/>
              <w:spacing w:after="0"/>
              <w:rPr>
                <w:sz w:val="20"/>
                <w:szCs w:val="20"/>
                <w:color w:val="auto"/>
              </w:rPr>
            </w:pPr>
            <w:r>
              <w:rPr>
                <w:rFonts w:ascii="Arial" w:cs="Arial" w:eastAsia="Arial" w:hAnsi="Arial"/>
                <w:sz w:val="10"/>
                <w:szCs w:val="10"/>
                <w:b w:val="1"/>
                <w:bCs w:val="1"/>
                <w:color w:val="auto"/>
                <w:w w:val="94"/>
              </w:rPr>
              <w:t>except Mr. Gaeta</w:t>
            </w:r>
          </w:p>
        </w:tc>
        <w:tc>
          <w:tcPr>
            <w:tcW w:w="180" w:type="dxa"/>
            <w:vAlign w:val="bottom"/>
          </w:tcPr>
          <w:p>
            <w:pPr>
              <w:spacing w:after="0"/>
              <w:rPr>
                <w:sz w:val="10"/>
                <w:szCs w:val="10"/>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Mr. Gaeta</w:t>
            </w: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9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0" w:type="dxa"/>
            <w:vAlign w:val="bottom"/>
          </w:tcPr>
          <w:p>
            <w:pPr>
              <w:spacing w:after="0" w:line="114" w:lineRule="exact"/>
              <w:rPr>
                <w:sz w:val="20"/>
                <w:szCs w:val="20"/>
                <w:color w:val="auto"/>
              </w:rPr>
            </w:pPr>
            <w:r>
              <w:rPr>
                <w:rFonts w:ascii="Arial" w:cs="Arial" w:eastAsia="Arial" w:hAnsi="Arial"/>
                <w:sz w:val="12"/>
                <w:szCs w:val="12"/>
                <w:color w:val="auto"/>
                <w:w w:val="73"/>
              </w:rPr>
              <w:t>(excludes</w:t>
            </w:r>
          </w:p>
        </w:tc>
        <w:tc>
          <w:tcPr>
            <w:tcW w:w="260" w:type="dxa"/>
            <w:vAlign w:val="bottom"/>
            <w:vMerge w:val="continue"/>
          </w:tcPr>
          <w:p>
            <w:pPr>
              <w:spacing w:after="0"/>
              <w:rPr>
                <w:sz w:val="9"/>
                <w:szCs w:val="9"/>
                <w:color w:val="auto"/>
              </w:rPr>
            </w:pPr>
          </w:p>
        </w:tc>
        <w:tc>
          <w:tcPr>
            <w:tcW w:w="940" w:type="dxa"/>
            <w:vAlign w:val="bottom"/>
            <w:gridSpan w:val="2"/>
          </w:tcPr>
          <w:p>
            <w:pPr>
              <w:jc w:val="center"/>
              <w:ind w:left="126"/>
              <w:spacing w:after="0" w:line="114" w:lineRule="exact"/>
              <w:rPr>
                <w:sz w:val="20"/>
                <w:szCs w:val="20"/>
                <w:color w:val="auto"/>
              </w:rPr>
            </w:pPr>
            <w:r>
              <w:rPr>
                <w:rFonts w:ascii="Arial" w:cs="Arial" w:eastAsia="Arial" w:hAnsi="Arial"/>
                <w:sz w:val="13"/>
                <w:szCs w:val="13"/>
                <w:color w:val="auto"/>
                <w:w w:val="97"/>
              </w:rPr>
              <w:t>40.0%</w:t>
            </w:r>
          </w:p>
        </w:tc>
        <w:tc>
          <w:tcPr>
            <w:tcW w:w="80" w:type="dxa"/>
            <w:vAlign w:val="bottom"/>
          </w:tcPr>
          <w:p>
            <w:pPr>
              <w:spacing w:after="0"/>
              <w:rPr>
                <w:sz w:val="9"/>
                <w:szCs w:val="9"/>
                <w:color w:val="auto"/>
              </w:rPr>
            </w:pPr>
          </w:p>
        </w:tc>
        <w:tc>
          <w:tcPr>
            <w:tcW w:w="640" w:type="dxa"/>
            <w:vAlign w:val="bottom"/>
            <w:gridSpan w:val="2"/>
          </w:tcPr>
          <w:p>
            <w:pPr>
              <w:jc w:val="center"/>
              <w:ind w:left="102"/>
              <w:spacing w:after="0" w:line="114" w:lineRule="exact"/>
              <w:rPr>
                <w:sz w:val="20"/>
                <w:szCs w:val="20"/>
                <w:color w:val="auto"/>
              </w:rPr>
            </w:pPr>
            <w:r>
              <w:rPr>
                <w:rFonts w:ascii="Arial" w:cs="Arial" w:eastAsia="Arial" w:hAnsi="Arial"/>
                <w:sz w:val="13"/>
                <w:szCs w:val="13"/>
                <w:color w:val="auto"/>
                <w:w w:val="97"/>
              </w:rPr>
              <w:t>20.0%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line="147" w:lineRule="exact"/>
              <w:rPr>
                <w:sz w:val="20"/>
                <w:szCs w:val="20"/>
                <w:color w:val="auto"/>
              </w:rPr>
            </w:pPr>
            <w:r>
              <w:rPr>
                <w:rFonts w:ascii="Arial" w:cs="Arial" w:eastAsia="Arial" w:hAnsi="Arial"/>
                <w:sz w:val="14"/>
                <w:szCs w:val="14"/>
                <w:b w:val="1"/>
                <w:bCs w:val="1"/>
                <w:color w:val="auto"/>
              </w:rPr>
              <w:t>Target 1</w:t>
            </w:r>
          </w:p>
        </w:tc>
        <w:tc>
          <w:tcPr>
            <w:tcW w:w="1280" w:type="dxa"/>
            <w:vAlign w:val="bottom"/>
            <w:gridSpan w:val="3"/>
          </w:tcPr>
          <w:p>
            <w:pPr>
              <w:ind w:left="260"/>
              <w:spacing w:after="0" w:line="147" w:lineRule="exact"/>
              <w:rPr>
                <w:sz w:val="20"/>
                <w:szCs w:val="20"/>
                <w:color w:val="auto"/>
              </w:rPr>
            </w:pPr>
            <w:r>
              <w:rPr>
                <w:rFonts w:ascii="Arial" w:cs="Arial" w:eastAsia="Arial" w:hAnsi="Arial"/>
                <w:sz w:val="14"/>
                <w:szCs w:val="14"/>
                <w:color w:val="auto"/>
              </w:rPr>
              <w:t>wholesale</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color w:val="auto"/>
              </w:rPr>
              <w:t>segment)</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Minimum/Maximum</w:t>
            </w:r>
          </w:p>
        </w:tc>
        <w:tc>
          <w:tcPr>
            <w:tcW w:w="16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2019 Target</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2019 Actual (1)</w:t>
            </w:r>
          </w:p>
        </w:tc>
        <w:tc>
          <w:tcPr>
            <w:tcW w:w="1300" w:type="dxa"/>
            <w:vAlign w:val="bottom"/>
            <w:gridSpan w:val="2"/>
            <w:vMerge w:val="restart"/>
          </w:tcPr>
          <w:p>
            <w:pPr>
              <w:jc w:val="center"/>
              <w:ind w:left="51"/>
              <w:spacing w:after="0"/>
              <w:rPr>
                <w:sz w:val="20"/>
                <w:szCs w:val="20"/>
                <w:color w:val="auto"/>
              </w:rPr>
            </w:pPr>
            <w:r>
              <w:rPr>
                <w:rFonts w:ascii="Arial" w:cs="Arial" w:eastAsia="Arial" w:hAnsi="Arial"/>
                <w:sz w:val="14"/>
                <w:szCs w:val="14"/>
                <w:b w:val="1"/>
                <w:bCs w:val="1"/>
                <w:color w:val="auto"/>
                <w:w w:val="90"/>
              </w:rPr>
              <w:t>Payout % earned(2)</w:t>
            </w:r>
          </w:p>
        </w:tc>
        <w:tc>
          <w:tcPr>
            <w:tcW w:w="0" w:type="dxa"/>
            <w:vAlign w:val="bottom"/>
          </w:tcPr>
          <w:p>
            <w:pPr>
              <w:spacing w:after="0"/>
              <w:rPr>
                <w:sz w:val="1"/>
                <w:szCs w:val="1"/>
                <w:color w:val="auto"/>
              </w:rPr>
            </w:pPr>
          </w:p>
        </w:tc>
      </w:tr>
      <w:tr>
        <w:trPr>
          <w:trHeight w:val="153"/>
        </w:trPr>
        <w:tc>
          <w:tcPr>
            <w:tcW w:w="1020" w:type="dxa"/>
            <w:vAlign w:val="bottom"/>
          </w:tcPr>
          <w:p>
            <w:pPr>
              <w:spacing w:after="0"/>
              <w:rPr>
                <w:sz w:val="13"/>
                <w:szCs w:val="13"/>
                <w:color w:val="auto"/>
              </w:rPr>
            </w:pPr>
          </w:p>
        </w:tc>
        <w:tc>
          <w:tcPr>
            <w:tcW w:w="2140" w:type="dxa"/>
            <w:vAlign w:val="bottom"/>
            <w:gridSpan w:val="2"/>
          </w:tcPr>
          <w:p>
            <w:pPr>
              <w:jc w:val="center"/>
              <w:ind w:right="1160"/>
              <w:spacing w:after="0" w:line="153" w:lineRule="exact"/>
              <w:rPr>
                <w:sz w:val="20"/>
                <w:szCs w:val="20"/>
                <w:color w:val="auto"/>
              </w:rPr>
            </w:pPr>
            <w:r>
              <w:rPr>
                <w:rFonts w:ascii="Arial" w:cs="Arial" w:eastAsia="Arial" w:hAnsi="Arial"/>
                <w:sz w:val="14"/>
                <w:szCs w:val="14"/>
                <w:b w:val="1"/>
                <w:bCs w:val="1"/>
                <w:color w:val="auto"/>
                <w:w w:val="89"/>
              </w:rPr>
              <w:t>Potential Payout</w:t>
            </w:r>
          </w:p>
        </w:tc>
        <w:tc>
          <w:tcPr>
            <w:tcW w:w="1680" w:type="dxa"/>
            <w:vAlign w:val="bottom"/>
            <w:gridSpan w:val="3"/>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vMerge w:val="restart"/>
          </w:tcPr>
          <w:p>
            <w:pPr>
              <w:jc w:val="right"/>
              <w:spacing w:after="0" w:line="138" w:lineRule="exact"/>
              <w:rPr>
                <w:sz w:val="20"/>
                <w:szCs w:val="20"/>
                <w:color w:val="auto"/>
              </w:rPr>
            </w:pPr>
            <w:r>
              <w:rPr>
                <w:rFonts w:ascii="Arial" w:cs="Arial" w:eastAsia="Arial" w:hAnsi="Arial"/>
                <w:sz w:val="14"/>
                <w:szCs w:val="14"/>
                <w:color w:val="auto"/>
              </w:rPr>
              <w:t>-</w:t>
            </w: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160" w:type="dxa"/>
            <w:vAlign w:val="bottom"/>
            <w:gridSpan w:val="3"/>
          </w:tcPr>
          <w:p>
            <w:pPr>
              <w:spacing w:after="0" w:line="118" w:lineRule="exact"/>
              <w:rPr>
                <w:sz w:val="20"/>
                <w:szCs w:val="20"/>
                <w:color w:val="auto"/>
              </w:rPr>
            </w:pPr>
            <w:r>
              <w:rPr>
                <w:rFonts w:ascii="Arial" w:cs="Arial" w:eastAsia="Arial" w:hAnsi="Arial"/>
                <w:sz w:val="13"/>
                <w:szCs w:val="13"/>
                <w:color w:val="auto"/>
              </w:rPr>
              <w:t>100% payout at target, with 50% payout at 99.0% of</w:t>
            </w:r>
          </w:p>
        </w:tc>
        <w:tc>
          <w:tcPr>
            <w:tcW w:w="1680" w:type="dxa"/>
            <w:vAlign w:val="bottom"/>
            <w:gridSpan w:val="3"/>
          </w:tcPr>
          <w:p>
            <w:pPr>
              <w:jc w:val="center"/>
              <w:ind w:right="320"/>
              <w:spacing w:after="0" w:line="118" w:lineRule="exact"/>
              <w:rPr>
                <w:sz w:val="20"/>
                <w:szCs w:val="20"/>
                <w:color w:val="auto"/>
              </w:rPr>
            </w:pPr>
            <w:r>
              <w:rPr>
                <w:rFonts w:ascii="Arial" w:cs="Arial" w:eastAsia="Arial" w:hAnsi="Arial"/>
                <w:sz w:val="13"/>
                <w:szCs w:val="13"/>
                <w:color w:val="auto"/>
              </w:rPr>
              <w:t>$466.8 million (3)</w:t>
            </w:r>
          </w:p>
        </w:tc>
        <w:tc>
          <w:tcPr>
            <w:tcW w:w="1020" w:type="dxa"/>
            <w:vAlign w:val="bottom"/>
            <w:gridSpan w:val="2"/>
          </w:tcPr>
          <w:p>
            <w:pPr>
              <w:jc w:val="center"/>
              <w:ind w:right="120"/>
              <w:spacing w:after="0" w:line="118" w:lineRule="exact"/>
              <w:rPr>
                <w:sz w:val="20"/>
                <w:szCs w:val="20"/>
                <w:color w:val="auto"/>
              </w:rPr>
            </w:pPr>
            <w:r>
              <w:rPr>
                <w:rFonts w:ascii="Arial" w:cs="Arial" w:eastAsia="Arial" w:hAnsi="Arial"/>
                <w:sz w:val="13"/>
                <w:szCs w:val="13"/>
                <w:color w:val="auto"/>
              </w:rPr>
              <w:t>$461.5 million</w:t>
            </w:r>
          </w:p>
        </w:tc>
        <w:tc>
          <w:tcPr>
            <w:tcW w:w="7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160" w:type="dxa"/>
            <w:vAlign w:val="bottom"/>
            <w:gridSpan w:val="3"/>
          </w:tcPr>
          <w:p>
            <w:pPr>
              <w:spacing w:after="0" w:line="143" w:lineRule="exact"/>
              <w:rPr>
                <w:sz w:val="20"/>
                <w:szCs w:val="20"/>
                <w:color w:val="auto"/>
              </w:rPr>
            </w:pPr>
            <w:r>
              <w:rPr>
                <w:rFonts w:ascii="Arial" w:cs="Arial" w:eastAsia="Arial" w:hAnsi="Arial"/>
                <w:sz w:val="14"/>
                <w:szCs w:val="14"/>
                <w:color w:val="auto"/>
                <w:w w:val="96"/>
              </w:rPr>
              <w:t>target and 150% payout at 100.8% of target, with the</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60" w:type="dxa"/>
            <w:vAlign w:val="bottom"/>
            <w:gridSpan w:val="3"/>
          </w:tcPr>
          <w:p>
            <w:pPr>
              <w:spacing w:after="0" w:line="143" w:lineRule="exact"/>
              <w:rPr>
                <w:sz w:val="20"/>
                <w:szCs w:val="20"/>
                <w:color w:val="auto"/>
              </w:rPr>
            </w:pPr>
            <w:r>
              <w:rPr>
                <w:rFonts w:ascii="Arial" w:cs="Arial" w:eastAsia="Arial" w:hAnsi="Arial"/>
                <w:sz w:val="14"/>
                <w:szCs w:val="14"/>
                <w:color w:val="auto"/>
              </w:rPr>
              <w:t>exception  of  Mr.  Kanter  who  was  eligible  for</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60" w:type="dxa"/>
            <w:vAlign w:val="bottom"/>
            <w:gridSpan w:val="3"/>
          </w:tcPr>
          <w:p>
            <w:pPr>
              <w:spacing w:after="0"/>
              <w:rPr>
                <w:sz w:val="20"/>
                <w:szCs w:val="20"/>
                <w:color w:val="auto"/>
              </w:rPr>
            </w:pPr>
            <w:r>
              <w:rPr>
                <w:rFonts w:ascii="Arial" w:cs="Arial" w:eastAsia="Arial" w:hAnsi="Arial"/>
                <w:sz w:val="14"/>
                <w:szCs w:val="14"/>
                <w:color w:val="auto"/>
              </w:rPr>
              <w:t>maximum payout of 200% at 100.8% of target.</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-372110</wp:posOffset>
            </wp:positionV>
            <wp:extent cx="7145655" cy="454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655" cy="45466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940" w:space="140"/>
            <w:col w:w="7180"/>
          </w:cols>
          <w:pgMar w:left="320" w:top="335"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4"/>
                <w:szCs w:val="14"/>
                <w:b w:val="1"/>
                <w:bCs w:val="1"/>
                <w:color w:val="auto"/>
              </w:rPr>
              <w:t>Corporate</w:t>
            </w:r>
          </w:p>
        </w:tc>
        <w:tc>
          <w:tcPr>
            <w:tcW w:w="1280" w:type="dxa"/>
            <w:vAlign w:val="bottom"/>
          </w:tcPr>
          <w:p>
            <w:pPr>
              <w:ind w:left="60"/>
              <w:spacing w:after="0"/>
              <w:rPr>
                <w:sz w:val="20"/>
                <w:szCs w:val="20"/>
                <w:color w:val="auto"/>
              </w:rPr>
            </w:pPr>
            <w:r>
              <w:rPr>
                <w:rFonts w:ascii="Arial" w:cs="Arial" w:eastAsia="Arial" w:hAnsi="Arial"/>
                <w:sz w:val="14"/>
                <w:szCs w:val="14"/>
                <w:color w:val="auto"/>
              </w:rPr>
              <w:t>Adjusted EBITDA</w:t>
            </w: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40.0%</w:t>
            </w: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20.0%</w:t>
            </w:r>
          </w:p>
        </w:tc>
        <w:tc>
          <w:tcPr>
            <w:tcW w:w="3180" w:type="dxa"/>
            <w:vAlign w:val="bottom"/>
          </w:tcPr>
          <w:p>
            <w:pPr>
              <w:ind w:left="140"/>
              <w:spacing w:after="0"/>
              <w:rPr>
                <w:sz w:val="20"/>
                <w:szCs w:val="20"/>
                <w:color w:val="auto"/>
              </w:rPr>
            </w:pPr>
            <w:r>
              <w:rPr>
                <w:rFonts w:ascii="Arial" w:cs="Arial" w:eastAsia="Arial" w:hAnsi="Arial"/>
                <w:sz w:val="14"/>
                <w:szCs w:val="14"/>
                <w:color w:val="auto"/>
                <w:w w:val="93"/>
              </w:rPr>
              <w:t>100% payout at target, with 50% payout at 96.0% of</w:t>
            </w: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$22.4 million (4)</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$23.5 million</w:t>
            </w:r>
          </w:p>
        </w:tc>
        <w:tc>
          <w:tcPr>
            <w:tcW w:w="1280" w:type="dxa"/>
            <w:vAlign w:val="bottom"/>
          </w:tcPr>
          <w:p>
            <w:pPr>
              <w:jc w:val="right"/>
              <w:ind w:right="351"/>
              <w:spacing w:after="0"/>
              <w:rPr>
                <w:sz w:val="20"/>
                <w:szCs w:val="20"/>
                <w:color w:val="auto"/>
              </w:rPr>
            </w:pPr>
            <w:r>
              <w:rPr>
                <w:rFonts w:ascii="Arial" w:cs="Arial" w:eastAsia="Arial" w:hAnsi="Arial"/>
                <w:sz w:val="14"/>
                <w:szCs w:val="14"/>
                <w:color w:val="auto"/>
              </w:rPr>
              <w:t>30.0%</w:t>
            </w:r>
          </w:p>
        </w:tc>
      </w:tr>
      <w:tr>
        <w:trPr>
          <w:trHeight w:val="147"/>
        </w:trPr>
        <w:tc>
          <w:tcPr>
            <w:tcW w:w="1100" w:type="dxa"/>
            <w:vAlign w:val="bottom"/>
          </w:tcPr>
          <w:p>
            <w:pPr>
              <w:spacing w:after="0" w:line="147" w:lineRule="exact"/>
              <w:rPr>
                <w:sz w:val="20"/>
                <w:szCs w:val="20"/>
                <w:color w:val="auto"/>
              </w:rPr>
            </w:pPr>
            <w:r>
              <w:rPr>
                <w:rFonts w:ascii="Arial" w:cs="Arial" w:eastAsia="Arial" w:hAnsi="Arial"/>
                <w:sz w:val="14"/>
                <w:szCs w:val="14"/>
                <w:b w:val="1"/>
                <w:bCs w:val="1"/>
                <w:color w:val="auto"/>
              </w:rPr>
              <w:t>Target 2</w:t>
            </w: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80" w:type="dxa"/>
            <w:vAlign w:val="bottom"/>
          </w:tcPr>
          <w:p>
            <w:pPr>
              <w:ind w:left="140"/>
              <w:spacing w:after="0" w:line="147" w:lineRule="exact"/>
              <w:rPr>
                <w:sz w:val="20"/>
                <w:szCs w:val="20"/>
                <w:color w:val="auto"/>
              </w:rPr>
            </w:pPr>
            <w:r>
              <w:rPr>
                <w:rFonts w:ascii="Arial" w:cs="Arial" w:eastAsia="Arial" w:hAnsi="Arial"/>
                <w:sz w:val="14"/>
                <w:szCs w:val="14"/>
                <w:color w:val="auto"/>
                <w:w w:val="92"/>
              </w:rPr>
              <w:t>target and 150% payout at 102.2% of target, with the</w:t>
            </w:r>
          </w:p>
        </w:tc>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80" w:type="dxa"/>
            <w:vAlign w:val="bottom"/>
          </w:tcPr>
          <w:p>
            <w:pPr>
              <w:jc w:val="center"/>
              <w:spacing w:after="0" w:line="147" w:lineRule="exact"/>
              <w:rPr>
                <w:sz w:val="20"/>
                <w:szCs w:val="20"/>
                <w:color w:val="auto"/>
              </w:rPr>
            </w:pPr>
            <w:r>
              <w:rPr>
                <w:rFonts w:ascii="Arial" w:cs="Arial" w:eastAsia="Arial" w:hAnsi="Arial"/>
                <w:sz w:val="14"/>
                <w:szCs w:val="14"/>
                <w:color w:val="auto"/>
                <w:w w:val="93"/>
              </w:rPr>
              <w:t>(40% for Mr. Kanter</w:t>
            </w:r>
          </w:p>
        </w:tc>
      </w:tr>
      <w:tr>
        <w:trPr>
          <w:trHeight w:val="143"/>
        </w:trPr>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80" w:type="dxa"/>
            <w:vAlign w:val="bottom"/>
          </w:tcPr>
          <w:p>
            <w:pPr>
              <w:ind w:left="140"/>
              <w:spacing w:after="0" w:line="143" w:lineRule="exact"/>
              <w:rPr>
                <w:sz w:val="20"/>
                <w:szCs w:val="20"/>
                <w:color w:val="auto"/>
              </w:rPr>
            </w:pPr>
            <w:r>
              <w:rPr>
                <w:rFonts w:ascii="Arial" w:cs="Arial" w:eastAsia="Arial" w:hAnsi="Arial"/>
                <w:sz w:val="14"/>
                <w:szCs w:val="14"/>
                <w:color w:val="auto"/>
              </w:rPr>
              <w:t>exception of Mr. Kanter who was eligible for a</w:t>
            </w:r>
          </w:p>
        </w:tc>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80" w:type="dxa"/>
            <w:vAlign w:val="bottom"/>
          </w:tcPr>
          <w:p>
            <w:pPr>
              <w:jc w:val="center"/>
              <w:ind w:left="11"/>
              <w:spacing w:after="0" w:line="143" w:lineRule="exact"/>
              <w:rPr>
                <w:sz w:val="20"/>
                <w:szCs w:val="20"/>
                <w:color w:val="auto"/>
              </w:rPr>
            </w:pPr>
            <w:r>
              <w:rPr>
                <w:rFonts w:ascii="Arial" w:cs="Arial" w:eastAsia="Arial" w:hAnsi="Arial"/>
                <w:sz w:val="14"/>
                <w:szCs w:val="14"/>
                <w:color w:val="auto"/>
                <w:w w:val="92"/>
              </w:rPr>
              <w:t>and 15% for Mr.</w:t>
            </w:r>
          </w:p>
        </w:tc>
      </w:tr>
      <w:tr>
        <w:trPr>
          <w:trHeight w:val="176"/>
        </w:trPr>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rPr>
              <w:t>maximum payout of 200% at 102.2% of target.</w:t>
            </w:r>
          </w:p>
        </w:tc>
        <w:tc>
          <w:tcPr>
            <w:tcW w:w="1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88"/>
              </w:rPr>
              <w:t>Gaeta)</w:t>
            </w:r>
          </w:p>
        </w:tc>
      </w:tr>
      <w:tr>
        <w:trPr>
          <w:trHeight w:val="129"/>
        </w:trPr>
        <w:tc>
          <w:tcPr>
            <w:tcW w:w="1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25"/>
        </w:trPr>
        <w:tc>
          <w:tcPr>
            <w:tcW w:w="1100" w:type="dxa"/>
            <w:vAlign w:val="bottom"/>
            <w:shd w:val="clear" w:color="auto" w:fill="CFF0FC"/>
          </w:tcPr>
          <w:p>
            <w:pPr>
              <w:spacing w:after="0" w:line="125" w:lineRule="exact"/>
              <w:rPr>
                <w:sz w:val="20"/>
                <w:szCs w:val="20"/>
                <w:color w:val="auto"/>
              </w:rPr>
            </w:pPr>
            <w:r>
              <w:rPr>
                <w:rFonts w:ascii="Arial" w:cs="Arial" w:eastAsia="Arial" w:hAnsi="Arial"/>
                <w:sz w:val="14"/>
                <w:szCs w:val="14"/>
                <w:b w:val="1"/>
                <w:bCs w:val="1"/>
                <w:color w:val="auto"/>
                <w:w w:val="91"/>
              </w:rPr>
              <w:t>Personal Target 3</w:t>
            </w:r>
          </w:p>
        </w:tc>
        <w:tc>
          <w:tcPr>
            <w:tcW w:w="1280" w:type="dxa"/>
            <w:vAlign w:val="bottom"/>
            <w:shd w:val="clear" w:color="auto" w:fill="CFF0FC"/>
          </w:tcPr>
          <w:p>
            <w:pPr>
              <w:ind w:left="60"/>
              <w:spacing w:after="0" w:line="125" w:lineRule="exact"/>
              <w:rPr>
                <w:sz w:val="20"/>
                <w:szCs w:val="20"/>
                <w:color w:val="auto"/>
              </w:rPr>
            </w:pPr>
            <w:r>
              <w:rPr>
                <w:rFonts w:ascii="Arial" w:cs="Arial" w:eastAsia="Arial" w:hAnsi="Arial"/>
                <w:sz w:val="14"/>
                <w:szCs w:val="14"/>
                <w:color w:val="auto"/>
              </w:rPr>
              <w:t>Discretionary –</w:t>
            </w:r>
          </w:p>
        </w:tc>
        <w:tc>
          <w:tcPr>
            <w:tcW w:w="780" w:type="dxa"/>
            <w:vAlign w:val="bottom"/>
            <w:shd w:val="clear" w:color="auto" w:fill="CFF0FC"/>
          </w:tcPr>
          <w:p>
            <w:pPr>
              <w:jc w:val="center"/>
              <w:spacing w:after="0" w:line="125" w:lineRule="exact"/>
              <w:rPr>
                <w:sz w:val="20"/>
                <w:szCs w:val="20"/>
                <w:color w:val="auto"/>
              </w:rPr>
            </w:pPr>
            <w:r>
              <w:rPr>
                <w:rFonts w:ascii="Arial" w:cs="Arial" w:eastAsia="Arial" w:hAnsi="Arial"/>
                <w:sz w:val="14"/>
                <w:szCs w:val="14"/>
                <w:color w:val="auto"/>
                <w:w w:val="90"/>
              </w:rPr>
              <w:t>20.0%</w:t>
            </w:r>
          </w:p>
        </w:tc>
        <w:tc>
          <w:tcPr>
            <w:tcW w:w="780" w:type="dxa"/>
            <w:vAlign w:val="bottom"/>
            <w:shd w:val="clear" w:color="auto" w:fill="CFF0FC"/>
          </w:tcPr>
          <w:p>
            <w:pPr>
              <w:jc w:val="right"/>
              <w:ind w:right="91"/>
              <w:spacing w:after="0" w:line="125" w:lineRule="exact"/>
              <w:rPr>
                <w:sz w:val="20"/>
                <w:szCs w:val="20"/>
                <w:color w:val="auto"/>
              </w:rPr>
            </w:pPr>
            <w:r>
              <w:rPr>
                <w:rFonts w:ascii="Arial" w:cs="Arial" w:eastAsia="Arial" w:hAnsi="Arial"/>
                <w:sz w:val="14"/>
                <w:szCs w:val="14"/>
                <w:color w:val="auto"/>
              </w:rPr>
              <w:t>20.0%</w:t>
            </w:r>
          </w:p>
        </w:tc>
        <w:tc>
          <w:tcPr>
            <w:tcW w:w="3180" w:type="dxa"/>
            <w:vAlign w:val="bottom"/>
            <w:shd w:val="clear" w:color="auto" w:fill="CFF0FC"/>
          </w:tcPr>
          <w:p>
            <w:pPr>
              <w:ind w:left="140"/>
              <w:spacing w:after="0" w:line="125" w:lineRule="exact"/>
              <w:rPr>
                <w:sz w:val="20"/>
                <w:szCs w:val="20"/>
                <w:color w:val="auto"/>
              </w:rPr>
            </w:pPr>
            <w:r>
              <w:rPr>
                <w:rFonts w:ascii="Arial" w:cs="Arial" w:eastAsia="Arial" w:hAnsi="Arial"/>
                <w:sz w:val="14"/>
                <w:szCs w:val="14"/>
                <w:color w:val="auto"/>
              </w:rPr>
              <w:t>Discretionary, at target, based upon individual</w:t>
            </w:r>
          </w:p>
        </w:tc>
        <w:tc>
          <w:tcPr>
            <w:tcW w:w="1680" w:type="dxa"/>
            <w:vAlign w:val="bottom"/>
            <w:shd w:val="clear" w:color="auto" w:fill="CFF0FC"/>
          </w:tcPr>
          <w:p>
            <w:pPr>
              <w:jc w:val="center"/>
              <w:ind w:right="11"/>
              <w:spacing w:after="0" w:line="125" w:lineRule="exact"/>
              <w:rPr>
                <w:sz w:val="20"/>
                <w:szCs w:val="20"/>
                <w:color w:val="auto"/>
              </w:rPr>
            </w:pPr>
            <w:r>
              <w:rPr>
                <w:rFonts w:ascii="Arial" w:cs="Arial" w:eastAsia="Arial" w:hAnsi="Arial"/>
                <w:sz w:val="14"/>
                <w:szCs w:val="14"/>
                <w:color w:val="auto"/>
                <w:w w:val="90"/>
              </w:rPr>
              <w:t>Varies by NEO</w:t>
            </w:r>
          </w:p>
        </w:tc>
        <w:tc>
          <w:tcPr>
            <w:tcW w:w="1180" w:type="dxa"/>
            <w:vAlign w:val="bottom"/>
            <w:shd w:val="clear" w:color="auto" w:fill="CFF0FC"/>
          </w:tcPr>
          <w:p>
            <w:pPr>
              <w:jc w:val="center"/>
              <w:spacing w:after="0" w:line="125" w:lineRule="exact"/>
              <w:rPr>
                <w:sz w:val="20"/>
                <w:szCs w:val="20"/>
                <w:color w:val="auto"/>
              </w:rPr>
            </w:pPr>
            <w:r>
              <w:rPr>
                <w:rFonts w:ascii="Arial" w:cs="Arial" w:eastAsia="Arial" w:hAnsi="Arial"/>
                <w:sz w:val="14"/>
                <w:szCs w:val="14"/>
                <w:color w:val="auto"/>
                <w:w w:val="90"/>
              </w:rPr>
              <w:t>Varies by NEO</w:t>
            </w:r>
          </w:p>
        </w:tc>
        <w:tc>
          <w:tcPr>
            <w:tcW w:w="1280" w:type="dxa"/>
            <w:vAlign w:val="bottom"/>
            <w:shd w:val="clear" w:color="auto" w:fill="CFF0FC"/>
          </w:tcPr>
          <w:p>
            <w:pPr>
              <w:jc w:val="right"/>
              <w:ind w:right="151"/>
              <w:spacing w:after="0" w:line="125" w:lineRule="exact"/>
              <w:rPr>
                <w:sz w:val="20"/>
                <w:szCs w:val="20"/>
                <w:color w:val="auto"/>
              </w:rPr>
            </w:pPr>
            <w:r>
              <w:rPr>
                <w:rFonts w:ascii="Arial" w:cs="Arial" w:eastAsia="Arial" w:hAnsi="Arial"/>
                <w:sz w:val="14"/>
                <w:szCs w:val="14"/>
                <w:color w:val="auto"/>
              </w:rPr>
              <w:t>15.0%-30.0%</w:t>
            </w:r>
          </w:p>
        </w:tc>
      </w:tr>
      <w:tr>
        <w:trPr>
          <w:trHeight w:val="143"/>
        </w:trPr>
        <w:tc>
          <w:tcPr>
            <w:tcW w:w="1100" w:type="dxa"/>
            <w:vAlign w:val="bottom"/>
            <w:shd w:val="clear" w:color="auto" w:fill="CFF0FC"/>
          </w:tcPr>
          <w:p>
            <w:pPr>
              <w:spacing w:after="0"/>
              <w:rPr>
                <w:sz w:val="12"/>
                <w:szCs w:val="12"/>
                <w:color w:val="auto"/>
              </w:rPr>
            </w:pPr>
          </w:p>
        </w:tc>
        <w:tc>
          <w:tcPr>
            <w:tcW w:w="1280" w:type="dxa"/>
            <w:vAlign w:val="bottom"/>
            <w:shd w:val="clear" w:color="auto" w:fill="CFF0FC"/>
          </w:tcPr>
          <w:p>
            <w:pPr>
              <w:ind w:left="60"/>
              <w:spacing w:after="0" w:line="143" w:lineRule="exact"/>
              <w:rPr>
                <w:sz w:val="20"/>
                <w:szCs w:val="20"/>
                <w:color w:val="auto"/>
              </w:rPr>
            </w:pPr>
            <w:r>
              <w:rPr>
                <w:rFonts w:ascii="Arial" w:cs="Arial" w:eastAsia="Arial" w:hAnsi="Arial"/>
                <w:sz w:val="14"/>
                <w:szCs w:val="14"/>
                <w:color w:val="auto"/>
              </w:rPr>
              <w:t>Personal Goals</w:t>
            </w:r>
          </w:p>
        </w:tc>
        <w:tc>
          <w:tcPr>
            <w:tcW w:w="7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1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4"/>
              </w:rPr>
              <w:t>performance, as evaluated by the CEO (except with</w:t>
            </w:r>
          </w:p>
        </w:tc>
        <w:tc>
          <w:tcPr>
            <w:tcW w:w="16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3"/>
        </w:trPr>
        <w:tc>
          <w:tcPr>
            <w:tcW w:w="11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1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respect to the CEO whose individual performance</w:t>
            </w:r>
          </w:p>
        </w:tc>
        <w:tc>
          <w:tcPr>
            <w:tcW w:w="16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3"/>
        </w:trPr>
        <w:tc>
          <w:tcPr>
            <w:tcW w:w="11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1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will be evaluated by the Compensation</w:t>
            </w:r>
          </w:p>
        </w:tc>
        <w:tc>
          <w:tcPr>
            <w:tcW w:w="16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3"/>
        </w:trPr>
        <w:tc>
          <w:tcPr>
            <w:tcW w:w="11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1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Committee). Participants were eligible to receive a</w:t>
            </w:r>
          </w:p>
        </w:tc>
        <w:tc>
          <w:tcPr>
            <w:tcW w:w="16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3"/>
        </w:trPr>
        <w:tc>
          <w:tcPr>
            <w:tcW w:w="11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1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3"/>
              </w:rPr>
              <w:t>discretionary award up to 30%, with the exception of</w:t>
            </w:r>
          </w:p>
        </w:tc>
        <w:tc>
          <w:tcPr>
            <w:tcW w:w="16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43"/>
        </w:trPr>
        <w:tc>
          <w:tcPr>
            <w:tcW w:w="11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1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1"/>
              </w:rPr>
              <w:t>Mr. Kanter who was eligible to receive a discretionary</w:t>
            </w:r>
          </w:p>
        </w:tc>
        <w:tc>
          <w:tcPr>
            <w:tcW w:w="16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r>
      <w:tr>
        <w:trPr>
          <w:trHeight w:val="162"/>
        </w:trPr>
        <w:tc>
          <w:tcPr>
            <w:tcW w:w="1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1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award up to 40%. (5)</w:t>
            </w:r>
          </w:p>
        </w:tc>
        <w:tc>
          <w:tcPr>
            <w:tcW w:w="16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r>
      <w:tr>
        <w:trPr>
          <w:trHeight w:val="121"/>
        </w:trPr>
        <w:tc>
          <w:tcPr>
            <w:tcW w:w="1100" w:type="dxa"/>
            <w:vAlign w:val="bottom"/>
          </w:tcPr>
          <w:p>
            <w:pPr>
              <w:spacing w:after="0" w:line="121" w:lineRule="exact"/>
              <w:rPr>
                <w:sz w:val="20"/>
                <w:szCs w:val="20"/>
                <w:color w:val="auto"/>
              </w:rPr>
            </w:pPr>
            <w:r>
              <w:rPr>
                <w:rFonts w:ascii="Arial" w:cs="Arial" w:eastAsia="Arial" w:hAnsi="Arial"/>
                <w:sz w:val="14"/>
                <w:szCs w:val="14"/>
                <w:b w:val="1"/>
                <w:bCs w:val="1"/>
                <w:color w:val="auto"/>
              </w:rPr>
              <w:t>Departmental</w:t>
            </w:r>
          </w:p>
        </w:tc>
        <w:tc>
          <w:tcPr>
            <w:tcW w:w="1280" w:type="dxa"/>
            <w:vAlign w:val="bottom"/>
          </w:tcPr>
          <w:p>
            <w:pPr>
              <w:ind w:left="60"/>
              <w:spacing w:after="0" w:line="121" w:lineRule="exact"/>
              <w:rPr>
                <w:sz w:val="20"/>
                <w:szCs w:val="20"/>
                <w:color w:val="auto"/>
              </w:rPr>
            </w:pPr>
            <w:r>
              <w:rPr>
                <w:rFonts w:ascii="Arial" w:cs="Arial" w:eastAsia="Arial" w:hAnsi="Arial"/>
                <w:sz w:val="14"/>
                <w:szCs w:val="14"/>
                <w:color w:val="auto"/>
              </w:rPr>
              <w:t>Store Operations</w:t>
            </w:r>
          </w:p>
        </w:tc>
        <w:tc>
          <w:tcPr>
            <w:tcW w:w="780" w:type="dxa"/>
            <w:vAlign w:val="bottom"/>
          </w:tcPr>
          <w:p>
            <w:pPr>
              <w:jc w:val="center"/>
              <w:ind w:right="11"/>
              <w:spacing w:after="0" w:line="121"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91"/>
              <w:spacing w:after="0" w:line="121" w:lineRule="exact"/>
              <w:rPr>
                <w:sz w:val="20"/>
                <w:szCs w:val="20"/>
                <w:color w:val="auto"/>
              </w:rPr>
            </w:pPr>
            <w:r>
              <w:rPr>
                <w:rFonts w:ascii="Arial" w:cs="Arial" w:eastAsia="Arial" w:hAnsi="Arial"/>
                <w:sz w:val="14"/>
                <w:szCs w:val="14"/>
                <w:color w:val="auto"/>
              </w:rPr>
              <w:t>40.0%</w:t>
            </w:r>
          </w:p>
        </w:tc>
        <w:tc>
          <w:tcPr>
            <w:tcW w:w="3180" w:type="dxa"/>
            <w:vAlign w:val="bottom"/>
          </w:tcPr>
          <w:p>
            <w:pPr>
              <w:ind w:left="140"/>
              <w:spacing w:after="0" w:line="121" w:lineRule="exact"/>
              <w:rPr>
                <w:sz w:val="20"/>
                <w:szCs w:val="20"/>
                <w:color w:val="auto"/>
              </w:rPr>
            </w:pPr>
            <w:r>
              <w:rPr>
                <w:rFonts w:ascii="Arial" w:cs="Arial" w:eastAsia="Arial" w:hAnsi="Arial"/>
                <w:sz w:val="14"/>
                <w:szCs w:val="14"/>
                <w:color w:val="auto"/>
                <w:w w:val="92"/>
              </w:rPr>
              <w:t>Includes 10% for DXL store productivity spread; 10%</w:t>
            </w:r>
          </w:p>
        </w:tc>
        <w:tc>
          <w:tcPr>
            <w:tcW w:w="1680" w:type="dxa"/>
            <w:vAlign w:val="bottom"/>
          </w:tcPr>
          <w:p>
            <w:pPr>
              <w:jc w:val="center"/>
              <w:ind w:right="11"/>
              <w:spacing w:after="0" w:line="121" w:lineRule="exact"/>
              <w:rPr>
                <w:sz w:val="20"/>
                <w:szCs w:val="20"/>
                <w:color w:val="auto"/>
              </w:rPr>
            </w:pPr>
            <w:r>
              <w:rPr>
                <w:rFonts w:ascii="Arial" w:cs="Arial" w:eastAsia="Arial" w:hAnsi="Arial"/>
                <w:sz w:val="14"/>
                <w:szCs w:val="14"/>
                <w:color w:val="auto"/>
                <w:w w:val="92"/>
              </w:rPr>
              <w:t>Not publicly disclosed:</w:t>
            </w:r>
          </w:p>
        </w:tc>
        <w:tc>
          <w:tcPr>
            <w:tcW w:w="1180" w:type="dxa"/>
            <w:vAlign w:val="bottom"/>
          </w:tcPr>
          <w:p>
            <w:pPr>
              <w:spacing w:after="0"/>
              <w:rPr>
                <w:sz w:val="10"/>
                <w:szCs w:val="10"/>
                <w:color w:val="auto"/>
              </w:rPr>
            </w:pPr>
          </w:p>
        </w:tc>
        <w:tc>
          <w:tcPr>
            <w:tcW w:w="1280" w:type="dxa"/>
            <w:vAlign w:val="bottom"/>
          </w:tcPr>
          <w:p>
            <w:pPr>
              <w:jc w:val="center"/>
              <w:spacing w:after="0" w:line="121" w:lineRule="exact"/>
              <w:rPr>
                <w:sz w:val="20"/>
                <w:szCs w:val="20"/>
                <w:color w:val="auto"/>
              </w:rPr>
            </w:pPr>
            <w:r>
              <w:rPr>
                <w:rFonts w:ascii="Arial" w:cs="Arial" w:eastAsia="Arial" w:hAnsi="Arial"/>
                <w:sz w:val="14"/>
                <w:szCs w:val="14"/>
                <w:color w:val="auto"/>
                <w:w w:val="90"/>
              </w:rPr>
              <w:t>Capture rate: 7.0%</w:t>
            </w:r>
          </w:p>
        </w:tc>
      </w:tr>
      <w:tr>
        <w:trPr>
          <w:trHeight w:val="143"/>
        </w:trPr>
        <w:tc>
          <w:tcPr>
            <w:tcW w:w="1100" w:type="dxa"/>
            <w:vAlign w:val="bottom"/>
          </w:tcPr>
          <w:p>
            <w:pPr>
              <w:spacing w:after="0" w:line="143" w:lineRule="exact"/>
              <w:rPr>
                <w:sz w:val="20"/>
                <w:szCs w:val="20"/>
                <w:color w:val="auto"/>
              </w:rPr>
            </w:pPr>
            <w:r>
              <w:rPr>
                <w:rFonts w:ascii="Arial" w:cs="Arial" w:eastAsia="Arial" w:hAnsi="Arial"/>
                <w:sz w:val="14"/>
                <w:szCs w:val="14"/>
                <w:b w:val="1"/>
                <w:bCs w:val="1"/>
                <w:color w:val="auto"/>
              </w:rPr>
              <w:t>Goals, if</w:t>
            </w: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80" w:type="dxa"/>
            <w:vAlign w:val="bottom"/>
          </w:tcPr>
          <w:p>
            <w:pPr>
              <w:ind w:left="140"/>
              <w:spacing w:after="0" w:line="143" w:lineRule="exact"/>
              <w:rPr>
                <w:sz w:val="20"/>
                <w:szCs w:val="20"/>
                <w:color w:val="auto"/>
              </w:rPr>
            </w:pPr>
            <w:r>
              <w:rPr>
                <w:rFonts w:ascii="Arial" w:cs="Arial" w:eastAsia="Arial" w:hAnsi="Arial"/>
                <w:sz w:val="14"/>
                <w:szCs w:val="14"/>
                <w:color w:val="auto"/>
                <w:w w:val="90"/>
              </w:rPr>
              <w:t>for universe comparable %, 10% for capture rates and</w:t>
            </w:r>
          </w:p>
        </w:tc>
        <w:tc>
          <w:tcPr>
            <w:tcW w:w="1680" w:type="dxa"/>
            <w:vAlign w:val="bottom"/>
          </w:tcPr>
          <w:p>
            <w:pPr>
              <w:jc w:val="center"/>
              <w:ind w:right="11"/>
              <w:spacing w:after="0" w:line="143" w:lineRule="exact"/>
              <w:rPr>
                <w:sz w:val="20"/>
                <w:szCs w:val="20"/>
                <w:color w:val="auto"/>
              </w:rPr>
            </w:pPr>
            <w:r>
              <w:rPr>
                <w:rFonts w:ascii="Arial" w:cs="Arial" w:eastAsia="Arial" w:hAnsi="Arial"/>
                <w:sz w:val="14"/>
                <w:szCs w:val="14"/>
                <w:color w:val="auto"/>
                <w:w w:val="87"/>
              </w:rPr>
              <w:t>Capture rate</w:t>
            </w:r>
          </w:p>
        </w:tc>
        <w:tc>
          <w:tcPr>
            <w:tcW w:w="11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7"/>
        </w:trPr>
        <w:tc>
          <w:tcPr>
            <w:tcW w:w="1100" w:type="dxa"/>
            <w:vAlign w:val="bottom"/>
          </w:tcPr>
          <w:p>
            <w:pPr>
              <w:spacing w:after="0" w:line="147" w:lineRule="exact"/>
              <w:rPr>
                <w:sz w:val="20"/>
                <w:szCs w:val="20"/>
                <w:color w:val="auto"/>
              </w:rPr>
            </w:pPr>
            <w:r>
              <w:rPr>
                <w:rFonts w:ascii="Arial" w:cs="Arial" w:eastAsia="Arial" w:hAnsi="Arial"/>
                <w:sz w:val="14"/>
                <w:szCs w:val="14"/>
                <w:b w:val="1"/>
                <w:bCs w:val="1"/>
                <w:color w:val="auto"/>
              </w:rPr>
              <w:t>applicable</w:t>
            </w: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80" w:type="dxa"/>
            <w:vAlign w:val="bottom"/>
          </w:tcPr>
          <w:p>
            <w:pPr>
              <w:ind w:left="140"/>
              <w:spacing w:after="0" w:line="147" w:lineRule="exact"/>
              <w:rPr>
                <w:sz w:val="20"/>
                <w:szCs w:val="20"/>
                <w:color w:val="auto"/>
              </w:rPr>
            </w:pPr>
            <w:r>
              <w:rPr>
                <w:rFonts w:ascii="Arial" w:cs="Arial" w:eastAsia="Arial" w:hAnsi="Arial"/>
                <w:sz w:val="14"/>
                <w:szCs w:val="14"/>
                <w:color w:val="auto"/>
              </w:rPr>
              <w:t>10% for customer counts. Except for customer</w:t>
            </w:r>
          </w:p>
        </w:tc>
        <w:tc>
          <w:tcPr>
            <w:tcW w:w="1680" w:type="dxa"/>
            <w:vAlign w:val="bottom"/>
          </w:tcPr>
          <w:p>
            <w:pPr>
              <w:jc w:val="center"/>
              <w:spacing w:after="0" w:line="147" w:lineRule="exact"/>
              <w:rPr>
                <w:sz w:val="20"/>
                <w:szCs w:val="20"/>
                <w:color w:val="auto"/>
              </w:rPr>
            </w:pPr>
            <w:r>
              <w:rPr>
                <w:rFonts w:ascii="Arial" w:cs="Arial" w:eastAsia="Arial" w:hAnsi="Arial"/>
                <w:sz w:val="14"/>
                <w:szCs w:val="14"/>
                <w:color w:val="auto"/>
                <w:w w:val="92"/>
              </w:rPr>
              <w:t>Store productivity Universe</w:t>
            </w:r>
          </w:p>
        </w:tc>
        <w:tc>
          <w:tcPr>
            <w:tcW w:w="11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3"/>
        </w:trPr>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80" w:type="dxa"/>
            <w:vAlign w:val="bottom"/>
          </w:tcPr>
          <w:p>
            <w:pPr>
              <w:ind w:left="140"/>
              <w:spacing w:after="0" w:line="143" w:lineRule="exact"/>
              <w:rPr>
                <w:sz w:val="20"/>
                <w:szCs w:val="20"/>
                <w:color w:val="auto"/>
              </w:rPr>
            </w:pPr>
            <w:r>
              <w:rPr>
                <w:rFonts w:ascii="Arial" w:cs="Arial" w:eastAsia="Arial" w:hAnsi="Arial"/>
                <w:sz w:val="14"/>
                <w:szCs w:val="14"/>
                <w:color w:val="auto"/>
                <w:w w:val="90"/>
              </w:rPr>
              <w:t>counts, the Company does not publicly disclose many</w:t>
            </w:r>
          </w:p>
        </w:tc>
        <w:tc>
          <w:tcPr>
            <w:tcW w:w="1680" w:type="dxa"/>
            <w:vAlign w:val="bottom"/>
          </w:tcPr>
          <w:p>
            <w:pPr>
              <w:jc w:val="center"/>
              <w:ind w:right="11"/>
              <w:spacing w:after="0" w:line="143" w:lineRule="exact"/>
              <w:rPr>
                <w:sz w:val="20"/>
                <w:szCs w:val="20"/>
                <w:color w:val="auto"/>
              </w:rPr>
            </w:pPr>
            <w:r>
              <w:rPr>
                <w:rFonts w:ascii="Arial" w:cs="Arial" w:eastAsia="Arial" w:hAnsi="Arial"/>
                <w:sz w:val="14"/>
                <w:szCs w:val="14"/>
                <w:color w:val="auto"/>
                <w:w w:val="93"/>
              </w:rPr>
              <w:t>comp</w:t>
            </w:r>
          </w:p>
        </w:tc>
        <w:tc>
          <w:tcPr>
            <w:tcW w:w="11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3"/>
        </w:trPr>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80" w:type="dxa"/>
            <w:vAlign w:val="bottom"/>
          </w:tcPr>
          <w:p>
            <w:pPr>
              <w:ind w:left="140"/>
              <w:spacing w:after="0" w:line="143" w:lineRule="exact"/>
              <w:rPr>
                <w:sz w:val="20"/>
                <w:szCs w:val="20"/>
                <w:color w:val="auto"/>
              </w:rPr>
            </w:pPr>
            <w:r>
              <w:rPr>
                <w:rFonts w:ascii="Arial" w:cs="Arial" w:eastAsia="Arial" w:hAnsi="Arial"/>
                <w:sz w:val="14"/>
                <w:szCs w:val="14"/>
                <w:color w:val="auto"/>
              </w:rPr>
              <w:t>of these statistics.</w:t>
            </w:r>
          </w:p>
        </w:tc>
        <w:tc>
          <w:tcPr>
            <w:tcW w:w="1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80" w:type="dxa"/>
            <w:vAlign w:val="bottom"/>
          </w:tcPr>
          <w:p>
            <w:pPr>
              <w:jc w:val="center"/>
              <w:spacing w:after="0" w:line="143" w:lineRule="exact"/>
              <w:rPr>
                <w:sz w:val="20"/>
                <w:szCs w:val="20"/>
                <w:color w:val="auto"/>
              </w:rPr>
            </w:pPr>
            <w:r>
              <w:rPr>
                <w:rFonts w:ascii="Arial" w:cs="Arial" w:eastAsia="Arial" w:hAnsi="Arial"/>
                <w:sz w:val="14"/>
                <w:szCs w:val="14"/>
                <w:color w:val="auto"/>
                <w:w w:val="91"/>
              </w:rPr>
              <w:t>No other metrics</w:t>
            </w:r>
          </w:p>
        </w:tc>
      </w:tr>
      <w:tr>
        <w:trPr>
          <w:trHeight w:val="143"/>
        </w:trPr>
        <w:tc>
          <w:tcPr>
            <w:tcW w:w="1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80" w:type="dxa"/>
            <w:vAlign w:val="bottom"/>
          </w:tcPr>
          <w:p>
            <w:pPr>
              <w:jc w:val="center"/>
              <w:spacing w:after="0" w:line="143" w:lineRule="exact"/>
              <w:rPr>
                <w:sz w:val="20"/>
                <w:szCs w:val="20"/>
                <w:color w:val="auto"/>
              </w:rPr>
            </w:pPr>
            <w:r>
              <w:rPr>
                <w:rFonts w:ascii="Arial" w:cs="Arial" w:eastAsia="Arial" w:hAnsi="Arial"/>
                <w:sz w:val="14"/>
                <w:szCs w:val="14"/>
                <w:color w:val="auto"/>
                <w:w w:val="89"/>
              </w:rPr>
              <w:t>Customer counts:</w:t>
            </w:r>
          </w:p>
        </w:tc>
        <w:tc>
          <w:tcPr>
            <w:tcW w:w="1180" w:type="dxa"/>
            <w:vAlign w:val="bottom"/>
          </w:tcPr>
          <w:p>
            <w:pPr>
              <w:jc w:val="center"/>
              <w:spacing w:after="0" w:line="143" w:lineRule="exact"/>
              <w:rPr>
                <w:sz w:val="20"/>
                <w:szCs w:val="20"/>
                <w:color w:val="auto"/>
              </w:rPr>
            </w:pPr>
            <w:r>
              <w:rPr>
                <w:rFonts w:ascii="Arial" w:cs="Arial" w:eastAsia="Arial" w:hAnsi="Arial"/>
                <w:sz w:val="14"/>
                <w:szCs w:val="14"/>
                <w:color w:val="auto"/>
                <w:w w:val="89"/>
              </w:rPr>
              <w:t>Customer counts:</w:t>
            </w:r>
          </w:p>
        </w:tc>
        <w:tc>
          <w:tcPr>
            <w:tcW w:w="1280" w:type="dxa"/>
            <w:vAlign w:val="bottom"/>
          </w:tcPr>
          <w:p>
            <w:pPr>
              <w:jc w:val="center"/>
              <w:spacing w:after="0" w:line="143" w:lineRule="exact"/>
              <w:rPr>
                <w:sz w:val="20"/>
                <w:szCs w:val="20"/>
                <w:color w:val="auto"/>
              </w:rPr>
            </w:pPr>
            <w:r>
              <w:rPr>
                <w:rFonts w:ascii="Arial" w:cs="Arial" w:eastAsia="Arial" w:hAnsi="Arial"/>
                <w:sz w:val="14"/>
                <w:szCs w:val="14"/>
                <w:color w:val="auto"/>
                <w:w w:val="89"/>
              </w:rPr>
              <w:t>achieved</w:t>
            </w:r>
          </w:p>
        </w:tc>
      </w:tr>
      <w:tr>
        <w:trPr>
          <w:trHeight w:val="176"/>
        </w:trPr>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80" w:type="dxa"/>
            <w:vAlign w:val="bottom"/>
          </w:tcPr>
          <w:p>
            <w:pPr>
              <w:jc w:val="center"/>
              <w:ind w:right="11"/>
              <w:spacing w:after="0"/>
              <w:rPr>
                <w:sz w:val="20"/>
                <w:szCs w:val="20"/>
                <w:color w:val="auto"/>
              </w:rPr>
            </w:pPr>
            <w:r>
              <w:rPr>
                <w:rFonts w:ascii="Arial" w:cs="Arial" w:eastAsia="Arial" w:hAnsi="Arial"/>
                <w:sz w:val="14"/>
                <w:szCs w:val="14"/>
                <w:color w:val="auto"/>
                <w:w w:val="89"/>
              </w:rPr>
              <w:t>1,655,000</w:t>
            </w:r>
          </w:p>
        </w:tc>
        <w:tc>
          <w:tcPr>
            <w:tcW w:w="1180" w:type="dxa"/>
            <w:vAlign w:val="bottom"/>
          </w:tcPr>
          <w:p>
            <w:pPr>
              <w:jc w:val="center"/>
              <w:spacing w:after="0"/>
              <w:rPr>
                <w:sz w:val="20"/>
                <w:szCs w:val="20"/>
                <w:color w:val="auto"/>
              </w:rPr>
            </w:pPr>
            <w:r>
              <w:rPr>
                <w:rFonts w:ascii="Arial" w:cs="Arial" w:eastAsia="Arial" w:hAnsi="Arial"/>
                <w:sz w:val="14"/>
                <w:szCs w:val="14"/>
                <w:color w:val="auto"/>
                <w:w w:val="89"/>
              </w:rPr>
              <w:t>1,541,113</w:t>
            </w:r>
          </w:p>
        </w:tc>
        <w:tc>
          <w:tcPr>
            <w:tcW w:w="1280" w:type="dxa"/>
            <w:vAlign w:val="bottom"/>
          </w:tcPr>
          <w:p>
            <w:pPr>
              <w:spacing w:after="0"/>
              <w:rPr>
                <w:sz w:val="15"/>
                <w:szCs w:val="15"/>
                <w:color w:val="auto"/>
              </w:rPr>
            </w:pPr>
          </w:p>
        </w:tc>
      </w:tr>
    </w:tbl>
    <w:p>
      <w:pPr>
        <w:spacing w:after="0" w:line="176" w:lineRule="exact"/>
        <w:rPr>
          <w:sz w:val="20"/>
          <w:szCs w:val="20"/>
          <w:color w:val="auto"/>
        </w:rPr>
      </w:pPr>
    </w:p>
    <w:p>
      <w:pPr>
        <w:ind w:left="1780" w:right="40" w:hanging="369"/>
        <w:spacing w:after="0" w:line="229" w:lineRule="auto"/>
        <w:tabs>
          <w:tab w:leader="none" w:pos="1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permitted under the AIP and approved by the Compensation Committee, fiscal 2019 actual results were adjusted to exclude certain revenues, expenses and cash flows, which were not considered in the establishment of the Company’s 2019 targets, including its wholesale business, exit costs associated with London operations, CEO transition costs and any impairment of assets.</w:t>
      </w:r>
    </w:p>
    <w:p>
      <w:pPr>
        <w:spacing w:after="0" w:line="177" w:lineRule="exact"/>
        <w:rPr>
          <w:rFonts w:ascii="Arial" w:cs="Arial" w:eastAsia="Arial" w:hAnsi="Arial"/>
          <w:sz w:val="14"/>
          <w:szCs w:val="14"/>
          <w:color w:val="auto"/>
        </w:rPr>
      </w:pPr>
    </w:p>
    <w:p>
      <w:pPr>
        <w:ind w:left="1780" w:right="80" w:hanging="369"/>
        <w:spacing w:after="0" w:line="237" w:lineRule="auto"/>
        <w:tabs>
          <w:tab w:leader="none" w:pos="1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discussed above, the payouts earned for the achievement of the Corporate metrics and the departmental goals were reduced by 50% to reflect the mid-year adjustment in the 2019 AIP.</w:t>
      </w:r>
    </w:p>
    <w:p>
      <w:pPr>
        <w:spacing w:after="0" w:line="176" w:lineRule="exact"/>
        <w:rPr>
          <w:rFonts w:ascii="Arial" w:cs="Arial" w:eastAsia="Arial" w:hAnsi="Arial"/>
          <w:sz w:val="14"/>
          <w:szCs w:val="14"/>
          <w:color w:val="auto"/>
        </w:rPr>
      </w:pPr>
    </w:p>
    <w:p>
      <w:pPr>
        <w:ind w:left="1780" w:right="300" w:hanging="369"/>
        <w:spacing w:after="0" w:line="237" w:lineRule="auto"/>
        <w:tabs>
          <w:tab w:leader="none" w:pos="1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sales target for fiscal 2019 was lower than the actual sales of $470.9 million for fiscal 2018 because it reflected our intention to exit all of the Rochester Clothing stores during fiscal 2019 and also reflected the decrease, and trend, in sales experienced in the first half of fiscal 2019.</w:t>
      </w:r>
    </w:p>
    <w:p>
      <w:pPr>
        <w:spacing w:after="0" w:line="176" w:lineRule="exact"/>
        <w:rPr>
          <w:rFonts w:ascii="Arial" w:cs="Arial" w:eastAsia="Arial" w:hAnsi="Arial"/>
          <w:sz w:val="14"/>
          <w:szCs w:val="14"/>
          <w:color w:val="auto"/>
        </w:rPr>
      </w:pPr>
    </w:p>
    <w:p>
      <w:pPr>
        <w:ind w:left="1780" w:right="200" w:hanging="369"/>
        <w:spacing w:after="0" w:line="237" w:lineRule="auto"/>
        <w:tabs>
          <w:tab w:leader="none" w:pos="1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Adjusted EBITDA target for fiscal 2019 was lower than the actual Adjusted EBITDA target for fiscal 2018 because it reflected: the decrease in Adjusted EBITDA that was experienced in the first half of fiscal 2019; a decrease related to the annual gain previously</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type w:val="continuous"/>
        </w:sectPr>
      </w:pPr>
    </w:p>
    <w:bookmarkStart w:id="12" w:name="page13"/>
    <w:bookmarkEnd w:id="12"/>
    <w:p>
      <w:pPr>
        <w:ind w:left="1268" w:right="40"/>
        <w:spacing w:after="0" w:line="237" w:lineRule="auto"/>
        <w:rPr>
          <w:sz w:val="20"/>
          <w:szCs w:val="20"/>
          <w:color w:val="auto"/>
        </w:rPr>
      </w:pPr>
      <w:r>
        <w:rPr>
          <w:rFonts w:ascii="Arial" w:cs="Arial" w:eastAsia="Arial" w:hAnsi="Arial"/>
          <w:sz w:val="14"/>
          <w:szCs w:val="14"/>
          <w:color w:val="auto"/>
        </w:rPr>
        <w:t>recognized from the sale-leaseback that was eliminated due to the adoption of ASC 842, Leases and additional expenses approved by the Board in August 2019 related to the change in strategy.</w:t>
      </w:r>
    </w:p>
    <w:p>
      <w:pPr>
        <w:spacing w:after="0" w:line="177" w:lineRule="exact"/>
        <w:rPr>
          <w:sz w:val="20"/>
          <w:szCs w:val="20"/>
          <w:color w:val="auto"/>
        </w:rPr>
      </w:pPr>
    </w:p>
    <w:p>
      <w:pPr>
        <w:ind w:left="1268" w:right="140" w:hanging="369"/>
        <w:spacing w:after="0" w:line="238" w:lineRule="auto"/>
        <w:tabs>
          <w:tab w:leader="none" w:pos="1268" w:val="left"/>
        </w:tabs>
        <w:numPr>
          <w:ilvl w:val="0"/>
          <w:numId w:val="10"/>
        </w:numPr>
        <w:rPr>
          <w:rFonts w:ascii="Arial" w:cs="Arial" w:eastAsia="Arial" w:hAnsi="Arial"/>
          <w:sz w:val="13"/>
          <w:szCs w:val="13"/>
          <w:color w:val="auto"/>
        </w:rPr>
      </w:pPr>
      <w:r>
        <w:rPr>
          <w:rFonts w:ascii="Arial" w:cs="Arial" w:eastAsia="Arial" w:hAnsi="Arial"/>
          <w:sz w:val="13"/>
          <w:szCs w:val="13"/>
          <w:color w:val="auto"/>
        </w:rPr>
        <w:t>Personal goals are part of the Company’s annual performance review. At the start of the fiscal year, each associate, including each of our Named Executive Officers, develops his/her “SMART” goals, each containing a quantifiable measure, which are approved by the CEO. The discretionary component of the 2019 AIP was awarded based on the achievement of these goals. The personal goals for Messrs. Molloy, Chane and Gaeta consisted of a combination of quantifiable goals specific to their respective corporate function. The personal goals for our CFO were quantifiable and were primarily tied to managing and reducing selling, general and administrative expenses and managing EBITDA performance. Our CEO’s personal goals were primarily tied to the overall financial performance of the Company, realigning the management team and infrastructure to achieve identified initiatives.</w:t>
      </w:r>
    </w:p>
    <w:p>
      <w:pPr>
        <w:spacing w:after="0" w:line="185" w:lineRule="exact"/>
        <w:rPr>
          <w:sz w:val="20"/>
          <w:szCs w:val="20"/>
          <w:color w:val="auto"/>
        </w:rPr>
      </w:pPr>
    </w:p>
    <w:p>
      <w:pPr>
        <w:ind w:left="268" w:right="140"/>
        <w:spacing w:after="0" w:line="286" w:lineRule="auto"/>
        <w:rPr>
          <w:sz w:val="20"/>
          <w:szCs w:val="20"/>
          <w:color w:val="auto"/>
        </w:rPr>
      </w:pPr>
      <w:r>
        <w:rPr>
          <w:rFonts w:ascii="Arial" w:cs="Arial" w:eastAsia="Arial" w:hAnsi="Arial"/>
          <w:sz w:val="17"/>
          <w:szCs w:val="17"/>
          <w:color w:val="auto"/>
        </w:rPr>
        <w:t>As a result of achieving certain performance targets for fiscal 2019, as shown above, in March 2020 the Compensation Committee approved, subject to the completion of the audited financial statements, cash bonus payouts to our NEOs as follows:</w:t>
      </w:r>
    </w:p>
    <w:p>
      <w:pPr>
        <w:spacing w:after="0" w:line="166" w:lineRule="exact"/>
        <w:rPr>
          <w:sz w:val="20"/>
          <w:szCs w:val="20"/>
          <w:color w:val="auto"/>
        </w:rPr>
      </w:pPr>
    </w:p>
    <w:tbl>
      <w:tblPr>
        <w:tblLayout w:type="fixed"/>
        <w:tblInd w:w="268" w:type="dxa"/>
        <w:tblCellMar>
          <w:top w:w="0" w:type="dxa"/>
          <w:left w:w="0" w:type="dxa"/>
          <w:bottom w:w="0" w:type="dxa"/>
          <w:right w:w="0" w:type="dxa"/>
        </w:tblCellMar>
      </w:tblPr>
      <w:tr>
        <w:trPr>
          <w:trHeight w:val="227"/>
        </w:trPr>
        <w:tc>
          <w:tcPr>
            <w:tcW w:w="2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Named Executive Officer</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Payout at Target</w:t>
            </w:r>
          </w:p>
        </w:tc>
        <w:tc>
          <w:tcPr>
            <w:tcW w:w="220" w:type="dxa"/>
            <w:vAlign w:val="bottom"/>
          </w:tcPr>
          <w:p>
            <w:pPr>
              <w:spacing w:after="0"/>
              <w:rPr>
                <w:sz w:val="19"/>
                <w:szCs w:val="19"/>
                <w:color w:val="auto"/>
              </w:rPr>
            </w:pPr>
          </w:p>
        </w:tc>
        <w:tc>
          <w:tcPr>
            <w:tcW w:w="170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Total Payout %</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Payout $</w:t>
            </w:r>
          </w:p>
        </w:tc>
        <w:tc>
          <w:tcPr>
            <w:tcW w:w="100" w:type="dxa"/>
            <w:vAlign w:val="bottom"/>
          </w:tcPr>
          <w:p>
            <w:pPr>
              <w:spacing w:after="0"/>
              <w:rPr>
                <w:sz w:val="19"/>
                <w:szCs w:val="19"/>
                <w:color w:val="auto"/>
              </w:rPr>
            </w:pPr>
          </w:p>
        </w:tc>
      </w:tr>
      <w:tr>
        <w:trPr>
          <w:trHeight w:val="214"/>
        </w:trPr>
        <w:tc>
          <w:tcPr>
            <w:tcW w:w="2800" w:type="dxa"/>
            <w:vAlign w:val="bottom"/>
            <w:gridSpan w:val="2"/>
          </w:tcPr>
          <w:p>
            <w:pPr>
              <w:spacing w:after="0"/>
              <w:rPr>
                <w:sz w:val="20"/>
                <w:szCs w:val="20"/>
                <w:color w:val="auto"/>
              </w:rPr>
            </w:pPr>
            <w:r>
              <w:rPr>
                <w:rFonts w:ascii="Arial" w:cs="Arial" w:eastAsia="Arial" w:hAnsi="Arial"/>
                <w:sz w:val="17"/>
                <w:szCs w:val="17"/>
                <w:color w:val="auto"/>
              </w:rPr>
              <w:t>Harvey S. Kanter (1)</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621,923</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70%</w:t>
            </w:r>
          </w:p>
        </w:tc>
        <w:tc>
          <w:tcPr>
            <w:tcW w:w="4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435,346</w:t>
            </w:r>
          </w:p>
        </w:tc>
        <w:tc>
          <w:tcPr>
            <w:tcW w:w="100" w:type="dxa"/>
            <w:vAlign w:val="bottom"/>
          </w:tcPr>
          <w:p>
            <w:pPr>
              <w:spacing w:after="0"/>
              <w:rPr>
                <w:sz w:val="18"/>
                <w:szCs w:val="18"/>
                <w:color w:val="auto"/>
              </w:rPr>
            </w:pPr>
          </w:p>
        </w:tc>
      </w:tr>
      <w:tr>
        <w:trPr>
          <w:trHeight w:val="221"/>
        </w:trPr>
        <w:tc>
          <w:tcPr>
            <w:tcW w:w="2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Peter H. Stratton, Jr.</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217,250</w:t>
            </w: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50%</w:t>
            </w: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108,625</w:t>
            </w:r>
          </w:p>
        </w:tc>
        <w:tc>
          <w:tcPr>
            <w:tcW w:w="100" w:type="dxa"/>
            <w:vAlign w:val="bottom"/>
            <w:shd w:val="clear" w:color="auto" w:fill="CFF0FC"/>
          </w:tcPr>
          <w:p>
            <w:pPr>
              <w:spacing w:after="0"/>
              <w:rPr>
                <w:sz w:val="19"/>
                <w:szCs w:val="19"/>
                <w:color w:val="auto"/>
              </w:rPr>
            </w:pPr>
          </w:p>
        </w:tc>
      </w:tr>
      <w:tr>
        <w:trPr>
          <w:trHeight w:val="221"/>
        </w:trPr>
        <w:tc>
          <w:tcPr>
            <w:tcW w:w="2800" w:type="dxa"/>
            <w:vAlign w:val="bottom"/>
            <w:gridSpan w:val="2"/>
          </w:tcPr>
          <w:p>
            <w:pPr>
              <w:spacing w:after="0"/>
              <w:rPr>
                <w:sz w:val="20"/>
                <w:szCs w:val="20"/>
                <w:color w:val="auto"/>
              </w:rPr>
            </w:pPr>
            <w:r>
              <w:rPr>
                <w:rFonts w:ascii="Arial" w:cs="Arial" w:eastAsia="Arial" w:hAnsi="Arial"/>
                <w:sz w:val="17"/>
                <w:szCs w:val="17"/>
                <w:color w:val="auto"/>
              </w:rPr>
              <w:t>Robert S. Molloy</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4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75,000</w:t>
            </w:r>
          </w:p>
        </w:tc>
        <w:tc>
          <w:tcPr>
            <w:tcW w:w="100" w:type="dxa"/>
            <w:vAlign w:val="bottom"/>
          </w:tcPr>
          <w:p>
            <w:pPr>
              <w:spacing w:after="0"/>
              <w:rPr>
                <w:sz w:val="19"/>
                <w:szCs w:val="19"/>
                <w:color w:val="auto"/>
              </w:rPr>
            </w:pPr>
          </w:p>
        </w:tc>
      </w:tr>
      <w:tr>
        <w:trPr>
          <w:trHeight w:val="221"/>
        </w:trPr>
        <w:tc>
          <w:tcPr>
            <w:tcW w:w="2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Francis C. Chane</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115,346</w:t>
            </w: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55%</w:t>
            </w: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63,440</w:t>
            </w:r>
          </w:p>
        </w:tc>
        <w:tc>
          <w:tcPr>
            <w:tcW w:w="100" w:type="dxa"/>
            <w:vAlign w:val="bottom"/>
            <w:shd w:val="clear" w:color="auto" w:fill="CFF0FC"/>
          </w:tcPr>
          <w:p>
            <w:pPr>
              <w:spacing w:after="0"/>
              <w:rPr>
                <w:sz w:val="19"/>
                <w:szCs w:val="19"/>
                <w:color w:val="auto"/>
              </w:rPr>
            </w:pPr>
          </w:p>
        </w:tc>
      </w:tr>
      <w:tr>
        <w:trPr>
          <w:trHeight w:val="221"/>
        </w:trPr>
        <w:tc>
          <w:tcPr>
            <w:tcW w:w="2800" w:type="dxa"/>
            <w:vAlign w:val="bottom"/>
            <w:gridSpan w:val="2"/>
          </w:tcPr>
          <w:p>
            <w:pPr>
              <w:spacing w:after="0"/>
              <w:rPr>
                <w:sz w:val="20"/>
                <w:szCs w:val="20"/>
                <w:color w:val="auto"/>
              </w:rPr>
            </w:pPr>
            <w:r>
              <w:rPr>
                <w:rFonts w:ascii="Arial" w:cs="Arial" w:eastAsia="Arial" w:hAnsi="Arial"/>
                <w:sz w:val="17"/>
                <w:szCs w:val="17"/>
                <w:color w:val="auto"/>
              </w:rPr>
              <w:t>Anthony J. Gaeta</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116,692</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37%</w:t>
            </w:r>
          </w:p>
        </w:tc>
        <w:tc>
          <w:tcPr>
            <w:tcW w:w="4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43,176</w:t>
            </w:r>
          </w:p>
        </w:tc>
        <w:tc>
          <w:tcPr>
            <w:tcW w:w="100" w:type="dxa"/>
            <w:vAlign w:val="bottom"/>
          </w:tcPr>
          <w:p>
            <w:pPr>
              <w:spacing w:after="0"/>
              <w:rPr>
                <w:sz w:val="19"/>
                <w:szCs w:val="19"/>
                <w:color w:val="auto"/>
              </w:rPr>
            </w:pPr>
          </w:p>
        </w:tc>
      </w:tr>
    </w:tbl>
    <w:p>
      <w:pPr>
        <w:spacing w:after="0" w:line="92" w:lineRule="exact"/>
        <w:rPr>
          <w:sz w:val="20"/>
          <w:szCs w:val="20"/>
          <w:color w:val="auto"/>
        </w:rPr>
      </w:pPr>
    </w:p>
    <w:p>
      <w:pPr>
        <w:ind w:left="608" w:right="60" w:hanging="373"/>
        <w:spacing w:after="0" w:line="286" w:lineRule="auto"/>
        <w:tabs>
          <w:tab w:leader="none" w:pos="6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Mr. Kanter participated in the 2019 AIP on a pro-rated basis, with an effective date of participation date of April 1, 2019, when he was appointed President and CEO.</w:t>
      </w:r>
    </w:p>
    <w:p>
      <w:pPr>
        <w:spacing w:after="0" w:line="55" w:lineRule="exact"/>
        <w:rPr>
          <w:sz w:val="20"/>
          <w:szCs w:val="20"/>
          <w:color w:val="auto"/>
        </w:rPr>
      </w:pPr>
    </w:p>
    <w:p>
      <w:pPr>
        <w:ind w:left="248" w:right="100"/>
        <w:spacing w:after="0" w:line="263" w:lineRule="auto"/>
        <w:rPr>
          <w:sz w:val="20"/>
          <w:szCs w:val="20"/>
          <w:color w:val="auto"/>
        </w:rPr>
      </w:pPr>
      <w:r>
        <w:rPr>
          <w:rFonts w:ascii="Arial" w:cs="Arial" w:eastAsia="Arial" w:hAnsi="Arial"/>
          <w:sz w:val="17"/>
          <w:szCs w:val="17"/>
          <w:color w:val="auto"/>
        </w:rPr>
        <w:t>Pursuant to the transition agreement with Mr. Levin, he was entitled to participate in the 2019 AIP at 100% of his annual salary based on the actual achievement of the Corporate goals. Upon Messrs. Reaves and Davey’s respective terminations of employment, pursuant to the AIP, each received as part of their severance a pro-rated payout of the 2019 AIP based on their earnings and the Company’s then-current estimate of the achievement of the respective performance targets as of their termination date. According Messrs. Levin, Reaves and Davey received the following cash payouts under the terms of the 2019 AIP:</w:t>
      </w:r>
    </w:p>
    <w:p>
      <w:pPr>
        <w:spacing w:after="0" w:line="186" w:lineRule="exact"/>
        <w:rPr>
          <w:sz w:val="20"/>
          <w:szCs w:val="20"/>
          <w:color w:val="auto"/>
        </w:rPr>
      </w:pPr>
    </w:p>
    <w:tbl>
      <w:tblPr>
        <w:tblLayout w:type="fixed"/>
        <w:tblInd w:w="248" w:type="dxa"/>
        <w:tblCellMar>
          <w:top w:w="0" w:type="dxa"/>
          <w:left w:w="0" w:type="dxa"/>
          <w:bottom w:w="0" w:type="dxa"/>
          <w:right w:w="0" w:type="dxa"/>
        </w:tblCellMar>
      </w:tblPr>
      <w:tr>
        <w:trPr>
          <w:trHeight w:val="227"/>
        </w:trPr>
        <w:tc>
          <w:tcPr>
            <w:tcW w:w="5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Named Executive Officer</w:t>
            </w:r>
          </w:p>
        </w:tc>
        <w:tc>
          <w:tcPr>
            <w:tcW w:w="4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ind w:right="1393"/>
              <w:spacing w:after="0"/>
              <w:rPr>
                <w:sz w:val="20"/>
                <w:szCs w:val="20"/>
                <w:color w:val="auto"/>
              </w:rPr>
            </w:pPr>
            <w:r>
              <w:rPr>
                <w:rFonts w:ascii="Arial" w:cs="Arial" w:eastAsia="Arial" w:hAnsi="Arial"/>
                <w:sz w:val="17"/>
                <w:szCs w:val="17"/>
                <w:b w:val="1"/>
                <w:bCs w:val="1"/>
                <w:color w:val="auto"/>
              </w:rPr>
              <w:t>Payout $</w:t>
            </w:r>
          </w:p>
        </w:tc>
        <w:tc>
          <w:tcPr>
            <w:tcW w:w="100" w:type="dxa"/>
            <w:vAlign w:val="bottom"/>
            <w:tcBorders>
              <w:bottom w:val="single" w:sz="8" w:color="CFF0FC"/>
            </w:tcBorders>
          </w:tcPr>
          <w:p>
            <w:pPr>
              <w:spacing w:after="0"/>
              <w:rPr>
                <w:sz w:val="19"/>
                <w:szCs w:val="19"/>
                <w:color w:val="auto"/>
              </w:rPr>
            </w:pPr>
          </w:p>
        </w:tc>
      </w:tr>
      <w:tr>
        <w:trPr>
          <w:trHeight w:val="214"/>
        </w:trPr>
        <w:tc>
          <w:tcPr>
            <w:tcW w:w="5620" w:type="dxa"/>
            <w:vAlign w:val="bottom"/>
            <w:shd w:val="clear" w:color="auto" w:fill="CFF0FC"/>
          </w:tcPr>
          <w:p>
            <w:pPr>
              <w:spacing w:after="0"/>
              <w:rPr>
                <w:sz w:val="20"/>
                <w:szCs w:val="20"/>
                <w:color w:val="auto"/>
              </w:rPr>
            </w:pPr>
            <w:r>
              <w:rPr>
                <w:rFonts w:ascii="Arial" w:cs="Arial" w:eastAsia="Arial" w:hAnsi="Arial"/>
                <w:sz w:val="17"/>
                <w:szCs w:val="17"/>
                <w:color w:val="auto"/>
              </w:rPr>
              <w:t>David A. Levin</w:t>
            </w:r>
          </w:p>
        </w:tc>
        <w:tc>
          <w:tcPr>
            <w:tcW w:w="1180" w:type="dxa"/>
            <w:vAlign w:val="bottom"/>
            <w:gridSpan w:val="2"/>
            <w:shd w:val="clear" w:color="auto" w:fill="CFF0FC"/>
          </w:tcPr>
          <w:p>
            <w:pPr>
              <w:jc w:val="right"/>
              <w:ind w:right="680"/>
              <w:spacing w:after="0"/>
              <w:rPr>
                <w:sz w:val="20"/>
                <w:szCs w:val="20"/>
                <w:color w:val="auto"/>
              </w:rPr>
            </w:pPr>
            <w:r>
              <w:rPr>
                <w:rFonts w:ascii="Arial" w:cs="Arial" w:eastAsia="Arial" w:hAnsi="Arial"/>
                <w:sz w:val="17"/>
                <w:szCs w:val="17"/>
                <w:color w:val="auto"/>
              </w:rPr>
              <w:t>$</w:t>
            </w:r>
          </w:p>
        </w:tc>
        <w:tc>
          <w:tcPr>
            <w:tcW w:w="2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243,360</w:t>
            </w:r>
          </w:p>
        </w:tc>
        <w:tc>
          <w:tcPr>
            <w:tcW w:w="100" w:type="dxa"/>
            <w:vAlign w:val="bottom"/>
            <w:shd w:val="clear" w:color="auto" w:fill="CFF0FC"/>
          </w:tcPr>
          <w:p>
            <w:pPr>
              <w:spacing w:after="0"/>
              <w:rPr>
                <w:sz w:val="18"/>
                <w:szCs w:val="18"/>
                <w:color w:val="auto"/>
              </w:rPr>
            </w:pPr>
          </w:p>
        </w:tc>
      </w:tr>
      <w:tr>
        <w:trPr>
          <w:trHeight w:val="221"/>
        </w:trPr>
        <w:tc>
          <w:tcPr>
            <w:tcW w:w="5620" w:type="dxa"/>
            <w:vAlign w:val="bottom"/>
          </w:tcPr>
          <w:p>
            <w:pPr>
              <w:spacing w:after="0"/>
              <w:rPr>
                <w:sz w:val="20"/>
                <w:szCs w:val="20"/>
                <w:color w:val="auto"/>
              </w:rPr>
            </w:pPr>
            <w:r>
              <w:rPr>
                <w:rFonts w:ascii="Arial" w:cs="Arial" w:eastAsia="Arial" w:hAnsi="Arial"/>
                <w:sz w:val="17"/>
                <w:szCs w:val="17"/>
                <w:color w:val="auto"/>
              </w:rPr>
              <w:t>Brian S. Reaves (1)</w:t>
            </w:r>
          </w:p>
        </w:tc>
        <w:tc>
          <w:tcPr>
            <w:tcW w:w="11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2820" w:type="dxa"/>
            <w:vAlign w:val="bottom"/>
          </w:tcPr>
          <w:p>
            <w:pPr>
              <w:jc w:val="right"/>
              <w:spacing w:after="0"/>
              <w:rPr>
                <w:sz w:val="20"/>
                <w:szCs w:val="20"/>
                <w:color w:val="auto"/>
              </w:rPr>
            </w:pPr>
            <w:r>
              <w:rPr>
                <w:rFonts w:ascii="Arial" w:cs="Arial" w:eastAsia="Arial" w:hAnsi="Arial"/>
                <w:sz w:val="17"/>
                <w:szCs w:val="17"/>
                <w:color w:val="auto"/>
              </w:rPr>
              <w:t>38,214</w:t>
            </w:r>
          </w:p>
        </w:tc>
        <w:tc>
          <w:tcPr>
            <w:tcW w:w="100" w:type="dxa"/>
            <w:vAlign w:val="bottom"/>
          </w:tcPr>
          <w:p>
            <w:pPr>
              <w:spacing w:after="0"/>
              <w:rPr>
                <w:sz w:val="19"/>
                <w:szCs w:val="19"/>
                <w:color w:val="auto"/>
              </w:rPr>
            </w:pPr>
          </w:p>
        </w:tc>
      </w:tr>
      <w:tr>
        <w:trPr>
          <w:trHeight w:val="221"/>
        </w:trPr>
        <w:tc>
          <w:tcPr>
            <w:tcW w:w="5620" w:type="dxa"/>
            <w:vAlign w:val="bottom"/>
            <w:shd w:val="clear" w:color="auto" w:fill="CFF0FC"/>
          </w:tcPr>
          <w:p>
            <w:pPr>
              <w:spacing w:after="0"/>
              <w:rPr>
                <w:sz w:val="20"/>
                <w:szCs w:val="20"/>
                <w:color w:val="auto"/>
              </w:rPr>
            </w:pPr>
            <w:r>
              <w:rPr>
                <w:rFonts w:ascii="Arial" w:cs="Arial" w:eastAsia="Arial" w:hAnsi="Arial"/>
                <w:sz w:val="17"/>
                <w:szCs w:val="17"/>
                <w:color w:val="auto"/>
              </w:rPr>
              <w:t>James S. Davey (2)</w:t>
            </w:r>
          </w:p>
        </w:tc>
        <w:tc>
          <w:tcPr>
            <w:tcW w:w="1180" w:type="dxa"/>
            <w:vAlign w:val="bottom"/>
            <w:gridSpan w:val="2"/>
            <w:shd w:val="clear" w:color="auto" w:fill="CFF0FC"/>
          </w:tcPr>
          <w:p>
            <w:pPr>
              <w:jc w:val="right"/>
              <w:ind w:right="680"/>
              <w:spacing w:after="0"/>
              <w:rPr>
                <w:sz w:val="20"/>
                <w:szCs w:val="20"/>
                <w:color w:val="auto"/>
              </w:rPr>
            </w:pPr>
            <w:r>
              <w:rPr>
                <w:rFonts w:ascii="Arial" w:cs="Arial" w:eastAsia="Arial" w:hAnsi="Arial"/>
                <w:sz w:val="17"/>
                <w:szCs w:val="17"/>
                <w:color w:val="auto"/>
              </w:rPr>
              <w:t>$</w:t>
            </w:r>
          </w:p>
        </w:tc>
        <w:tc>
          <w:tcPr>
            <w:tcW w:w="2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10,374</w:t>
            </w:r>
          </w:p>
        </w:tc>
        <w:tc>
          <w:tcPr>
            <w:tcW w:w="100" w:type="dxa"/>
            <w:vAlign w:val="bottom"/>
            <w:shd w:val="clear" w:color="auto" w:fill="CFF0FC"/>
          </w:tcPr>
          <w:p>
            <w:pPr>
              <w:spacing w:after="0"/>
              <w:rPr>
                <w:sz w:val="19"/>
                <w:szCs w:val="19"/>
                <w:color w:val="auto"/>
              </w:rPr>
            </w:pPr>
          </w:p>
        </w:tc>
      </w:tr>
    </w:tbl>
    <w:p>
      <w:pPr>
        <w:spacing w:after="0" w:line="92" w:lineRule="exact"/>
        <w:rPr>
          <w:sz w:val="20"/>
          <w:szCs w:val="20"/>
          <w:color w:val="auto"/>
        </w:rPr>
      </w:pPr>
    </w:p>
    <w:p>
      <w:pPr>
        <w:ind w:left="628" w:right="540" w:hanging="367"/>
        <w:spacing w:after="0" w:line="286" w:lineRule="auto"/>
        <w:tabs>
          <w:tab w:leader="none" w:pos="628" w:val="left"/>
        </w:tabs>
        <w:numPr>
          <w:ilvl w:val="1"/>
          <w:numId w:val="12"/>
        </w:numPr>
        <w:rPr>
          <w:rFonts w:ascii="Arial" w:cs="Arial" w:eastAsia="Arial" w:hAnsi="Arial"/>
          <w:sz w:val="17"/>
          <w:szCs w:val="17"/>
          <w:color w:val="auto"/>
        </w:rPr>
      </w:pPr>
      <w:r>
        <w:rPr>
          <w:rFonts w:ascii="Arial" w:cs="Arial" w:eastAsia="Arial" w:hAnsi="Arial"/>
          <w:sz w:val="17"/>
          <w:szCs w:val="17"/>
          <w:color w:val="auto"/>
        </w:rPr>
        <w:t>Mr. Reaves received a pro-rated cash payout of his 2019 AIP based on his actual earnings through the date of his termination and the then estimated achievement of achieving the Corporate goals.</w:t>
      </w:r>
    </w:p>
    <w:p>
      <w:pPr>
        <w:spacing w:after="0" w:line="55" w:lineRule="exact"/>
        <w:rPr>
          <w:rFonts w:ascii="Arial" w:cs="Arial" w:eastAsia="Arial" w:hAnsi="Arial"/>
          <w:sz w:val="17"/>
          <w:szCs w:val="17"/>
          <w:color w:val="auto"/>
        </w:rPr>
      </w:pPr>
    </w:p>
    <w:p>
      <w:pPr>
        <w:ind w:left="628" w:right="120" w:hanging="367"/>
        <w:spacing w:after="0" w:line="271" w:lineRule="auto"/>
        <w:tabs>
          <w:tab w:leader="none" w:pos="628" w:val="left"/>
        </w:tabs>
        <w:numPr>
          <w:ilvl w:val="1"/>
          <w:numId w:val="12"/>
        </w:numPr>
        <w:rPr>
          <w:rFonts w:ascii="Arial" w:cs="Arial" w:eastAsia="Arial" w:hAnsi="Arial"/>
          <w:sz w:val="17"/>
          <w:szCs w:val="17"/>
          <w:color w:val="auto"/>
        </w:rPr>
      </w:pPr>
      <w:r>
        <w:rPr>
          <w:rFonts w:ascii="Arial" w:cs="Arial" w:eastAsia="Arial" w:hAnsi="Arial"/>
          <w:sz w:val="17"/>
          <w:szCs w:val="17"/>
          <w:color w:val="auto"/>
        </w:rPr>
        <w:t>Mr. Davey’s termination occurred prior to the approval of the adjusted AIP targets in August 2019, and therefore, his pro-rated cash payout was based on his actual earnings through the date of his termination and the then-estimated achievement of achieving the original Corporate and departmental goals.</w:t>
      </w:r>
    </w:p>
    <w:p>
      <w:pPr>
        <w:spacing w:after="0" w:line="275" w:lineRule="exact"/>
        <w:rPr>
          <w:rFonts w:ascii="Arial" w:cs="Arial" w:eastAsia="Arial" w:hAnsi="Arial"/>
          <w:sz w:val="17"/>
          <w:szCs w:val="17"/>
          <w:color w:val="auto"/>
        </w:rPr>
      </w:pPr>
    </w:p>
    <w:p>
      <w:pPr>
        <w:ind w:left="248" w:hanging="248"/>
        <w:spacing w:after="0"/>
        <w:tabs>
          <w:tab w:leader="none" w:pos="248"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Long-term incentive plans</w:t>
      </w:r>
    </w:p>
    <w:p>
      <w:pPr>
        <w:spacing w:after="0" w:line="247" w:lineRule="exact"/>
        <w:rPr>
          <w:rFonts w:ascii="Arial" w:cs="Arial" w:eastAsia="Arial" w:hAnsi="Arial"/>
          <w:sz w:val="17"/>
          <w:szCs w:val="17"/>
          <w:color w:val="auto"/>
        </w:rPr>
      </w:pPr>
    </w:p>
    <w:p>
      <w:pPr>
        <w:ind w:left="248"/>
        <w:spacing w:after="0" w:line="286" w:lineRule="auto"/>
        <w:rPr>
          <w:rFonts w:ascii="Arial" w:cs="Arial" w:eastAsia="Arial" w:hAnsi="Arial"/>
          <w:sz w:val="17"/>
          <w:szCs w:val="17"/>
          <w:color w:val="auto"/>
        </w:rPr>
      </w:pPr>
      <w:r>
        <w:rPr>
          <w:rFonts w:ascii="Arial" w:cs="Arial" w:eastAsia="Arial" w:hAnsi="Arial"/>
          <w:sz w:val="17"/>
          <w:szCs w:val="17"/>
          <w:color w:val="auto"/>
        </w:rPr>
        <w:t>The Company’s long-term incentive plans are designed to ensure that the interests of our executives are aligned with those of our stockholders to create sustainable shareholder value and to promote executive retention.</w:t>
      </w:r>
    </w:p>
    <w:p>
      <w:pPr>
        <w:spacing w:after="0" w:line="185" w:lineRule="exact"/>
        <w:rPr>
          <w:rFonts w:ascii="Arial" w:cs="Arial" w:eastAsia="Arial" w:hAnsi="Arial"/>
          <w:sz w:val="17"/>
          <w:szCs w:val="17"/>
          <w:color w:val="auto"/>
        </w:rPr>
      </w:pPr>
    </w:p>
    <w:p>
      <w:pPr>
        <w:jc w:val="both"/>
        <w:ind w:left="248"/>
        <w:spacing w:after="0" w:line="266" w:lineRule="auto"/>
        <w:rPr>
          <w:rFonts w:ascii="Arial" w:cs="Arial" w:eastAsia="Arial" w:hAnsi="Arial"/>
          <w:sz w:val="17"/>
          <w:szCs w:val="17"/>
          <w:color w:val="auto"/>
        </w:rPr>
      </w:pPr>
      <w:r>
        <w:rPr>
          <w:rFonts w:ascii="Arial" w:cs="Arial" w:eastAsia="Arial" w:hAnsi="Arial"/>
          <w:sz w:val="17"/>
          <w:szCs w:val="17"/>
          <w:color w:val="auto"/>
        </w:rPr>
        <w:t>In 2018, the Compensation Committee approved the Second Amended and Restated Long-Term Incentive Plan, as further amended in October 2018, which among other things, extended the performance period to three years, beginning with grants in fiscal 2018. Due to the change in the LTIP from two to three years, there was no opportunity to earn performance awards during fiscal 2019. The following is a summary of the two LTIPs in effect during fiscal 2019:</w:t>
      </w:r>
    </w:p>
    <w:p>
      <w:pPr>
        <w:spacing w:after="0" w:line="200" w:lineRule="exact"/>
        <w:rPr>
          <w:sz w:val="20"/>
          <w:szCs w:val="20"/>
          <w:color w:val="auto"/>
        </w:rPr>
      </w:pPr>
    </w:p>
    <w:p>
      <w:pPr>
        <w:spacing w:after="0" w:line="210" w:lineRule="exact"/>
        <w:rPr>
          <w:sz w:val="20"/>
          <w:szCs w:val="20"/>
          <w:color w:val="auto"/>
        </w:rPr>
      </w:pPr>
    </w:p>
    <w:p>
      <w:pPr>
        <w:jc w:val="center"/>
        <w:ind w:right="492"/>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214630</wp:posOffset>
            </wp:positionV>
            <wp:extent cx="715391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0728"/>
          </w:cols>
          <w:pgMar w:left="832" w:top="53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6"/>
        </w:trPr>
        <w:tc>
          <w:tcPr>
            <w:tcW w:w="33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color w:val="auto"/>
              </w:rPr>
              <w:t>Summary of LTIPs</w:t>
            </w:r>
            <w:r>
              <w:rPr>
                <w:rFonts w:ascii="Arial" w:cs="Arial" w:eastAsia="Arial" w:hAnsi="Arial"/>
                <w:sz w:val="14"/>
                <w:szCs w:val="14"/>
                <w:color w:val="auto"/>
              </w:rPr>
              <w:t>:</w:t>
            </w:r>
          </w:p>
        </w:tc>
        <w:tc>
          <w:tcPr>
            <w:tcW w:w="2320" w:type="dxa"/>
            <w:vAlign w:val="bottom"/>
            <w:tcBorders>
              <w:bottom w:val="single" w:sz="8" w:color="auto"/>
            </w:tcBorders>
            <w:gridSpan w:val="6"/>
          </w:tcPr>
          <w:p>
            <w:pPr>
              <w:jc w:val="right"/>
              <w:ind w:right="111"/>
              <w:spacing w:after="0"/>
              <w:rPr>
                <w:sz w:val="20"/>
                <w:szCs w:val="20"/>
                <w:color w:val="auto"/>
              </w:rPr>
            </w:pPr>
            <w:r>
              <w:rPr>
                <w:rFonts w:ascii="Arial" w:cs="Arial" w:eastAsia="Arial" w:hAnsi="Arial"/>
                <w:sz w:val="14"/>
                <w:szCs w:val="14"/>
                <w:b w:val="1"/>
                <w:bCs w:val="1"/>
                <w:color w:val="auto"/>
              </w:rPr>
              <w:t>2018-2020</w:t>
            </w: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2380" w:type="dxa"/>
            <w:vAlign w:val="bottom"/>
            <w:tcBorders>
              <w:bottom w:val="single" w:sz="8" w:color="auto"/>
            </w:tcBorders>
            <w:gridSpan w:val="6"/>
          </w:tcPr>
          <w:p>
            <w:pPr>
              <w:jc w:val="right"/>
              <w:ind w:right="131"/>
              <w:spacing w:after="0"/>
              <w:rPr>
                <w:sz w:val="20"/>
                <w:szCs w:val="20"/>
                <w:color w:val="auto"/>
              </w:rPr>
            </w:pPr>
            <w:r>
              <w:rPr>
                <w:rFonts w:ascii="Arial" w:cs="Arial" w:eastAsia="Arial" w:hAnsi="Arial"/>
                <w:sz w:val="14"/>
                <w:szCs w:val="14"/>
                <w:b w:val="1"/>
                <w:bCs w:val="1"/>
                <w:color w:val="auto"/>
              </w:rPr>
              <w:t>2019-2021</w:t>
            </w: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04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60" w:type="dxa"/>
            <w:vAlign w:val="bottom"/>
            <w:gridSpan w:val="2"/>
          </w:tcPr>
          <w:p>
            <w:pPr>
              <w:spacing w:after="0" w:line="156" w:lineRule="exact"/>
              <w:rPr>
                <w:sz w:val="20"/>
                <w:szCs w:val="20"/>
                <w:color w:val="auto"/>
              </w:rPr>
            </w:pPr>
            <w:r>
              <w:rPr>
                <w:rFonts w:ascii="Arial" w:cs="Arial" w:eastAsia="Arial" w:hAnsi="Arial"/>
                <w:sz w:val="14"/>
                <w:szCs w:val="14"/>
                <w:color w:val="auto"/>
              </w:rPr>
              <w:t>Effective date</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gridSpan w:val="5"/>
          </w:tcPr>
          <w:p>
            <w:pPr>
              <w:jc w:val="center"/>
              <w:ind w:right="1600"/>
              <w:spacing w:after="0" w:line="156" w:lineRule="exact"/>
              <w:rPr>
                <w:sz w:val="20"/>
                <w:szCs w:val="20"/>
                <w:color w:val="auto"/>
              </w:rPr>
            </w:pPr>
            <w:r>
              <w:rPr>
                <w:rFonts w:ascii="Arial" w:cs="Arial" w:eastAsia="Arial" w:hAnsi="Arial"/>
                <w:sz w:val="14"/>
                <w:szCs w:val="14"/>
                <w:color w:val="auto"/>
                <w:w w:val="88"/>
              </w:rPr>
              <w:t>October 24, 2018</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5"/>
          </w:tcPr>
          <w:p>
            <w:pPr>
              <w:jc w:val="center"/>
              <w:ind w:right="1380"/>
              <w:spacing w:after="0" w:line="156" w:lineRule="exact"/>
              <w:rPr>
                <w:sz w:val="20"/>
                <w:szCs w:val="20"/>
                <w:color w:val="auto"/>
              </w:rPr>
            </w:pPr>
            <w:r>
              <w:rPr>
                <w:rFonts w:ascii="Arial" w:cs="Arial" w:eastAsia="Arial" w:hAnsi="Arial"/>
                <w:sz w:val="14"/>
                <w:szCs w:val="14"/>
                <w:color w:val="auto"/>
                <w:w w:val="89"/>
              </w:rPr>
              <w:t>August 7, 2019</w:t>
            </w:r>
          </w:p>
        </w:tc>
        <w:tc>
          <w:tcPr>
            <w:tcW w:w="0" w:type="dxa"/>
            <w:vAlign w:val="bottom"/>
          </w:tcPr>
          <w:p>
            <w:pPr>
              <w:spacing w:after="0"/>
              <w:rPr>
                <w:sz w:val="1"/>
                <w:szCs w:val="1"/>
                <w:color w:val="auto"/>
              </w:rPr>
            </w:pPr>
          </w:p>
        </w:tc>
      </w:tr>
      <w:tr>
        <w:trPr>
          <w:trHeight w:val="156"/>
        </w:trPr>
        <w:tc>
          <w:tcPr>
            <w:tcW w:w="336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Performance period</w:t>
            </w: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center"/>
              <w:ind w:left="391"/>
              <w:spacing w:after="0" w:line="156" w:lineRule="exact"/>
              <w:rPr>
                <w:sz w:val="20"/>
                <w:szCs w:val="20"/>
                <w:color w:val="auto"/>
              </w:rPr>
            </w:pPr>
            <w:r>
              <w:rPr>
                <w:rFonts w:ascii="Arial" w:cs="Arial" w:eastAsia="Arial" w:hAnsi="Arial"/>
                <w:sz w:val="14"/>
                <w:szCs w:val="14"/>
                <w:color w:val="auto"/>
                <w:w w:val="90"/>
              </w:rPr>
              <w:t>3yrs</w:t>
            </w:r>
          </w:p>
        </w:tc>
        <w:tc>
          <w:tcPr>
            <w:tcW w:w="360" w:type="dxa"/>
            <w:vAlign w:val="bottom"/>
            <w:tcBorders>
              <w:right w:val="single" w:sz="8" w:color="CFF0FC"/>
            </w:tcBorders>
            <w:shd w:val="clear" w:color="auto" w:fill="CFF0FC"/>
          </w:tcPr>
          <w:p>
            <w:pPr>
              <w:spacing w:after="0"/>
              <w:rPr>
                <w:sz w:val="13"/>
                <w:szCs w:val="13"/>
                <w:color w:val="auto"/>
              </w:rPr>
            </w:pPr>
          </w:p>
        </w:tc>
        <w:tc>
          <w:tcPr>
            <w:tcW w:w="1040" w:type="dxa"/>
            <w:vAlign w:val="bottom"/>
            <w:tcBorders>
              <w:right w:val="single" w:sz="8" w:color="CFF0FC"/>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center"/>
              <w:ind w:left="411"/>
              <w:spacing w:after="0" w:line="156" w:lineRule="exact"/>
              <w:rPr>
                <w:sz w:val="20"/>
                <w:szCs w:val="20"/>
                <w:color w:val="auto"/>
              </w:rPr>
            </w:pPr>
            <w:r>
              <w:rPr>
                <w:rFonts w:ascii="Arial" w:cs="Arial" w:eastAsia="Arial" w:hAnsi="Arial"/>
                <w:sz w:val="14"/>
                <w:szCs w:val="14"/>
                <w:color w:val="auto"/>
                <w:w w:val="90"/>
              </w:rPr>
              <w:t>3yrs</w:t>
            </w:r>
          </w:p>
        </w:tc>
        <w:tc>
          <w:tcPr>
            <w:tcW w:w="380" w:type="dxa"/>
            <w:vAlign w:val="bottom"/>
            <w:tcBorders>
              <w:right w:val="single" w:sz="8" w:color="CFF0FC"/>
            </w:tcBorders>
            <w:shd w:val="clear" w:color="auto" w:fill="CFF0FC"/>
          </w:tcPr>
          <w:p>
            <w:pPr>
              <w:spacing w:after="0"/>
              <w:rPr>
                <w:sz w:val="13"/>
                <w:szCs w:val="13"/>
                <w:color w:val="auto"/>
              </w:rPr>
            </w:pPr>
          </w:p>
        </w:tc>
        <w:tc>
          <w:tcPr>
            <w:tcW w:w="104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60" w:type="dxa"/>
            <w:vAlign w:val="bottom"/>
            <w:gridSpan w:val="2"/>
          </w:tcPr>
          <w:p>
            <w:pPr>
              <w:spacing w:after="0" w:line="156" w:lineRule="exact"/>
              <w:rPr>
                <w:sz w:val="20"/>
                <w:szCs w:val="20"/>
                <w:color w:val="auto"/>
              </w:rPr>
            </w:pPr>
            <w:r>
              <w:rPr>
                <w:rFonts w:ascii="Arial" w:cs="Arial" w:eastAsia="Arial" w:hAnsi="Arial"/>
                <w:sz w:val="14"/>
                <w:szCs w:val="14"/>
                <w:color w:val="auto"/>
              </w:rPr>
              <w:t>End of Performance Period</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gridSpan w:val="5"/>
          </w:tcPr>
          <w:p>
            <w:pPr>
              <w:jc w:val="center"/>
              <w:ind w:right="1600"/>
              <w:spacing w:after="0" w:line="156" w:lineRule="exact"/>
              <w:rPr>
                <w:sz w:val="20"/>
                <w:szCs w:val="20"/>
                <w:color w:val="auto"/>
              </w:rPr>
            </w:pPr>
            <w:r>
              <w:rPr>
                <w:rFonts w:ascii="Arial" w:cs="Arial" w:eastAsia="Arial" w:hAnsi="Arial"/>
                <w:sz w:val="14"/>
                <w:szCs w:val="14"/>
                <w:color w:val="auto"/>
                <w:w w:val="88"/>
              </w:rPr>
              <w:t>January 30, 2021</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5"/>
          </w:tcPr>
          <w:p>
            <w:pPr>
              <w:jc w:val="center"/>
              <w:ind w:right="1380"/>
              <w:spacing w:after="0" w:line="156" w:lineRule="exact"/>
              <w:rPr>
                <w:sz w:val="20"/>
                <w:szCs w:val="20"/>
                <w:color w:val="auto"/>
              </w:rPr>
            </w:pPr>
            <w:r>
              <w:rPr>
                <w:rFonts w:ascii="Arial" w:cs="Arial" w:eastAsia="Arial" w:hAnsi="Arial"/>
                <w:sz w:val="14"/>
                <w:szCs w:val="14"/>
                <w:color w:val="auto"/>
                <w:w w:val="88"/>
              </w:rPr>
              <w:t>January 29, 2022</w:t>
            </w:r>
          </w:p>
        </w:tc>
        <w:tc>
          <w:tcPr>
            <w:tcW w:w="0" w:type="dxa"/>
            <w:vAlign w:val="bottom"/>
          </w:tcPr>
          <w:p>
            <w:pPr>
              <w:spacing w:after="0"/>
              <w:rPr>
                <w:sz w:val="1"/>
                <w:szCs w:val="1"/>
                <w:color w:val="auto"/>
              </w:rPr>
            </w:pPr>
          </w:p>
        </w:tc>
      </w:tr>
      <w:tr>
        <w:trPr>
          <w:trHeight w:val="156"/>
        </w:trPr>
        <w:tc>
          <w:tcPr>
            <w:tcW w:w="336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Target cash value</w:t>
            </w: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300" w:type="dxa"/>
            <w:vAlign w:val="bottom"/>
            <w:gridSpan w:val="7"/>
            <w:shd w:val="clear" w:color="auto" w:fill="CFF0FC"/>
          </w:tcPr>
          <w:p>
            <w:pPr>
              <w:jc w:val="center"/>
              <w:ind w:right="1080"/>
              <w:spacing w:after="0" w:line="156" w:lineRule="exact"/>
              <w:rPr>
                <w:sz w:val="20"/>
                <w:szCs w:val="20"/>
                <w:color w:val="auto"/>
              </w:rPr>
            </w:pPr>
            <w:r>
              <w:rPr>
                <w:rFonts w:ascii="Arial" w:cs="Arial" w:eastAsia="Arial" w:hAnsi="Arial"/>
                <w:sz w:val="14"/>
                <w:szCs w:val="14"/>
                <w:color w:val="auto"/>
                <w:w w:val="91"/>
              </w:rPr>
              <w:t>Annual Salary * Participation Rate</w:t>
            </w:r>
          </w:p>
        </w:tc>
        <w:tc>
          <w:tcPr>
            <w:tcW w:w="6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100" w:type="dxa"/>
            <w:vAlign w:val="bottom"/>
            <w:gridSpan w:val="7"/>
            <w:shd w:val="clear" w:color="auto" w:fill="CFF0FC"/>
          </w:tcPr>
          <w:p>
            <w:pPr>
              <w:jc w:val="center"/>
              <w:ind w:right="860"/>
              <w:spacing w:after="0" w:line="156" w:lineRule="exact"/>
              <w:rPr>
                <w:sz w:val="20"/>
                <w:szCs w:val="20"/>
                <w:color w:val="auto"/>
              </w:rPr>
            </w:pPr>
            <w:r>
              <w:rPr>
                <w:rFonts w:ascii="Arial" w:cs="Arial" w:eastAsia="Arial" w:hAnsi="Arial"/>
                <w:sz w:val="14"/>
                <w:szCs w:val="14"/>
                <w:color w:val="auto"/>
                <w:w w:val="91"/>
              </w:rPr>
              <w:t>Annual Salary * Participation Rate</w:t>
            </w: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3"/>
          </w:tcPr>
          <w:p>
            <w:pPr>
              <w:jc w:val="center"/>
              <w:spacing w:after="0" w:line="143" w:lineRule="exact"/>
              <w:rPr>
                <w:sz w:val="20"/>
                <w:szCs w:val="20"/>
                <w:color w:val="auto"/>
              </w:rPr>
            </w:pPr>
            <w:r>
              <w:rPr>
                <w:rFonts w:ascii="Arial" w:cs="Arial" w:eastAsia="Arial" w:hAnsi="Arial"/>
                <w:sz w:val="14"/>
                <w:szCs w:val="14"/>
                <w:color w:val="auto"/>
                <w:w w:val="90"/>
              </w:rPr>
              <w:t>Time-Based</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color w:val="auto"/>
                <w:w w:val="83"/>
              </w:rPr>
              <w:t>Performance-Based</w:t>
            </w:r>
          </w:p>
        </w:tc>
        <w:tc>
          <w:tcPr>
            <w:tcW w:w="66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4"/>
          </w:tcPr>
          <w:p>
            <w:pPr>
              <w:jc w:val="center"/>
              <w:ind w:right="651"/>
              <w:spacing w:after="0" w:line="143" w:lineRule="exact"/>
              <w:rPr>
                <w:sz w:val="20"/>
                <w:szCs w:val="20"/>
                <w:color w:val="auto"/>
              </w:rPr>
            </w:pPr>
            <w:r>
              <w:rPr>
                <w:rFonts w:ascii="Arial" w:cs="Arial" w:eastAsia="Arial" w:hAnsi="Arial"/>
                <w:sz w:val="14"/>
                <w:szCs w:val="14"/>
                <w:color w:val="auto"/>
                <w:w w:val="90"/>
              </w:rPr>
              <w:t>Time-Based</w:t>
            </w:r>
          </w:p>
        </w:tc>
        <w:tc>
          <w:tcPr>
            <w:tcW w:w="380" w:type="dxa"/>
            <w:vAlign w:val="bottom"/>
          </w:tcPr>
          <w:p>
            <w:pPr>
              <w:spacing w:after="0"/>
              <w:rPr>
                <w:sz w:val="12"/>
                <w:szCs w:val="12"/>
                <w:color w:val="auto"/>
              </w:rPr>
            </w:pPr>
          </w:p>
        </w:tc>
        <w:tc>
          <w:tcPr>
            <w:tcW w:w="1480" w:type="dxa"/>
            <w:vAlign w:val="bottom"/>
            <w:gridSpan w:val="3"/>
          </w:tcPr>
          <w:p>
            <w:pPr>
              <w:jc w:val="center"/>
              <w:ind w:right="440"/>
              <w:spacing w:after="0" w:line="143" w:lineRule="exact"/>
              <w:rPr>
                <w:sz w:val="20"/>
                <w:szCs w:val="20"/>
                <w:color w:val="auto"/>
              </w:rPr>
            </w:pPr>
            <w:r>
              <w:rPr>
                <w:rFonts w:ascii="Arial" w:cs="Arial" w:eastAsia="Arial" w:hAnsi="Arial"/>
                <w:sz w:val="14"/>
                <w:szCs w:val="14"/>
                <w:color w:val="auto"/>
                <w:w w:val="83"/>
              </w:rPr>
              <w:t>Performance-Based</w:t>
            </w: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Allocation of Target Cash Value</w:t>
            </w:r>
          </w:p>
        </w:tc>
        <w:tc>
          <w:tcPr>
            <w:tcW w:w="580" w:type="dxa"/>
            <w:vAlign w:val="bottom"/>
            <w:shd w:val="clear" w:color="auto" w:fill="CFF0FC"/>
          </w:tcPr>
          <w:p>
            <w:pPr>
              <w:spacing w:after="0"/>
              <w:rPr>
                <w:sz w:val="12"/>
                <w:szCs w:val="12"/>
                <w:color w:val="auto"/>
              </w:rPr>
            </w:pPr>
          </w:p>
        </w:tc>
        <w:tc>
          <w:tcPr>
            <w:tcW w:w="540" w:type="dxa"/>
            <w:vAlign w:val="bottom"/>
            <w:tcBorders>
              <w:top w:val="single" w:sz="8" w:color="auto"/>
            </w:tcBorders>
            <w:gridSpan w:val="2"/>
            <w:shd w:val="clear" w:color="auto" w:fill="CFF0FC"/>
          </w:tcPr>
          <w:p>
            <w:pPr>
              <w:jc w:val="center"/>
              <w:ind w:left="71"/>
              <w:spacing w:after="0" w:line="149" w:lineRule="exact"/>
              <w:rPr>
                <w:sz w:val="20"/>
                <w:szCs w:val="20"/>
                <w:color w:val="auto"/>
              </w:rPr>
            </w:pPr>
            <w:r>
              <w:rPr>
                <w:rFonts w:ascii="Arial" w:cs="Arial" w:eastAsia="Arial" w:hAnsi="Arial"/>
                <w:sz w:val="14"/>
                <w:szCs w:val="14"/>
                <w:color w:val="auto"/>
                <w:w w:val="85"/>
              </w:rPr>
              <w:t>50%</w:t>
            </w:r>
          </w:p>
        </w:tc>
        <w:tc>
          <w:tcPr>
            <w:tcW w:w="140" w:type="dxa"/>
            <w:vAlign w:val="bottom"/>
            <w:tcBorders>
              <w:top w:val="single" w:sz="8" w:color="auto"/>
            </w:tcBorders>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spacing w:after="0"/>
              <w:rPr>
                <w:sz w:val="12"/>
                <w:szCs w:val="12"/>
                <w:color w:val="auto"/>
              </w:rPr>
            </w:pPr>
          </w:p>
        </w:tc>
        <w:tc>
          <w:tcPr>
            <w:tcW w:w="1040" w:type="dxa"/>
            <w:vAlign w:val="bottom"/>
            <w:tcBorders>
              <w:top w:val="single" w:sz="8" w:color="auto"/>
              <w:right w:val="single" w:sz="8" w:color="CFF0FC"/>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50%</w:t>
            </w: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40" w:type="dxa"/>
            <w:vAlign w:val="bottom"/>
            <w:tcBorders>
              <w:top w:val="single" w:sz="8" w:color="auto"/>
            </w:tcBorders>
            <w:gridSpan w:val="2"/>
            <w:shd w:val="clear" w:color="auto" w:fill="CFF0FC"/>
          </w:tcPr>
          <w:p>
            <w:pPr>
              <w:jc w:val="center"/>
              <w:ind w:left="91"/>
              <w:spacing w:after="0" w:line="149" w:lineRule="exact"/>
              <w:rPr>
                <w:sz w:val="20"/>
                <w:szCs w:val="20"/>
                <w:color w:val="auto"/>
              </w:rPr>
            </w:pPr>
            <w:r>
              <w:rPr>
                <w:rFonts w:ascii="Arial" w:cs="Arial" w:eastAsia="Arial" w:hAnsi="Arial"/>
                <w:sz w:val="14"/>
                <w:szCs w:val="14"/>
                <w:color w:val="auto"/>
                <w:w w:val="92"/>
              </w:rPr>
              <w:t>50%</w:t>
            </w:r>
          </w:p>
        </w:tc>
        <w:tc>
          <w:tcPr>
            <w:tcW w:w="140" w:type="dxa"/>
            <w:vAlign w:val="bottom"/>
            <w:tcBorders>
              <w:top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80" w:type="dxa"/>
            <w:vAlign w:val="bottom"/>
            <w:tcBorders>
              <w:right w:val="single" w:sz="8" w:color="CFF0FC"/>
            </w:tcBorders>
            <w:shd w:val="clear" w:color="auto" w:fill="CFF0FC"/>
          </w:tcPr>
          <w:p>
            <w:pPr>
              <w:spacing w:after="0"/>
              <w:rPr>
                <w:sz w:val="12"/>
                <w:szCs w:val="12"/>
                <w:color w:val="auto"/>
              </w:rPr>
            </w:pPr>
          </w:p>
        </w:tc>
        <w:tc>
          <w:tcPr>
            <w:tcW w:w="1040" w:type="dxa"/>
            <w:vAlign w:val="bottom"/>
            <w:tcBorders>
              <w:top w:val="single" w:sz="8" w:color="auto"/>
              <w:right w:val="single" w:sz="8" w:color="CFF0FC"/>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50%</w:t>
            </w: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960" w:type="dxa"/>
            <w:vAlign w:val="bottom"/>
            <w:gridSpan w:val="5"/>
          </w:tcPr>
          <w:p>
            <w:pPr>
              <w:jc w:val="center"/>
              <w:ind w:right="51"/>
              <w:spacing w:after="0" w:line="138" w:lineRule="exact"/>
              <w:rPr>
                <w:sz w:val="20"/>
                <w:szCs w:val="20"/>
                <w:color w:val="auto"/>
              </w:rPr>
            </w:pPr>
            <w:r>
              <w:rPr>
                <w:rFonts w:ascii="Arial" w:cs="Arial" w:eastAsia="Arial" w:hAnsi="Arial"/>
                <w:sz w:val="14"/>
                <w:szCs w:val="14"/>
                <w:color w:val="auto"/>
                <w:w w:val="89"/>
              </w:rPr>
              <w:t>at effective date:</w:t>
            </w: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0" w:type="dxa"/>
            <w:vAlign w:val="bottom"/>
            <w:gridSpan w:val="5"/>
          </w:tcPr>
          <w:p>
            <w:pPr>
              <w:jc w:val="center"/>
              <w:ind w:right="51"/>
              <w:spacing w:after="0" w:line="138" w:lineRule="exact"/>
              <w:rPr>
                <w:sz w:val="20"/>
                <w:szCs w:val="20"/>
                <w:color w:val="auto"/>
              </w:rPr>
            </w:pPr>
            <w:r>
              <w:rPr>
                <w:rFonts w:ascii="Arial" w:cs="Arial" w:eastAsia="Arial" w:hAnsi="Arial"/>
                <w:sz w:val="14"/>
                <w:szCs w:val="14"/>
                <w:color w:val="auto"/>
                <w:w w:val="89"/>
              </w:rPr>
              <w:t>at effective date:</w:t>
            </w:r>
          </w:p>
        </w:tc>
        <w:tc>
          <w:tcPr>
            <w:tcW w:w="186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88"/>
              </w:rPr>
              <w:t>RSUs, Cash or a combination</w:t>
            </w:r>
          </w:p>
        </w:tc>
        <w:tc>
          <w:tcPr>
            <w:tcW w:w="0" w:type="dxa"/>
            <w:vAlign w:val="bottom"/>
          </w:tcPr>
          <w:p>
            <w:pPr>
              <w:spacing w:after="0"/>
              <w:rPr>
                <w:sz w:val="1"/>
                <w:szCs w:val="1"/>
                <w:color w:val="auto"/>
              </w:rPr>
            </w:pPr>
          </w:p>
        </w:tc>
      </w:tr>
      <w:tr>
        <w:trPr>
          <w:trHeight w:val="65"/>
        </w:trPr>
        <w:tc>
          <w:tcPr>
            <w:tcW w:w="3360" w:type="dxa"/>
            <w:vAlign w:val="bottom"/>
            <w:gridSpan w:val="2"/>
            <w:vMerge w:val="restart"/>
          </w:tcPr>
          <w:p>
            <w:pPr>
              <w:spacing w:after="0" w:line="143" w:lineRule="exact"/>
              <w:rPr>
                <w:sz w:val="20"/>
                <w:szCs w:val="20"/>
                <w:color w:val="auto"/>
              </w:rPr>
            </w:pPr>
            <w:r>
              <w:rPr>
                <w:rFonts w:ascii="Arial" w:cs="Arial" w:eastAsia="Arial" w:hAnsi="Arial"/>
                <w:sz w:val="14"/>
                <w:szCs w:val="14"/>
                <w:color w:val="auto"/>
              </w:rPr>
              <w:t>Award type</w:t>
            </w:r>
          </w:p>
        </w:tc>
        <w:tc>
          <w:tcPr>
            <w:tcW w:w="1960" w:type="dxa"/>
            <w:vAlign w:val="bottom"/>
            <w:gridSpan w:val="5"/>
            <w:vMerge w:val="restart"/>
          </w:tcPr>
          <w:p>
            <w:pPr>
              <w:jc w:val="center"/>
              <w:ind w:right="51"/>
              <w:spacing w:after="0" w:line="143" w:lineRule="exact"/>
              <w:rPr>
                <w:sz w:val="20"/>
                <w:szCs w:val="20"/>
                <w:color w:val="auto"/>
              </w:rPr>
            </w:pPr>
            <w:r>
              <w:rPr>
                <w:rFonts w:ascii="Arial" w:cs="Arial" w:eastAsia="Arial" w:hAnsi="Arial"/>
                <w:sz w:val="14"/>
                <w:szCs w:val="14"/>
                <w:color w:val="auto"/>
                <w:w w:val="89"/>
              </w:rPr>
              <w:t>100% RSUs</w:t>
            </w:r>
          </w:p>
        </w:tc>
        <w:tc>
          <w:tcPr>
            <w:tcW w:w="2060" w:type="dxa"/>
            <w:vAlign w:val="bottom"/>
            <w:gridSpan w:val="4"/>
            <w:vMerge w:val="restart"/>
          </w:tcPr>
          <w:p>
            <w:pPr>
              <w:jc w:val="center"/>
              <w:ind w:right="360"/>
              <w:spacing w:after="0" w:line="143" w:lineRule="exact"/>
              <w:rPr>
                <w:sz w:val="20"/>
                <w:szCs w:val="20"/>
                <w:color w:val="auto"/>
              </w:rPr>
            </w:pPr>
            <w:r>
              <w:rPr>
                <w:rFonts w:ascii="Arial" w:cs="Arial" w:eastAsia="Arial" w:hAnsi="Arial"/>
                <w:sz w:val="14"/>
                <w:szCs w:val="14"/>
                <w:color w:val="auto"/>
                <w:w w:val="87"/>
              </w:rPr>
              <w:t>RSUs, when earned</w:t>
            </w:r>
          </w:p>
        </w:tc>
        <w:tc>
          <w:tcPr>
            <w:tcW w:w="600" w:type="dxa"/>
            <w:vAlign w:val="bottom"/>
          </w:tcPr>
          <w:p>
            <w:pPr>
              <w:spacing w:after="0"/>
              <w:rPr>
                <w:sz w:val="5"/>
                <w:szCs w:val="5"/>
                <w:color w:val="auto"/>
              </w:rPr>
            </w:pPr>
          </w:p>
        </w:tc>
        <w:tc>
          <w:tcPr>
            <w:tcW w:w="1400" w:type="dxa"/>
            <w:vAlign w:val="bottom"/>
            <w:gridSpan w:val="4"/>
            <w:vMerge w:val="restart"/>
          </w:tcPr>
          <w:p>
            <w:pPr>
              <w:jc w:val="center"/>
              <w:ind w:right="631"/>
              <w:spacing w:after="0" w:line="143" w:lineRule="exact"/>
              <w:rPr>
                <w:sz w:val="20"/>
                <w:szCs w:val="20"/>
                <w:color w:val="auto"/>
              </w:rPr>
            </w:pPr>
            <w:r>
              <w:rPr>
                <w:rFonts w:ascii="Arial" w:cs="Arial" w:eastAsia="Arial" w:hAnsi="Arial"/>
                <w:sz w:val="14"/>
                <w:szCs w:val="14"/>
                <w:color w:val="auto"/>
                <w:w w:val="90"/>
              </w:rPr>
              <w:t>50% RSUs</w:t>
            </w:r>
          </w:p>
        </w:tc>
        <w:tc>
          <w:tcPr>
            <w:tcW w:w="1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3360" w:type="dxa"/>
            <w:vAlign w:val="bottom"/>
            <w:gridSpan w:val="2"/>
            <w:vMerge w:val="continue"/>
          </w:tcPr>
          <w:p>
            <w:pPr>
              <w:spacing w:after="0"/>
              <w:rPr>
                <w:sz w:val="6"/>
                <w:szCs w:val="6"/>
                <w:color w:val="auto"/>
              </w:rPr>
            </w:pPr>
          </w:p>
        </w:tc>
        <w:tc>
          <w:tcPr>
            <w:tcW w:w="1960" w:type="dxa"/>
            <w:vAlign w:val="bottom"/>
            <w:gridSpan w:val="5"/>
            <w:vMerge w:val="continue"/>
          </w:tcPr>
          <w:p>
            <w:pPr>
              <w:spacing w:after="0"/>
              <w:rPr>
                <w:sz w:val="6"/>
                <w:szCs w:val="6"/>
                <w:color w:val="auto"/>
              </w:rPr>
            </w:pPr>
          </w:p>
        </w:tc>
        <w:tc>
          <w:tcPr>
            <w:tcW w:w="206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186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87"/>
              </w:rPr>
              <w:t>thereof, when earned</w:t>
            </w:r>
          </w:p>
        </w:tc>
        <w:tc>
          <w:tcPr>
            <w:tcW w:w="0" w:type="dxa"/>
            <w:vAlign w:val="bottom"/>
          </w:tcPr>
          <w:p>
            <w:pPr>
              <w:spacing w:after="0"/>
              <w:rPr>
                <w:sz w:val="1"/>
                <w:szCs w:val="1"/>
                <w:color w:val="auto"/>
              </w:rPr>
            </w:pPr>
          </w:p>
        </w:tc>
      </w:tr>
      <w:tr>
        <w:trPr>
          <w:trHeight w:val="98"/>
        </w:trPr>
        <w:tc>
          <w:tcPr>
            <w:tcW w:w="12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0" w:type="dxa"/>
            <w:vAlign w:val="bottom"/>
            <w:gridSpan w:val="4"/>
            <w:vMerge w:val="restart"/>
          </w:tcPr>
          <w:p>
            <w:pPr>
              <w:jc w:val="center"/>
              <w:ind w:right="651"/>
              <w:spacing w:after="0"/>
              <w:rPr>
                <w:sz w:val="20"/>
                <w:szCs w:val="20"/>
                <w:color w:val="auto"/>
              </w:rPr>
            </w:pPr>
            <w:r>
              <w:rPr>
                <w:rFonts w:ascii="Arial" w:cs="Arial" w:eastAsia="Arial" w:hAnsi="Arial"/>
                <w:sz w:val="14"/>
                <w:szCs w:val="14"/>
                <w:color w:val="auto"/>
                <w:w w:val="86"/>
              </w:rPr>
              <w:t>50% Cash</w:t>
            </w:r>
          </w:p>
        </w:tc>
        <w:tc>
          <w:tcPr>
            <w:tcW w:w="18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2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200" w:type="dxa"/>
            <w:vAlign w:val="bottom"/>
            <w:shd w:val="clear" w:color="auto" w:fill="CFF0FC"/>
          </w:tcPr>
          <w:p>
            <w:pPr>
              <w:spacing w:after="0"/>
              <w:rPr>
                <w:sz w:val="11"/>
                <w:szCs w:val="11"/>
                <w:color w:val="auto"/>
              </w:rPr>
            </w:pPr>
          </w:p>
        </w:tc>
        <w:tc>
          <w:tcPr>
            <w:tcW w:w="2160" w:type="dxa"/>
            <w:vAlign w:val="bottom"/>
            <w:shd w:val="clear" w:color="auto" w:fill="CFF0FC"/>
          </w:tcPr>
          <w:p>
            <w:pPr>
              <w:spacing w:after="0"/>
              <w:rPr>
                <w:sz w:val="11"/>
                <w:szCs w:val="11"/>
                <w:color w:val="auto"/>
              </w:rPr>
            </w:pPr>
          </w:p>
        </w:tc>
        <w:tc>
          <w:tcPr>
            <w:tcW w:w="1960" w:type="dxa"/>
            <w:vAlign w:val="bottom"/>
            <w:gridSpan w:val="5"/>
            <w:shd w:val="clear" w:color="auto" w:fill="CFF0FC"/>
          </w:tcPr>
          <w:p>
            <w:pPr>
              <w:jc w:val="center"/>
              <w:ind w:right="31"/>
              <w:spacing w:after="0" w:line="138" w:lineRule="exact"/>
              <w:rPr>
                <w:sz w:val="20"/>
                <w:szCs w:val="20"/>
                <w:color w:val="auto"/>
              </w:rPr>
            </w:pPr>
            <w:r>
              <w:rPr>
                <w:rFonts w:ascii="Arial" w:cs="Arial" w:eastAsia="Arial" w:hAnsi="Arial"/>
                <w:sz w:val="14"/>
                <w:szCs w:val="14"/>
                <w:color w:val="auto"/>
                <w:w w:val="89"/>
              </w:rPr>
              <w:t>25% October 24, 2019</w:t>
            </w:r>
          </w:p>
        </w:tc>
        <w:tc>
          <w:tcPr>
            <w:tcW w:w="360" w:type="dxa"/>
            <w:vAlign w:val="bottom"/>
            <w:tcBorders>
              <w:right w:val="single" w:sz="8" w:color="CFF0FC"/>
            </w:tcBorders>
            <w:shd w:val="clear" w:color="auto" w:fill="CFF0FC"/>
          </w:tcPr>
          <w:p>
            <w:pPr>
              <w:spacing w:after="0"/>
              <w:rPr>
                <w:sz w:val="11"/>
                <w:szCs w:val="11"/>
                <w:color w:val="auto"/>
              </w:rPr>
            </w:pPr>
          </w:p>
        </w:tc>
        <w:tc>
          <w:tcPr>
            <w:tcW w:w="1040" w:type="dxa"/>
            <w:vAlign w:val="bottom"/>
            <w:tcBorders>
              <w:righ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0" w:type="dxa"/>
            <w:vAlign w:val="bottom"/>
            <w:gridSpan w:val="5"/>
            <w:shd w:val="clear" w:color="auto" w:fill="CFF0FC"/>
          </w:tcPr>
          <w:p>
            <w:pPr>
              <w:jc w:val="center"/>
              <w:ind w:right="31"/>
              <w:spacing w:after="0" w:line="138" w:lineRule="exact"/>
              <w:rPr>
                <w:sz w:val="20"/>
                <w:szCs w:val="20"/>
                <w:color w:val="auto"/>
              </w:rPr>
            </w:pPr>
            <w:r>
              <w:rPr>
                <w:rFonts w:ascii="Arial" w:cs="Arial" w:eastAsia="Arial" w:hAnsi="Arial"/>
                <w:sz w:val="14"/>
                <w:szCs w:val="14"/>
                <w:color w:val="auto"/>
                <w:w w:val="90"/>
              </w:rPr>
              <w:t>25% August 7, 2020</w:t>
            </w:r>
          </w:p>
        </w:tc>
        <w:tc>
          <w:tcPr>
            <w:tcW w:w="380" w:type="dxa"/>
            <w:vAlign w:val="bottom"/>
            <w:tcBorders>
              <w:right w:val="single" w:sz="8" w:color="CFF0FC"/>
            </w:tcBorders>
            <w:shd w:val="clear" w:color="auto" w:fill="CFF0FC"/>
          </w:tcPr>
          <w:p>
            <w:pPr>
              <w:spacing w:after="0"/>
              <w:rPr>
                <w:sz w:val="11"/>
                <w:szCs w:val="11"/>
                <w:color w:val="auto"/>
              </w:rPr>
            </w:pPr>
          </w:p>
        </w:tc>
        <w:tc>
          <w:tcPr>
            <w:tcW w:w="1040" w:type="dxa"/>
            <w:vAlign w:val="bottom"/>
            <w:tcBorders>
              <w:right w:val="single" w:sz="8" w:color="CFF0FC"/>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36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Vesting period</w:t>
            </w:r>
          </w:p>
        </w:tc>
        <w:tc>
          <w:tcPr>
            <w:tcW w:w="1960" w:type="dxa"/>
            <w:vAlign w:val="bottom"/>
            <w:gridSpan w:val="5"/>
            <w:shd w:val="clear" w:color="auto" w:fill="CFF0FC"/>
          </w:tcPr>
          <w:p>
            <w:pPr>
              <w:jc w:val="center"/>
              <w:ind w:right="51"/>
              <w:spacing w:after="0" w:line="143" w:lineRule="exact"/>
              <w:rPr>
                <w:sz w:val="20"/>
                <w:szCs w:val="20"/>
                <w:color w:val="auto"/>
              </w:rPr>
            </w:pPr>
            <w:r>
              <w:rPr>
                <w:rFonts w:ascii="Arial" w:cs="Arial" w:eastAsia="Arial" w:hAnsi="Arial"/>
                <w:sz w:val="14"/>
                <w:szCs w:val="14"/>
                <w:color w:val="auto"/>
                <w:w w:val="94"/>
              </w:rPr>
              <w:t>25% April 1, 2020</w:t>
            </w:r>
          </w:p>
        </w:tc>
        <w:tc>
          <w:tcPr>
            <w:tcW w:w="2060" w:type="dxa"/>
            <w:vAlign w:val="bottom"/>
            <w:gridSpan w:val="4"/>
            <w:shd w:val="clear" w:color="auto" w:fill="CFF0FC"/>
          </w:tcPr>
          <w:p>
            <w:pPr>
              <w:spacing w:after="0" w:line="143" w:lineRule="exact"/>
              <w:rPr>
                <w:sz w:val="20"/>
                <w:szCs w:val="20"/>
                <w:color w:val="auto"/>
              </w:rPr>
            </w:pPr>
            <w:r>
              <w:rPr>
                <w:rFonts w:ascii="Arial" w:cs="Arial" w:eastAsia="Arial" w:hAnsi="Arial"/>
                <w:sz w:val="14"/>
                <w:szCs w:val="14"/>
                <w:color w:val="auto"/>
              </w:rPr>
              <w:t>any award earned subject to</w:t>
            </w:r>
          </w:p>
        </w:tc>
        <w:tc>
          <w:tcPr>
            <w:tcW w:w="2000" w:type="dxa"/>
            <w:vAlign w:val="bottom"/>
            <w:gridSpan w:val="5"/>
            <w:shd w:val="clear" w:color="auto" w:fill="CFF0FC"/>
          </w:tcPr>
          <w:p>
            <w:pPr>
              <w:jc w:val="center"/>
              <w:ind w:right="31"/>
              <w:spacing w:after="0" w:line="143" w:lineRule="exact"/>
              <w:rPr>
                <w:sz w:val="20"/>
                <w:szCs w:val="20"/>
                <w:color w:val="auto"/>
              </w:rPr>
            </w:pPr>
            <w:r>
              <w:rPr>
                <w:rFonts w:ascii="Arial" w:cs="Arial" w:eastAsia="Arial" w:hAnsi="Arial"/>
                <w:sz w:val="14"/>
                <w:szCs w:val="14"/>
                <w:color w:val="auto"/>
                <w:w w:val="92"/>
              </w:rPr>
              <w:t>25% April 1, 2021</w:t>
            </w:r>
          </w:p>
        </w:tc>
        <w:tc>
          <w:tcPr>
            <w:tcW w:w="1860" w:type="dxa"/>
            <w:vAlign w:val="bottom"/>
            <w:gridSpan w:val="4"/>
            <w:shd w:val="clear" w:color="auto" w:fill="CFF0FC"/>
          </w:tcPr>
          <w:p>
            <w:pPr>
              <w:spacing w:after="0" w:line="143" w:lineRule="exact"/>
              <w:rPr>
                <w:sz w:val="20"/>
                <w:szCs w:val="20"/>
                <w:color w:val="auto"/>
              </w:rPr>
            </w:pPr>
            <w:r>
              <w:rPr>
                <w:rFonts w:ascii="Arial" w:cs="Arial" w:eastAsia="Arial" w:hAnsi="Arial"/>
                <w:sz w:val="14"/>
                <w:szCs w:val="14"/>
                <w:color w:val="auto"/>
              </w:rPr>
              <w:t>any award earned subject to</w:t>
            </w:r>
          </w:p>
        </w:tc>
        <w:tc>
          <w:tcPr>
            <w:tcW w:w="0" w:type="dxa"/>
            <w:vAlign w:val="bottom"/>
          </w:tcPr>
          <w:p>
            <w:pPr>
              <w:spacing w:after="0"/>
              <w:rPr>
                <w:sz w:val="1"/>
                <w:szCs w:val="1"/>
                <w:color w:val="auto"/>
              </w:rPr>
            </w:pPr>
          </w:p>
        </w:tc>
      </w:tr>
      <w:tr>
        <w:trPr>
          <w:trHeight w:val="98"/>
        </w:trPr>
        <w:tc>
          <w:tcPr>
            <w:tcW w:w="3360" w:type="dxa"/>
            <w:vAlign w:val="bottom"/>
            <w:gridSpan w:val="2"/>
            <w:vMerge w:val="continue"/>
            <w:shd w:val="clear" w:color="auto" w:fill="CFF0FC"/>
          </w:tcPr>
          <w:p>
            <w:pPr>
              <w:spacing w:after="0"/>
              <w:rPr>
                <w:sz w:val="8"/>
                <w:szCs w:val="8"/>
                <w:color w:val="auto"/>
              </w:rPr>
            </w:pPr>
          </w:p>
        </w:tc>
        <w:tc>
          <w:tcPr>
            <w:tcW w:w="1960" w:type="dxa"/>
            <w:vAlign w:val="bottom"/>
            <w:gridSpan w:val="5"/>
            <w:vMerge w:val="restart"/>
            <w:shd w:val="clear" w:color="auto" w:fill="CFF0FC"/>
          </w:tcPr>
          <w:p>
            <w:pPr>
              <w:jc w:val="center"/>
              <w:ind w:right="51"/>
              <w:spacing w:after="0" w:line="143" w:lineRule="exact"/>
              <w:rPr>
                <w:sz w:val="20"/>
                <w:szCs w:val="20"/>
                <w:color w:val="auto"/>
              </w:rPr>
            </w:pPr>
            <w:r>
              <w:rPr>
                <w:rFonts w:ascii="Arial" w:cs="Arial" w:eastAsia="Arial" w:hAnsi="Arial"/>
                <w:sz w:val="14"/>
                <w:szCs w:val="14"/>
                <w:color w:val="auto"/>
                <w:w w:val="94"/>
              </w:rPr>
              <w:t>25% April 1, 2021</w:t>
            </w:r>
          </w:p>
        </w:tc>
        <w:tc>
          <w:tcPr>
            <w:tcW w:w="2060" w:type="dxa"/>
            <w:vAlign w:val="bottom"/>
            <w:gridSpan w:val="4"/>
            <w:vMerge w:val="restart"/>
            <w:shd w:val="clear" w:color="auto" w:fill="CFF0FC"/>
          </w:tcPr>
          <w:p>
            <w:pPr>
              <w:spacing w:after="0" w:line="143" w:lineRule="exact"/>
              <w:rPr>
                <w:sz w:val="20"/>
                <w:szCs w:val="20"/>
                <w:color w:val="auto"/>
              </w:rPr>
            </w:pPr>
            <w:r>
              <w:rPr>
                <w:rFonts w:ascii="Arial" w:cs="Arial" w:eastAsia="Arial" w:hAnsi="Arial"/>
                <w:sz w:val="14"/>
                <w:szCs w:val="14"/>
                <w:color w:val="auto"/>
              </w:rPr>
              <w:t>additional vesting through</w:t>
            </w:r>
          </w:p>
        </w:tc>
        <w:tc>
          <w:tcPr>
            <w:tcW w:w="2000" w:type="dxa"/>
            <w:vAlign w:val="bottom"/>
            <w:gridSpan w:val="5"/>
            <w:vMerge w:val="restart"/>
            <w:shd w:val="clear" w:color="auto" w:fill="CFF0FC"/>
          </w:tcPr>
          <w:p>
            <w:pPr>
              <w:jc w:val="center"/>
              <w:ind w:right="31"/>
              <w:spacing w:after="0" w:line="143" w:lineRule="exact"/>
              <w:rPr>
                <w:sz w:val="20"/>
                <w:szCs w:val="20"/>
                <w:color w:val="auto"/>
              </w:rPr>
            </w:pPr>
            <w:r>
              <w:rPr>
                <w:rFonts w:ascii="Arial" w:cs="Arial" w:eastAsia="Arial" w:hAnsi="Arial"/>
                <w:sz w:val="14"/>
                <w:szCs w:val="14"/>
                <w:color w:val="auto"/>
                <w:w w:val="92"/>
              </w:rPr>
              <w:t>25% April 1, 2022</w:t>
            </w:r>
          </w:p>
        </w:tc>
        <w:tc>
          <w:tcPr>
            <w:tcW w:w="1860" w:type="dxa"/>
            <w:vAlign w:val="bottom"/>
            <w:gridSpan w:val="4"/>
            <w:vMerge w:val="restart"/>
            <w:shd w:val="clear" w:color="auto" w:fill="CFF0FC"/>
          </w:tcPr>
          <w:p>
            <w:pPr>
              <w:spacing w:after="0" w:line="143" w:lineRule="exact"/>
              <w:rPr>
                <w:sz w:val="20"/>
                <w:szCs w:val="20"/>
                <w:color w:val="auto"/>
              </w:rPr>
            </w:pPr>
            <w:r>
              <w:rPr>
                <w:rFonts w:ascii="Arial" w:cs="Arial" w:eastAsia="Arial" w:hAnsi="Arial"/>
                <w:sz w:val="14"/>
                <w:szCs w:val="14"/>
                <w:color w:val="auto"/>
              </w:rPr>
              <w:t>additional vesting through</w:t>
            </w:r>
          </w:p>
        </w:tc>
        <w:tc>
          <w:tcPr>
            <w:tcW w:w="0" w:type="dxa"/>
            <w:vAlign w:val="bottom"/>
          </w:tcPr>
          <w:p>
            <w:pPr>
              <w:spacing w:after="0"/>
              <w:rPr>
                <w:sz w:val="1"/>
                <w:szCs w:val="1"/>
                <w:color w:val="auto"/>
              </w:rPr>
            </w:pPr>
          </w:p>
        </w:tc>
      </w:tr>
      <w:tr>
        <w:trPr>
          <w:trHeight w:val="46"/>
        </w:trPr>
        <w:tc>
          <w:tcPr>
            <w:tcW w:w="1200" w:type="dxa"/>
            <w:vAlign w:val="bottom"/>
            <w:shd w:val="clear" w:color="auto" w:fill="CFF0FC"/>
          </w:tcPr>
          <w:p>
            <w:pPr>
              <w:spacing w:after="0"/>
              <w:rPr>
                <w:sz w:val="3"/>
                <w:szCs w:val="3"/>
                <w:color w:val="auto"/>
              </w:rPr>
            </w:pPr>
          </w:p>
        </w:tc>
        <w:tc>
          <w:tcPr>
            <w:tcW w:w="2160" w:type="dxa"/>
            <w:vAlign w:val="bottom"/>
            <w:shd w:val="clear" w:color="auto" w:fill="CFF0FC"/>
          </w:tcPr>
          <w:p>
            <w:pPr>
              <w:spacing w:after="0"/>
              <w:rPr>
                <w:sz w:val="3"/>
                <w:szCs w:val="3"/>
                <w:color w:val="auto"/>
              </w:rPr>
            </w:pPr>
          </w:p>
        </w:tc>
        <w:tc>
          <w:tcPr>
            <w:tcW w:w="1960" w:type="dxa"/>
            <w:vAlign w:val="bottom"/>
            <w:gridSpan w:val="5"/>
            <w:vMerge w:val="continue"/>
            <w:shd w:val="clear" w:color="auto" w:fill="CFF0FC"/>
          </w:tcPr>
          <w:p>
            <w:pPr>
              <w:spacing w:after="0"/>
              <w:rPr>
                <w:sz w:val="3"/>
                <w:szCs w:val="3"/>
                <w:color w:val="auto"/>
              </w:rPr>
            </w:pPr>
          </w:p>
        </w:tc>
        <w:tc>
          <w:tcPr>
            <w:tcW w:w="2060" w:type="dxa"/>
            <w:vAlign w:val="bottom"/>
            <w:gridSpan w:val="4"/>
            <w:vMerge w:val="continue"/>
            <w:shd w:val="clear" w:color="auto" w:fill="CFF0FC"/>
          </w:tcPr>
          <w:p>
            <w:pPr>
              <w:spacing w:after="0"/>
              <w:rPr>
                <w:sz w:val="3"/>
                <w:szCs w:val="3"/>
                <w:color w:val="auto"/>
              </w:rPr>
            </w:pPr>
          </w:p>
        </w:tc>
        <w:tc>
          <w:tcPr>
            <w:tcW w:w="2000" w:type="dxa"/>
            <w:vAlign w:val="bottom"/>
            <w:gridSpan w:val="5"/>
            <w:vMerge w:val="continue"/>
            <w:shd w:val="clear" w:color="auto" w:fill="CFF0FC"/>
          </w:tcPr>
          <w:p>
            <w:pPr>
              <w:spacing w:after="0"/>
              <w:rPr>
                <w:sz w:val="3"/>
                <w:szCs w:val="3"/>
                <w:color w:val="auto"/>
              </w:rPr>
            </w:pPr>
          </w:p>
        </w:tc>
        <w:tc>
          <w:tcPr>
            <w:tcW w:w="1860" w:type="dxa"/>
            <w:vAlign w:val="bottom"/>
            <w:gridSpan w:val="4"/>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960" w:type="dxa"/>
            <w:vAlign w:val="bottom"/>
            <w:gridSpan w:val="5"/>
            <w:shd w:val="clear" w:color="auto" w:fill="CFF0FC"/>
          </w:tcPr>
          <w:p>
            <w:pPr>
              <w:jc w:val="center"/>
              <w:ind w:right="51"/>
              <w:spacing w:after="0"/>
              <w:rPr>
                <w:sz w:val="20"/>
                <w:szCs w:val="20"/>
                <w:color w:val="auto"/>
              </w:rPr>
            </w:pPr>
            <w:r>
              <w:rPr>
                <w:rFonts w:ascii="Arial" w:cs="Arial" w:eastAsia="Arial" w:hAnsi="Arial"/>
                <w:sz w:val="14"/>
                <w:szCs w:val="14"/>
                <w:color w:val="auto"/>
                <w:w w:val="94"/>
              </w:rPr>
              <w:t>25% April 1, 2022</w:t>
            </w:r>
          </w:p>
        </w:tc>
        <w:tc>
          <w:tcPr>
            <w:tcW w:w="206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August 31, 2021</w:t>
            </w:r>
          </w:p>
        </w:tc>
        <w:tc>
          <w:tcPr>
            <w:tcW w:w="2000" w:type="dxa"/>
            <w:vAlign w:val="bottom"/>
            <w:gridSpan w:val="5"/>
            <w:shd w:val="clear" w:color="auto" w:fill="CFF0FC"/>
          </w:tcPr>
          <w:p>
            <w:pPr>
              <w:jc w:val="center"/>
              <w:ind w:right="31"/>
              <w:spacing w:after="0"/>
              <w:rPr>
                <w:sz w:val="20"/>
                <w:szCs w:val="20"/>
                <w:color w:val="auto"/>
              </w:rPr>
            </w:pPr>
            <w:r>
              <w:rPr>
                <w:rFonts w:ascii="Arial" w:cs="Arial" w:eastAsia="Arial" w:hAnsi="Arial"/>
                <w:sz w:val="14"/>
                <w:szCs w:val="14"/>
                <w:color w:val="auto"/>
                <w:w w:val="92"/>
              </w:rPr>
              <w:t>25% April 1, 2023</w:t>
            </w:r>
          </w:p>
        </w:tc>
        <w:tc>
          <w:tcPr>
            <w:tcW w:w="186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August 31, 2022</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87"/>
              </w:rPr>
              <w:t>Performance Targets:</w:t>
            </w:r>
          </w:p>
        </w:tc>
        <w:tc>
          <w:tcPr>
            <w:tcW w:w="2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jc w:val="center"/>
              <w:spacing w:after="0" w:line="143" w:lineRule="exact"/>
              <w:rPr>
                <w:sz w:val="20"/>
                <w:szCs w:val="20"/>
                <w:color w:val="auto"/>
              </w:rPr>
            </w:pPr>
            <w:r>
              <w:rPr>
                <w:rFonts w:ascii="Arial" w:cs="Arial" w:eastAsia="Arial" w:hAnsi="Arial"/>
                <w:sz w:val="14"/>
                <w:szCs w:val="14"/>
                <w:color w:val="auto"/>
                <w:w w:val="90"/>
              </w:rPr>
              <w:t>Target:</w:t>
            </w:r>
          </w:p>
        </w:tc>
        <w:tc>
          <w:tcPr>
            <w:tcW w:w="840" w:type="dxa"/>
            <w:vAlign w:val="bottom"/>
            <w:gridSpan w:val="2"/>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spacing w:after="0"/>
              <w:rPr>
                <w:sz w:val="12"/>
                <w:szCs w:val="12"/>
                <w:color w:val="auto"/>
              </w:rPr>
            </w:pPr>
          </w:p>
        </w:tc>
        <w:tc>
          <w:tcPr>
            <w:tcW w:w="1700" w:type="dxa"/>
            <w:vAlign w:val="bottom"/>
            <w:gridSpan w:val="3"/>
            <w:shd w:val="clear" w:color="auto" w:fill="CFF0FC"/>
          </w:tcPr>
          <w:p>
            <w:pPr>
              <w:jc w:val="center"/>
              <w:ind w:right="720"/>
              <w:spacing w:after="0" w:line="143" w:lineRule="exact"/>
              <w:rPr>
                <w:sz w:val="20"/>
                <w:szCs w:val="20"/>
                <w:color w:val="auto"/>
              </w:rPr>
            </w:pPr>
            <w:r>
              <w:rPr>
                <w:rFonts w:ascii="Arial" w:cs="Arial" w:eastAsia="Arial" w:hAnsi="Arial"/>
                <w:sz w:val="14"/>
                <w:szCs w:val="14"/>
                <w:color w:val="auto"/>
                <w:w w:val="93"/>
              </w:rPr>
              <w:t>Min/Max Payout:</w:t>
            </w: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center"/>
              <w:ind w:right="791"/>
              <w:spacing w:after="0" w:line="143" w:lineRule="exact"/>
              <w:rPr>
                <w:sz w:val="20"/>
                <w:szCs w:val="20"/>
                <w:color w:val="auto"/>
              </w:rPr>
            </w:pPr>
            <w:r>
              <w:rPr>
                <w:rFonts w:ascii="Arial" w:cs="Arial" w:eastAsia="Arial" w:hAnsi="Arial"/>
                <w:sz w:val="14"/>
                <w:szCs w:val="14"/>
                <w:color w:val="auto"/>
                <w:w w:val="85"/>
              </w:rPr>
              <w:t>Target:</w:t>
            </w:r>
          </w:p>
        </w:tc>
        <w:tc>
          <w:tcPr>
            <w:tcW w:w="380" w:type="dxa"/>
            <w:vAlign w:val="bottom"/>
            <w:tcBorders>
              <w:right w:val="single" w:sz="8" w:color="CFF0FC"/>
            </w:tcBorders>
            <w:shd w:val="clear" w:color="auto" w:fill="CFF0FC"/>
          </w:tcPr>
          <w:p>
            <w:pPr>
              <w:spacing w:after="0"/>
              <w:rPr>
                <w:sz w:val="12"/>
                <w:szCs w:val="12"/>
                <w:color w:val="auto"/>
              </w:rPr>
            </w:pPr>
          </w:p>
        </w:tc>
        <w:tc>
          <w:tcPr>
            <w:tcW w:w="1480" w:type="dxa"/>
            <w:vAlign w:val="bottom"/>
            <w:gridSpan w:val="3"/>
            <w:shd w:val="clear" w:color="auto" w:fill="CFF0FC"/>
          </w:tcPr>
          <w:p>
            <w:pPr>
              <w:jc w:val="center"/>
              <w:ind w:right="500"/>
              <w:spacing w:after="0" w:line="143" w:lineRule="exact"/>
              <w:rPr>
                <w:sz w:val="20"/>
                <w:szCs w:val="20"/>
                <w:color w:val="auto"/>
              </w:rPr>
            </w:pPr>
            <w:r>
              <w:rPr>
                <w:rFonts w:ascii="Arial" w:cs="Arial" w:eastAsia="Arial" w:hAnsi="Arial"/>
                <w:sz w:val="14"/>
                <w:szCs w:val="14"/>
                <w:color w:val="auto"/>
                <w:w w:val="93"/>
              </w:rPr>
              <w:t>Min/Max Payout:</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6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200" w:type="dxa"/>
            <w:vAlign w:val="bottom"/>
          </w:tcPr>
          <w:p>
            <w:pPr>
              <w:ind w:left="160"/>
              <w:spacing w:after="0" w:line="131" w:lineRule="exact"/>
              <w:rPr>
                <w:sz w:val="20"/>
                <w:szCs w:val="20"/>
                <w:color w:val="auto"/>
              </w:rPr>
            </w:pPr>
            <w:r>
              <w:rPr>
                <w:rFonts w:ascii="Arial" w:cs="Arial" w:eastAsia="Arial" w:hAnsi="Arial"/>
                <w:sz w:val="14"/>
                <w:szCs w:val="14"/>
                <w:color w:val="auto"/>
              </w:rPr>
              <w:t>Target 1</w:t>
            </w:r>
          </w:p>
        </w:tc>
        <w:tc>
          <w:tcPr>
            <w:tcW w:w="2160" w:type="dxa"/>
            <w:vAlign w:val="bottom"/>
          </w:tcPr>
          <w:p>
            <w:pPr>
              <w:spacing w:after="0"/>
              <w:rPr>
                <w:sz w:val="11"/>
                <w:szCs w:val="11"/>
                <w:color w:val="auto"/>
              </w:rPr>
            </w:pPr>
          </w:p>
        </w:tc>
        <w:tc>
          <w:tcPr>
            <w:tcW w:w="1960" w:type="dxa"/>
            <w:vAlign w:val="bottom"/>
            <w:gridSpan w:val="5"/>
          </w:tcPr>
          <w:p>
            <w:pPr>
              <w:jc w:val="center"/>
              <w:ind w:right="91"/>
              <w:spacing w:after="0" w:line="131" w:lineRule="exact"/>
              <w:rPr>
                <w:sz w:val="20"/>
                <w:szCs w:val="20"/>
                <w:color w:val="auto"/>
              </w:rPr>
            </w:pPr>
            <w:r>
              <w:rPr>
                <w:rFonts w:ascii="Arial" w:cs="Arial" w:eastAsia="Arial" w:hAnsi="Arial"/>
                <w:sz w:val="14"/>
                <w:szCs w:val="14"/>
                <w:color w:val="auto"/>
                <w:w w:val="92"/>
              </w:rPr>
              <w:t>3-yr. average Adjusted EBITDA</w:t>
            </w:r>
          </w:p>
        </w:tc>
        <w:tc>
          <w:tcPr>
            <w:tcW w:w="2060" w:type="dxa"/>
            <w:vAlign w:val="bottom"/>
            <w:gridSpan w:val="4"/>
          </w:tcPr>
          <w:p>
            <w:pPr>
              <w:spacing w:after="0" w:line="131" w:lineRule="exact"/>
              <w:rPr>
                <w:sz w:val="20"/>
                <w:szCs w:val="20"/>
                <w:color w:val="auto"/>
              </w:rPr>
            </w:pPr>
            <w:r>
              <w:rPr>
                <w:rFonts w:ascii="Arial" w:cs="Arial" w:eastAsia="Arial" w:hAnsi="Arial"/>
                <w:sz w:val="14"/>
                <w:szCs w:val="14"/>
                <w:color w:val="auto"/>
              </w:rPr>
              <w:t>100% payout at target, with</w:t>
            </w:r>
          </w:p>
        </w:tc>
        <w:tc>
          <w:tcPr>
            <w:tcW w:w="2000" w:type="dxa"/>
            <w:vAlign w:val="bottom"/>
            <w:gridSpan w:val="5"/>
          </w:tcPr>
          <w:p>
            <w:pPr>
              <w:spacing w:after="0" w:line="131" w:lineRule="exact"/>
              <w:rPr>
                <w:sz w:val="20"/>
                <w:szCs w:val="20"/>
                <w:color w:val="auto"/>
              </w:rPr>
            </w:pPr>
            <w:r>
              <w:rPr>
                <w:rFonts w:ascii="Arial" w:cs="Arial" w:eastAsia="Arial" w:hAnsi="Arial"/>
                <w:sz w:val="14"/>
                <w:szCs w:val="14"/>
                <w:color w:val="auto"/>
              </w:rPr>
              <w:t>3-yr. average Adjusted EBITDA</w:t>
            </w:r>
          </w:p>
        </w:tc>
        <w:tc>
          <w:tcPr>
            <w:tcW w:w="1860" w:type="dxa"/>
            <w:vAlign w:val="bottom"/>
            <w:gridSpan w:val="4"/>
          </w:tcPr>
          <w:p>
            <w:pPr>
              <w:spacing w:after="0" w:line="131" w:lineRule="exact"/>
              <w:rPr>
                <w:sz w:val="20"/>
                <w:szCs w:val="20"/>
                <w:color w:val="auto"/>
              </w:rPr>
            </w:pPr>
            <w:r>
              <w:rPr>
                <w:rFonts w:ascii="Arial" w:cs="Arial" w:eastAsia="Arial" w:hAnsi="Arial"/>
                <w:sz w:val="14"/>
                <w:szCs w:val="14"/>
                <w:color w:val="auto"/>
              </w:rPr>
              <w:t>100% payout at target, with</w:t>
            </w: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60" w:type="dxa"/>
            <w:vAlign w:val="bottom"/>
            <w:gridSpan w:val="5"/>
          </w:tcPr>
          <w:p>
            <w:pPr>
              <w:spacing w:after="0" w:line="143" w:lineRule="exact"/>
              <w:rPr>
                <w:sz w:val="20"/>
                <w:szCs w:val="20"/>
                <w:color w:val="auto"/>
              </w:rPr>
            </w:pPr>
            <w:r>
              <w:rPr>
                <w:rFonts w:ascii="Arial" w:cs="Arial" w:eastAsia="Arial" w:hAnsi="Arial"/>
                <w:sz w:val="14"/>
                <w:szCs w:val="14"/>
                <w:color w:val="auto"/>
              </w:rPr>
              <w:t>margin</w:t>
            </w:r>
          </w:p>
        </w:tc>
        <w:tc>
          <w:tcPr>
            <w:tcW w:w="2060" w:type="dxa"/>
            <w:vAlign w:val="bottom"/>
            <w:gridSpan w:val="4"/>
          </w:tcPr>
          <w:p>
            <w:pPr>
              <w:spacing w:after="0" w:line="143" w:lineRule="exact"/>
              <w:rPr>
                <w:sz w:val="20"/>
                <w:szCs w:val="20"/>
                <w:color w:val="auto"/>
              </w:rPr>
            </w:pPr>
            <w:r>
              <w:rPr>
                <w:rFonts w:ascii="Arial" w:cs="Arial" w:eastAsia="Arial" w:hAnsi="Arial"/>
                <w:sz w:val="14"/>
                <w:szCs w:val="14"/>
                <w:color w:val="auto"/>
              </w:rPr>
              <w:t>50% payout at 85.7% of target</w:t>
            </w:r>
          </w:p>
        </w:tc>
        <w:tc>
          <w:tcPr>
            <w:tcW w:w="2000" w:type="dxa"/>
            <w:vAlign w:val="bottom"/>
            <w:gridSpan w:val="5"/>
          </w:tcPr>
          <w:p>
            <w:pPr>
              <w:spacing w:after="0" w:line="143" w:lineRule="exact"/>
              <w:rPr>
                <w:sz w:val="20"/>
                <w:szCs w:val="20"/>
                <w:color w:val="auto"/>
              </w:rPr>
            </w:pPr>
            <w:r>
              <w:rPr>
                <w:rFonts w:ascii="Arial" w:cs="Arial" w:eastAsia="Arial" w:hAnsi="Arial"/>
                <w:sz w:val="14"/>
                <w:szCs w:val="14"/>
                <w:color w:val="auto"/>
              </w:rPr>
              <w:t>margin</w:t>
            </w:r>
          </w:p>
        </w:tc>
        <w:tc>
          <w:tcPr>
            <w:tcW w:w="1860" w:type="dxa"/>
            <w:vAlign w:val="bottom"/>
            <w:gridSpan w:val="4"/>
          </w:tcPr>
          <w:p>
            <w:pPr>
              <w:spacing w:after="0" w:line="143" w:lineRule="exact"/>
              <w:rPr>
                <w:sz w:val="20"/>
                <w:szCs w:val="20"/>
                <w:color w:val="auto"/>
              </w:rPr>
            </w:pPr>
            <w:r>
              <w:rPr>
                <w:rFonts w:ascii="Arial" w:cs="Arial" w:eastAsia="Arial" w:hAnsi="Arial"/>
                <w:sz w:val="14"/>
                <w:szCs w:val="14"/>
                <w:color w:val="auto"/>
                <w:w w:val="97"/>
              </w:rPr>
              <w:t>50% payout at 94.6% of target</w:t>
            </w:r>
          </w:p>
        </w:tc>
        <w:tc>
          <w:tcPr>
            <w:tcW w:w="0" w:type="dxa"/>
            <w:vAlign w:val="bottom"/>
          </w:tcPr>
          <w:p>
            <w:pPr>
              <w:spacing w:after="0"/>
              <w:rPr>
                <w:sz w:val="1"/>
                <w:szCs w:val="1"/>
                <w:color w:val="auto"/>
              </w:rPr>
            </w:pPr>
          </w:p>
        </w:tc>
      </w:tr>
      <w:tr>
        <w:trPr>
          <w:trHeight w:val="143"/>
        </w:trPr>
        <w:tc>
          <w:tcPr>
            <w:tcW w:w="1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960" w:type="dxa"/>
            <w:vAlign w:val="bottom"/>
            <w:gridSpan w:val="5"/>
          </w:tcPr>
          <w:p>
            <w:pPr>
              <w:spacing w:after="0" w:line="143" w:lineRule="exact"/>
              <w:rPr>
                <w:sz w:val="20"/>
                <w:szCs w:val="20"/>
                <w:color w:val="auto"/>
              </w:rPr>
            </w:pPr>
            <w:r>
              <w:rPr>
                <w:rFonts w:ascii="Arial" w:cs="Arial" w:eastAsia="Arial" w:hAnsi="Arial"/>
                <w:sz w:val="14"/>
                <w:szCs w:val="14"/>
                <w:color w:val="auto"/>
              </w:rPr>
              <w:t xml:space="preserve">(75% weight) </w:t>
            </w:r>
            <w:r>
              <w:rPr>
                <w:rFonts w:ascii="Arial" w:cs="Arial" w:eastAsia="Arial" w:hAnsi="Arial"/>
                <w:sz w:val="11"/>
                <w:szCs w:val="11"/>
                <w:color w:val="auto"/>
              </w:rPr>
              <w:t>(1)</w:t>
            </w:r>
          </w:p>
        </w:tc>
        <w:tc>
          <w:tcPr>
            <w:tcW w:w="2060" w:type="dxa"/>
            <w:vAlign w:val="bottom"/>
            <w:gridSpan w:val="4"/>
          </w:tcPr>
          <w:p>
            <w:pPr>
              <w:spacing w:after="0" w:line="143" w:lineRule="exact"/>
              <w:rPr>
                <w:sz w:val="20"/>
                <w:szCs w:val="20"/>
                <w:color w:val="auto"/>
              </w:rPr>
            </w:pPr>
            <w:r>
              <w:rPr>
                <w:rFonts w:ascii="Arial" w:cs="Arial" w:eastAsia="Arial" w:hAnsi="Arial"/>
                <w:sz w:val="14"/>
                <w:szCs w:val="14"/>
                <w:color w:val="auto"/>
              </w:rPr>
              <w:t>and 150% payout at 114.3%</w:t>
            </w:r>
          </w:p>
        </w:tc>
        <w:tc>
          <w:tcPr>
            <w:tcW w:w="2000" w:type="dxa"/>
            <w:vAlign w:val="bottom"/>
            <w:gridSpan w:val="5"/>
          </w:tcPr>
          <w:p>
            <w:pPr>
              <w:spacing w:after="0" w:line="143" w:lineRule="exact"/>
              <w:rPr>
                <w:sz w:val="20"/>
                <w:szCs w:val="20"/>
                <w:color w:val="auto"/>
              </w:rPr>
            </w:pPr>
            <w:r>
              <w:rPr>
                <w:rFonts w:ascii="Arial" w:cs="Arial" w:eastAsia="Arial" w:hAnsi="Arial"/>
                <w:sz w:val="14"/>
                <w:szCs w:val="14"/>
                <w:color w:val="auto"/>
              </w:rPr>
              <w:t xml:space="preserve">(50% weight) </w:t>
            </w:r>
            <w:r>
              <w:rPr>
                <w:rFonts w:ascii="Arial" w:cs="Arial" w:eastAsia="Arial" w:hAnsi="Arial"/>
                <w:sz w:val="11"/>
                <w:szCs w:val="11"/>
                <w:color w:val="auto"/>
              </w:rPr>
              <w:t>(1)</w:t>
            </w:r>
          </w:p>
        </w:tc>
        <w:tc>
          <w:tcPr>
            <w:tcW w:w="1860" w:type="dxa"/>
            <w:vAlign w:val="bottom"/>
            <w:gridSpan w:val="4"/>
          </w:tcPr>
          <w:p>
            <w:pPr>
              <w:spacing w:after="0" w:line="143" w:lineRule="exact"/>
              <w:rPr>
                <w:sz w:val="20"/>
                <w:szCs w:val="20"/>
                <w:color w:val="auto"/>
              </w:rPr>
            </w:pPr>
            <w:r>
              <w:rPr>
                <w:rFonts w:ascii="Arial" w:cs="Arial" w:eastAsia="Arial" w:hAnsi="Arial"/>
                <w:sz w:val="14"/>
                <w:szCs w:val="14"/>
                <w:color w:val="auto"/>
                <w:w w:val="96"/>
              </w:rPr>
              <w:t>and 150% payout at 107.1% of</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of target</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CFF0FC"/>
          </w:tcPr>
          <w:p>
            <w:pPr>
              <w:ind w:left="160"/>
              <w:spacing w:after="0" w:line="138" w:lineRule="exact"/>
              <w:rPr>
                <w:sz w:val="20"/>
                <w:szCs w:val="20"/>
                <w:color w:val="auto"/>
              </w:rPr>
            </w:pPr>
            <w:r>
              <w:rPr>
                <w:rFonts w:ascii="Arial" w:cs="Arial" w:eastAsia="Arial" w:hAnsi="Arial"/>
                <w:sz w:val="14"/>
                <w:szCs w:val="14"/>
                <w:color w:val="auto"/>
              </w:rPr>
              <w:t>Target 2</w:t>
            </w:r>
          </w:p>
        </w:tc>
        <w:tc>
          <w:tcPr>
            <w:tcW w:w="1960" w:type="dxa"/>
            <w:vAlign w:val="bottom"/>
            <w:gridSpan w:val="5"/>
            <w:shd w:val="clear" w:color="auto" w:fill="CFF0FC"/>
          </w:tcPr>
          <w:p>
            <w:pPr>
              <w:spacing w:after="0" w:line="138" w:lineRule="exact"/>
              <w:rPr>
                <w:sz w:val="20"/>
                <w:szCs w:val="20"/>
                <w:color w:val="auto"/>
              </w:rPr>
            </w:pPr>
            <w:r>
              <w:rPr>
                <w:rFonts w:ascii="Arial" w:cs="Arial" w:eastAsia="Arial" w:hAnsi="Arial"/>
                <w:sz w:val="14"/>
                <w:szCs w:val="14"/>
                <w:color w:val="auto"/>
              </w:rPr>
              <w:t>3-yr. relative total shareholder</w:t>
            </w:r>
          </w:p>
        </w:tc>
        <w:tc>
          <w:tcPr>
            <w:tcW w:w="2060" w:type="dxa"/>
            <w:vAlign w:val="bottom"/>
            <w:gridSpan w:val="4"/>
            <w:shd w:val="clear" w:color="auto" w:fill="CFF0FC"/>
          </w:tcPr>
          <w:p>
            <w:pPr>
              <w:spacing w:after="0" w:line="138" w:lineRule="exact"/>
              <w:rPr>
                <w:sz w:val="20"/>
                <w:szCs w:val="20"/>
                <w:color w:val="auto"/>
              </w:rPr>
            </w:pPr>
            <w:r>
              <w:rPr>
                <w:rFonts w:ascii="Arial" w:cs="Arial" w:eastAsia="Arial" w:hAnsi="Arial"/>
                <w:sz w:val="14"/>
                <w:szCs w:val="14"/>
                <w:color w:val="auto"/>
              </w:rPr>
              <w:t>100% payout at target (2nd</w:t>
            </w:r>
          </w:p>
        </w:tc>
        <w:tc>
          <w:tcPr>
            <w:tcW w:w="2000" w:type="dxa"/>
            <w:vAlign w:val="bottom"/>
            <w:gridSpan w:val="5"/>
            <w:shd w:val="clear" w:color="auto" w:fill="CFF0FC"/>
          </w:tcPr>
          <w:p>
            <w:pPr>
              <w:spacing w:after="0" w:line="138" w:lineRule="exact"/>
              <w:rPr>
                <w:sz w:val="20"/>
                <w:szCs w:val="20"/>
                <w:color w:val="auto"/>
              </w:rPr>
            </w:pPr>
            <w:r>
              <w:rPr>
                <w:rFonts w:ascii="Arial" w:cs="Arial" w:eastAsia="Arial" w:hAnsi="Arial"/>
                <w:sz w:val="14"/>
                <w:szCs w:val="14"/>
                <w:color w:val="auto"/>
              </w:rPr>
              <w:t>3-yr. stacked retail comp</w:t>
            </w:r>
          </w:p>
        </w:tc>
        <w:tc>
          <w:tcPr>
            <w:tcW w:w="1860" w:type="dxa"/>
            <w:vAlign w:val="bottom"/>
            <w:gridSpan w:val="4"/>
            <w:shd w:val="clear" w:color="auto" w:fill="CFF0FC"/>
          </w:tcPr>
          <w:p>
            <w:pPr>
              <w:spacing w:after="0" w:line="138" w:lineRule="exact"/>
              <w:rPr>
                <w:sz w:val="20"/>
                <w:szCs w:val="20"/>
                <w:color w:val="auto"/>
              </w:rPr>
            </w:pPr>
            <w:r>
              <w:rPr>
                <w:rFonts w:ascii="Arial" w:cs="Arial" w:eastAsia="Arial" w:hAnsi="Arial"/>
                <w:sz w:val="14"/>
                <w:szCs w:val="14"/>
                <w:color w:val="auto"/>
              </w:rPr>
              <w:t>100% payout at target, with</w:t>
            </w: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960" w:type="dxa"/>
            <w:vAlign w:val="bottom"/>
            <w:gridSpan w:val="5"/>
            <w:shd w:val="clear" w:color="auto" w:fill="CFF0FC"/>
          </w:tcPr>
          <w:p>
            <w:pPr>
              <w:spacing w:after="0" w:line="143" w:lineRule="exact"/>
              <w:rPr>
                <w:sz w:val="20"/>
                <w:szCs w:val="20"/>
                <w:color w:val="auto"/>
              </w:rPr>
            </w:pPr>
            <w:r>
              <w:rPr>
                <w:rFonts w:ascii="Arial" w:cs="Arial" w:eastAsia="Arial" w:hAnsi="Arial"/>
                <w:sz w:val="14"/>
                <w:szCs w:val="14"/>
                <w:color w:val="auto"/>
              </w:rPr>
              <w:t>return as compared to 2018</w:t>
            </w:r>
          </w:p>
        </w:tc>
        <w:tc>
          <w:tcPr>
            <w:tcW w:w="2060" w:type="dxa"/>
            <w:vAlign w:val="bottom"/>
            <w:gridSpan w:val="4"/>
            <w:shd w:val="clear" w:color="auto" w:fill="CFF0FC"/>
          </w:tcPr>
          <w:p>
            <w:pPr>
              <w:spacing w:after="0" w:line="143" w:lineRule="exact"/>
              <w:rPr>
                <w:sz w:val="20"/>
                <w:szCs w:val="20"/>
                <w:color w:val="auto"/>
              </w:rPr>
            </w:pPr>
            <w:r>
              <w:rPr>
                <w:rFonts w:ascii="Arial" w:cs="Arial" w:eastAsia="Arial" w:hAnsi="Arial"/>
                <w:sz w:val="14"/>
                <w:szCs w:val="14"/>
                <w:color w:val="auto"/>
              </w:rPr>
              <w:t>quartile), with 50% payout</w:t>
            </w:r>
          </w:p>
        </w:tc>
        <w:tc>
          <w:tcPr>
            <w:tcW w:w="2000" w:type="dxa"/>
            <w:vAlign w:val="bottom"/>
            <w:gridSpan w:val="5"/>
            <w:shd w:val="clear" w:color="auto" w:fill="CFF0FC"/>
          </w:tcPr>
          <w:p>
            <w:pPr>
              <w:spacing w:after="0" w:line="143" w:lineRule="exact"/>
              <w:rPr>
                <w:sz w:val="20"/>
                <w:szCs w:val="20"/>
                <w:color w:val="auto"/>
              </w:rPr>
            </w:pPr>
            <w:r>
              <w:rPr>
                <w:rFonts w:ascii="Arial" w:cs="Arial" w:eastAsia="Arial" w:hAnsi="Arial"/>
                <w:sz w:val="14"/>
                <w:szCs w:val="14"/>
                <w:color w:val="auto"/>
              </w:rPr>
              <w:t>(50% weight)</w:t>
            </w:r>
          </w:p>
        </w:tc>
        <w:tc>
          <w:tcPr>
            <w:tcW w:w="1860" w:type="dxa"/>
            <w:vAlign w:val="bottom"/>
            <w:gridSpan w:val="4"/>
            <w:shd w:val="clear" w:color="auto" w:fill="CFF0FC"/>
          </w:tcPr>
          <w:p>
            <w:pPr>
              <w:spacing w:after="0" w:line="143" w:lineRule="exact"/>
              <w:rPr>
                <w:sz w:val="20"/>
                <w:szCs w:val="20"/>
                <w:color w:val="auto"/>
              </w:rPr>
            </w:pPr>
            <w:r>
              <w:rPr>
                <w:rFonts w:ascii="Arial" w:cs="Arial" w:eastAsia="Arial" w:hAnsi="Arial"/>
                <w:sz w:val="14"/>
                <w:szCs w:val="14"/>
                <w:color w:val="auto"/>
                <w:w w:val="97"/>
              </w:rPr>
              <w:t>50% payout at 74.4% of target</w:t>
            </w: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960" w:type="dxa"/>
            <w:vAlign w:val="bottom"/>
            <w:gridSpan w:val="5"/>
            <w:shd w:val="clear" w:color="auto" w:fill="CFF0FC"/>
          </w:tcPr>
          <w:p>
            <w:pPr>
              <w:spacing w:after="0" w:line="143" w:lineRule="exact"/>
              <w:rPr>
                <w:sz w:val="20"/>
                <w:szCs w:val="20"/>
                <w:color w:val="auto"/>
              </w:rPr>
            </w:pPr>
            <w:r>
              <w:rPr>
                <w:rFonts w:ascii="Arial" w:cs="Arial" w:eastAsia="Arial" w:hAnsi="Arial"/>
                <w:sz w:val="14"/>
                <w:szCs w:val="14"/>
                <w:color w:val="auto"/>
              </w:rPr>
              <w:t>disclosed proxy peers</w:t>
            </w:r>
          </w:p>
        </w:tc>
        <w:tc>
          <w:tcPr>
            <w:tcW w:w="2060" w:type="dxa"/>
            <w:vAlign w:val="bottom"/>
            <w:gridSpan w:val="4"/>
            <w:shd w:val="clear" w:color="auto" w:fill="CFF0FC"/>
          </w:tcPr>
          <w:p>
            <w:pPr>
              <w:spacing w:after="0" w:line="143" w:lineRule="exact"/>
              <w:rPr>
                <w:sz w:val="20"/>
                <w:szCs w:val="20"/>
                <w:color w:val="auto"/>
              </w:rPr>
            </w:pPr>
            <w:r>
              <w:rPr>
                <w:rFonts w:ascii="Arial" w:cs="Arial" w:eastAsia="Arial" w:hAnsi="Arial"/>
                <w:sz w:val="14"/>
                <w:szCs w:val="14"/>
                <w:color w:val="auto"/>
              </w:rPr>
              <w:t>(3rd quartile) and 150% (1st</w:t>
            </w: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60" w:type="dxa"/>
            <w:vAlign w:val="bottom"/>
            <w:gridSpan w:val="4"/>
            <w:shd w:val="clear" w:color="auto" w:fill="CFF0FC"/>
          </w:tcPr>
          <w:p>
            <w:pPr>
              <w:spacing w:after="0" w:line="143" w:lineRule="exact"/>
              <w:rPr>
                <w:sz w:val="20"/>
                <w:szCs w:val="20"/>
                <w:color w:val="auto"/>
              </w:rPr>
            </w:pPr>
            <w:r>
              <w:rPr>
                <w:rFonts w:ascii="Arial" w:cs="Arial" w:eastAsia="Arial" w:hAnsi="Arial"/>
                <w:sz w:val="14"/>
                <w:szCs w:val="14"/>
                <w:color w:val="auto"/>
                <w:w w:val="96"/>
              </w:rPr>
              <w:t>and 150% payout at 138.5% of</w:t>
            </w:r>
          </w:p>
        </w:tc>
        <w:tc>
          <w:tcPr>
            <w:tcW w:w="0" w:type="dxa"/>
            <w:vAlign w:val="bottom"/>
          </w:tcPr>
          <w:p>
            <w:pPr>
              <w:spacing w:after="0"/>
              <w:rPr>
                <w:sz w:val="1"/>
                <w:szCs w:val="1"/>
                <w:color w:val="auto"/>
              </w:rPr>
            </w:pPr>
          </w:p>
        </w:tc>
      </w:tr>
      <w:tr>
        <w:trPr>
          <w:trHeight w:val="143"/>
        </w:trPr>
        <w:tc>
          <w:tcPr>
            <w:tcW w:w="120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960" w:type="dxa"/>
            <w:vAlign w:val="bottom"/>
            <w:gridSpan w:val="5"/>
            <w:shd w:val="clear" w:color="auto" w:fill="CFF0FC"/>
          </w:tcPr>
          <w:p>
            <w:pPr>
              <w:spacing w:after="0" w:line="143" w:lineRule="exact"/>
              <w:rPr>
                <w:sz w:val="20"/>
                <w:szCs w:val="20"/>
                <w:color w:val="auto"/>
              </w:rPr>
            </w:pPr>
            <w:r>
              <w:rPr>
                <w:rFonts w:ascii="Arial" w:cs="Arial" w:eastAsia="Arial" w:hAnsi="Arial"/>
                <w:sz w:val="14"/>
                <w:szCs w:val="14"/>
                <w:color w:val="auto"/>
              </w:rPr>
              <w:t xml:space="preserve">(25% weight) </w:t>
            </w:r>
            <w:r>
              <w:rPr>
                <w:rFonts w:ascii="Arial" w:cs="Arial" w:eastAsia="Arial" w:hAnsi="Arial"/>
                <w:sz w:val="11"/>
                <w:szCs w:val="11"/>
                <w:color w:val="auto"/>
              </w:rPr>
              <w:t>(2)</w:t>
            </w:r>
          </w:p>
        </w:tc>
        <w:tc>
          <w:tcPr>
            <w:tcW w:w="2060" w:type="dxa"/>
            <w:vAlign w:val="bottom"/>
            <w:gridSpan w:val="4"/>
            <w:shd w:val="clear" w:color="auto" w:fill="CFF0FC"/>
          </w:tcPr>
          <w:p>
            <w:pPr>
              <w:spacing w:after="0" w:line="143" w:lineRule="exact"/>
              <w:rPr>
                <w:sz w:val="20"/>
                <w:szCs w:val="20"/>
                <w:color w:val="auto"/>
              </w:rPr>
            </w:pPr>
            <w:r>
              <w:rPr>
                <w:rFonts w:ascii="Arial" w:cs="Arial" w:eastAsia="Arial" w:hAnsi="Arial"/>
                <w:sz w:val="14"/>
                <w:szCs w:val="14"/>
                <w:color w:val="auto"/>
              </w:rPr>
              <w:t>quartile). No payout in the 4th</w:t>
            </w: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60" w:type="dxa"/>
            <w:vAlign w:val="bottom"/>
            <w:gridSpan w:val="4"/>
            <w:shd w:val="clear" w:color="auto" w:fill="CFF0FC"/>
          </w:tcPr>
          <w:p>
            <w:pPr>
              <w:spacing w:after="0" w:line="143"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62"/>
        </w:trPr>
        <w:tc>
          <w:tcPr>
            <w:tcW w:w="120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6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quartile.</w:t>
            </w:r>
          </w:p>
        </w:tc>
        <w:tc>
          <w:tcPr>
            <w:tcW w:w="6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80" w:type="dxa"/>
            <w:vAlign w:val="bottom"/>
            <w:tcBorders>
              <w:right w:val="single" w:sz="8" w:color="CFF0FC"/>
            </w:tcBorders>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left="1320" w:right="100" w:hanging="365"/>
        <w:spacing w:after="0" w:line="225" w:lineRule="auto"/>
        <w:tabs>
          <w:tab w:leader="none" w:pos="1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EBITDA will be adjusted to exclude certain revenues, expenses and cash flows, which were not considered in the establishment of the Company’s targets, including its wholesale business (“Adjusted EBITDA”). Adjusted EBITDA margin will then be calculated by taking the Adjusted EBITDA for the three-year performance period and dividing by the Company’s total sales over the three-year performance period. While Adjusted EBITDA is also a metric used in our AIP, we believe that Adjusted EBITDA is the best measure of both our annual and long-term results.</w:t>
      </w:r>
    </w:p>
    <w:p>
      <w:pPr>
        <w:spacing w:after="0" w:line="73" w:lineRule="exact"/>
        <w:rPr>
          <w:rFonts w:ascii="Arial" w:cs="Arial" w:eastAsia="Arial" w:hAnsi="Arial"/>
          <w:sz w:val="14"/>
          <w:szCs w:val="14"/>
          <w:color w:val="auto"/>
        </w:rPr>
      </w:pPr>
    </w:p>
    <w:p>
      <w:pPr>
        <w:ind w:left="1320" w:right="100" w:hanging="365"/>
        <w:spacing w:after="0" w:line="237" w:lineRule="auto"/>
        <w:tabs>
          <w:tab w:leader="none" w:pos="1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For the Company and each of its 2018 disclosed proxy peers, the three-year relative total shareholder return will be calculated as the percentage change in the 30-day trailing volume-weighted average closing stock price at February 2, 2018 and January 29, 2021, adjusted for any dividends received.</w:t>
      </w:r>
    </w:p>
    <w:p>
      <w:pPr>
        <w:spacing w:after="0" w:line="79"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At the time of establishing the performance targets, the Compensation Committee believed that the above metrics reflected the Company’s primary objective of returning to profitability and driving shareholder return. We will disclose our targets under the LTIPs once the respective performance periods have ended. In light of the COVID-19 pandemic, the ability to achieve the performance metrics under both of these LTIPs has been significantly impacted. If appropriate, the Compensation Committee may determine in the future to modify or amend the targets to take into consideration the business interruption caused by COVID-</w:t>
      </w:r>
    </w:p>
    <w:p>
      <w:pPr>
        <w:spacing w:after="0" w:line="3" w:lineRule="exact"/>
        <w:rPr>
          <w:sz w:val="20"/>
          <w:szCs w:val="20"/>
          <w:color w:val="auto"/>
        </w:rPr>
      </w:pPr>
    </w:p>
    <w:p>
      <w:pPr>
        <w:ind w:right="100" w:firstLine="4"/>
        <w:spacing w:after="0" w:line="271" w:lineRule="auto"/>
        <w:tabs>
          <w:tab w:leader="none" w:pos="33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However, no changes are currently anticipated until the Company can better quantify the impact of COVID-19 on the Company’s business as well as the U.S. economy.</w:t>
      </w:r>
    </w:p>
    <w:p>
      <w:pPr>
        <w:spacing w:after="0" w:line="171" w:lineRule="exact"/>
        <w:rPr>
          <w:sz w:val="20"/>
          <w:szCs w:val="20"/>
          <w:color w:val="auto"/>
        </w:rPr>
      </w:pPr>
    </w:p>
    <w:p>
      <w:pPr>
        <w:ind w:right="700"/>
        <w:spacing w:after="0" w:line="286" w:lineRule="auto"/>
        <w:rPr>
          <w:sz w:val="20"/>
          <w:szCs w:val="20"/>
          <w:color w:val="auto"/>
        </w:rPr>
      </w:pPr>
      <w:r>
        <w:rPr>
          <w:rFonts w:ascii="Arial" w:cs="Arial" w:eastAsia="Arial" w:hAnsi="Arial"/>
          <w:sz w:val="17"/>
          <w:szCs w:val="17"/>
          <w:color w:val="auto"/>
        </w:rPr>
        <w:t>The following table illustrates the components of the LTIPs with the respective vesting dates, illustrating that the time-based portion of the LTIP acts as a retention tool: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 of</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Vesting of Awards by Fiscal Year:</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Approval date</w:t>
            </w:r>
          </w:p>
        </w:tc>
        <w:tc>
          <w:tcPr>
            <w:tcW w:w="4960" w:type="dxa"/>
            <w:vAlign w:val="bottom"/>
            <w:gridSpan w:val="2"/>
          </w:tcPr>
          <w:p>
            <w:pPr>
              <w:ind w:left="1920"/>
              <w:spacing w:after="0"/>
              <w:rPr>
                <w:sz w:val="20"/>
                <w:szCs w:val="20"/>
                <w:color w:val="auto"/>
              </w:rPr>
            </w:pPr>
            <w:r>
              <w:rPr>
                <w:rFonts w:ascii="Arial" w:cs="Arial" w:eastAsia="Arial" w:hAnsi="Arial"/>
                <w:sz w:val="12"/>
                <w:szCs w:val="12"/>
                <w:b w:val="1"/>
                <w:bCs w:val="1"/>
                <w:color w:val="auto"/>
              </w:rPr>
              <w:t>Performance Period</w:t>
            </w:r>
          </w:p>
        </w:tc>
        <w:tc>
          <w:tcPr>
            <w:tcW w:w="9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total award</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Fiscal 2019</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Fiscal 2020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Fiscal 2021</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Fiscal 2022</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Fiscal 2023</w:t>
            </w:r>
          </w:p>
        </w:tc>
        <w:tc>
          <w:tcPr>
            <w:tcW w:w="0" w:type="dxa"/>
            <w:vAlign w:val="bottom"/>
          </w:tcPr>
          <w:p>
            <w:pPr>
              <w:spacing w:after="0"/>
              <w:rPr>
                <w:sz w:val="1"/>
                <w:szCs w:val="1"/>
                <w:color w:val="auto"/>
              </w:rPr>
            </w:pPr>
          </w:p>
        </w:tc>
      </w:tr>
      <w:tr>
        <w:trPr>
          <w:trHeight w:val="136"/>
        </w:trPr>
        <w:tc>
          <w:tcPr>
            <w:tcW w:w="98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2"/>
                <w:szCs w:val="12"/>
                <w:color w:val="auto"/>
              </w:rPr>
              <w:t>10/24/2018</w:t>
            </w:r>
          </w:p>
        </w:tc>
        <w:tc>
          <w:tcPr>
            <w:tcW w:w="60" w:type="dxa"/>
            <w:vAlign w:val="bottom"/>
            <w:tcBorders>
              <w:top w:val="single" w:sz="8" w:color="CFF0FC"/>
            </w:tcBorders>
            <w:shd w:val="clear" w:color="auto" w:fill="CFF0FC"/>
          </w:tcPr>
          <w:p>
            <w:pPr>
              <w:spacing w:after="0"/>
              <w:rPr>
                <w:sz w:val="11"/>
                <w:szCs w:val="11"/>
                <w:color w:val="auto"/>
              </w:rPr>
            </w:pPr>
          </w:p>
        </w:tc>
        <w:tc>
          <w:tcPr>
            <w:tcW w:w="490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2"/>
                <w:szCs w:val="12"/>
                <w:color w:val="auto"/>
              </w:rPr>
              <w:t>2018-2020 LTIP</w:t>
            </w:r>
          </w:p>
        </w:tc>
        <w:tc>
          <w:tcPr>
            <w:tcW w:w="6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gridSpan w:val="2"/>
          </w:tcPr>
          <w:p>
            <w:pPr>
              <w:ind w:left="120"/>
              <w:spacing w:after="0"/>
              <w:rPr>
                <w:sz w:val="20"/>
                <w:szCs w:val="20"/>
                <w:color w:val="auto"/>
              </w:rPr>
            </w:pPr>
            <w:r>
              <w:rPr>
                <w:rFonts w:ascii="Arial" w:cs="Arial" w:eastAsia="Arial" w:hAnsi="Arial"/>
                <w:sz w:val="12"/>
                <w:szCs w:val="12"/>
                <w:color w:val="auto"/>
              </w:rPr>
              <w:t>Time-Based Awards, vests April 1*, subject to forfeiture</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50%</w:t>
            </w:r>
          </w:p>
        </w:tc>
        <w:tc>
          <w:tcPr>
            <w:tcW w:w="860" w:type="dxa"/>
            <w:vAlign w:val="bottom"/>
            <w:gridSpan w:val="2"/>
          </w:tcPr>
          <w:p>
            <w:pPr>
              <w:ind w:left="620"/>
              <w:spacing w:after="0"/>
              <w:rPr>
                <w:sz w:val="20"/>
                <w:szCs w:val="20"/>
                <w:color w:val="auto"/>
              </w:rPr>
            </w:pPr>
            <w:r>
              <w:rPr>
                <w:rFonts w:ascii="Arial" w:cs="Arial" w:eastAsia="Arial" w:hAnsi="Arial"/>
                <w:sz w:val="12"/>
                <w:szCs w:val="12"/>
                <w:color w:val="auto"/>
                <w:w w:val="91"/>
              </w:rPr>
              <w:t>25%</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25%</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25%</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25%</w:t>
            </w:r>
          </w:p>
        </w:tc>
        <w:tc>
          <w:tcPr>
            <w:tcW w:w="760" w:type="dxa"/>
            <w:vAlign w:val="bottom"/>
          </w:tcPr>
          <w:p>
            <w:pPr>
              <w:ind w:left="3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9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96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Performance-Based Awards- vests August 31, if achieved</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50%</w:t>
            </w:r>
          </w:p>
        </w:tc>
        <w:tc>
          <w:tcPr>
            <w:tcW w:w="86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100%</w:t>
            </w:r>
          </w:p>
        </w:tc>
        <w:tc>
          <w:tcPr>
            <w:tcW w:w="92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80" w:type="dxa"/>
            <w:vAlign w:val="bottom"/>
            <w:shd w:val="clear" w:color="auto" w:fill="CFF0FC"/>
          </w:tcPr>
          <w:p>
            <w:pPr>
              <w:spacing w:after="0"/>
              <w:rPr>
                <w:sz w:val="20"/>
                <w:szCs w:val="20"/>
                <w:color w:val="auto"/>
              </w:rPr>
            </w:pPr>
            <w:r>
              <w:rPr>
                <w:rFonts w:ascii="Arial" w:cs="Arial" w:eastAsia="Arial" w:hAnsi="Arial"/>
                <w:sz w:val="12"/>
                <w:szCs w:val="12"/>
                <w:color w:val="auto"/>
              </w:rPr>
              <w:t>8/7/2019</w:t>
            </w:r>
          </w:p>
        </w:tc>
        <w:tc>
          <w:tcPr>
            <w:tcW w:w="60" w:type="dxa"/>
            <w:vAlign w:val="bottom"/>
            <w:shd w:val="clear" w:color="auto" w:fill="CFF0FC"/>
          </w:tcPr>
          <w:p>
            <w:pPr>
              <w:spacing w:after="0"/>
              <w:rPr>
                <w:sz w:val="12"/>
                <w:szCs w:val="12"/>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2019-2021 LTIP</w:t>
            </w: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960" w:type="dxa"/>
            <w:vAlign w:val="bottom"/>
            <w:gridSpan w:val="2"/>
          </w:tcPr>
          <w:p>
            <w:pPr>
              <w:ind w:left="120"/>
              <w:spacing w:after="0"/>
              <w:rPr>
                <w:sz w:val="20"/>
                <w:szCs w:val="20"/>
                <w:color w:val="auto"/>
              </w:rPr>
            </w:pPr>
            <w:r>
              <w:rPr>
                <w:rFonts w:ascii="Arial" w:cs="Arial" w:eastAsia="Arial" w:hAnsi="Arial"/>
                <w:sz w:val="12"/>
                <w:szCs w:val="12"/>
                <w:color w:val="auto"/>
              </w:rPr>
              <w:t>Time-Based Awards, vests April 1*, subject to forfeiture</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50%</w:t>
            </w:r>
          </w:p>
        </w:tc>
        <w:tc>
          <w:tcPr>
            <w:tcW w:w="86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25%</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25%</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25%</w:t>
            </w:r>
          </w:p>
        </w:tc>
        <w:tc>
          <w:tcPr>
            <w:tcW w:w="760" w:type="dxa"/>
            <w:vAlign w:val="bottom"/>
          </w:tcPr>
          <w:p>
            <w:pPr>
              <w:ind w:left="640"/>
              <w:spacing w:after="0"/>
              <w:rPr>
                <w:sz w:val="20"/>
                <w:szCs w:val="20"/>
                <w:color w:val="auto"/>
              </w:rPr>
            </w:pPr>
            <w:r>
              <w:rPr>
                <w:rFonts w:ascii="Arial" w:cs="Arial" w:eastAsia="Arial" w:hAnsi="Arial"/>
                <w:sz w:val="12"/>
                <w:szCs w:val="12"/>
                <w:color w:val="auto"/>
                <w:w w:val="74"/>
              </w:rPr>
              <w:t>25</w:t>
            </w:r>
          </w:p>
        </w:tc>
        <w:tc>
          <w:tcPr>
            <w:tcW w:w="0" w:type="dxa"/>
            <w:vAlign w:val="bottom"/>
          </w:tcPr>
          <w:p>
            <w:pPr>
              <w:spacing w:after="0"/>
              <w:rPr>
                <w:sz w:val="1"/>
                <w:szCs w:val="1"/>
                <w:color w:val="auto"/>
              </w:rPr>
            </w:pPr>
          </w:p>
        </w:tc>
      </w:tr>
      <w:tr>
        <w:trPr>
          <w:trHeight w:val="143"/>
        </w:trPr>
        <w:tc>
          <w:tcPr>
            <w:tcW w:w="9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960" w:type="dxa"/>
            <w:vAlign w:val="bottom"/>
            <w:gridSpan w:val="2"/>
            <w:shd w:val="clear" w:color="auto" w:fill="CFF0FC"/>
          </w:tcPr>
          <w:p>
            <w:pPr>
              <w:ind w:left="120"/>
              <w:spacing w:after="0"/>
              <w:rPr>
                <w:sz w:val="20"/>
                <w:szCs w:val="20"/>
                <w:color w:val="auto"/>
              </w:rPr>
            </w:pPr>
            <w:r>
              <w:rPr>
                <w:rFonts w:ascii="Arial" w:cs="Arial" w:eastAsia="Arial" w:hAnsi="Arial"/>
                <w:sz w:val="12"/>
                <w:szCs w:val="12"/>
                <w:color w:val="auto"/>
              </w:rPr>
              <w:t>Performance-Based Awards- vests August 31, if achieved</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50%</w:t>
            </w:r>
          </w:p>
        </w:tc>
        <w:tc>
          <w:tcPr>
            <w:tcW w:w="86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100%</w:t>
            </w:r>
          </w:p>
        </w:tc>
        <w:tc>
          <w:tcPr>
            <w:tcW w:w="760" w:type="dxa"/>
            <w:vAlign w:val="bottom"/>
            <w:shd w:val="clear" w:color="auto" w:fill="CFF0FC"/>
          </w:tcPr>
          <w:p>
            <w:pPr>
              <w:ind w:left="3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020" w:hanging="365"/>
        <w:spacing w:after="0"/>
        <w:tabs>
          <w:tab w:leader="none" w:pos="1020" w:val="left"/>
        </w:tabs>
        <w:numPr>
          <w:ilvl w:val="1"/>
          <w:numId w:val="15"/>
        </w:numPr>
        <w:rPr>
          <w:rFonts w:ascii="Arial" w:cs="Arial" w:eastAsia="Arial" w:hAnsi="Arial"/>
          <w:sz w:val="13"/>
          <w:szCs w:val="13"/>
          <w:color w:val="auto"/>
        </w:rPr>
      </w:pPr>
      <w:r>
        <w:rPr>
          <w:rFonts w:ascii="Arial" w:cs="Arial" w:eastAsia="Arial" w:hAnsi="Arial"/>
          <w:sz w:val="13"/>
          <w:szCs w:val="13"/>
          <w:color w:val="auto"/>
        </w:rPr>
        <w:t>The first tranche of time-based awards vest on the later of April 1 following the end of the first year of the performance period or one year from the date of grant, whichever is later.</w:t>
      </w:r>
    </w:p>
    <w:p>
      <w:pPr>
        <w:spacing w:after="0" w:line="208" w:lineRule="exact"/>
        <w:rPr>
          <w:rFonts w:ascii="Arial" w:cs="Arial" w:eastAsia="Arial" w:hAnsi="Arial"/>
          <w:sz w:val="13"/>
          <w:szCs w:val="13"/>
          <w:color w:val="auto"/>
        </w:rPr>
      </w:pPr>
    </w:p>
    <w:p>
      <w:pPr>
        <w:ind w:left="760" w:hanging="24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Discretionary Cash and Equity Awards</w:t>
      </w:r>
    </w:p>
    <w:p>
      <w:pPr>
        <w:spacing w:after="0" w:line="117"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17" w:lineRule="exact"/>
        <w:rPr>
          <w:rFonts w:ascii="Arial" w:cs="Arial" w:eastAsia="Arial" w:hAnsi="Arial"/>
          <w:sz w:val="17"/>
          <w:szCs w:val="17"/>
          <w:color w:val="auto"/>
        </w:rPr>
      </w:pPr>
    </w:p>
    <w:p>
      <w:pPr>
        <w:ind w:left="780" w:right="240"/>
        <w:spacing w:after="0" w:line="286" w:lineRule="auto"/>
        <w:rPr>
          <w:rFonts w:ascii="Arial" w:cs="Arial" w:eastAsia="Arial" w:hAnsi="Arial"/>
          <w:sz w:val="17"/>
          <w:szCs w:val="17"/>
          <w:color w:val="auto"/>
        </w:rPr>
      </w:pPr>
      <w:r>
        <w:rPr>
          <w:rFonts w:ascii="Arial" w:cs="Arial" w:eastAsia="Arial" w:hAnsi="Arial"/>
          <w:sz w:val="17"/>
          <w:szCs w:val="17"/>
          <w:color w:val="auto"/>
        </w:rPr>
        <w:t>In connection with his hiring, Mr. Kanter was awarded two sign-on awards: (1) a grant of 720,000 PSUs, with a grant-date fair value of $1.0 million, and (2) a grant of 240,000 RSUs, with a grant-date fair value of $0.6 million. The PSUs vest in</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340"/>
          </w:cols>
          <w:pgMar w:left="320" w:top="338" w:right="239" w:bottom="1440" w:gutter="0" w:footer="0" w:header="0"/>
        </w:sectPr>
      </w:pPr>
    </w:p>
    <w:bookmarkStart w:id="14" w:name="page15"/>
    <w:bookmarkEnd w:id="14"/>
    <w:p>
      <w:pPr>
        <w:jc w:val="both"/>
        <w:ind w:left="268" w:right="160"/>
        <w:spacing w:after="0" w:line="271" w:lineRule="auto"/>
        <w:rPr>
          <w:sz w:val="20"/>
          <w:szCs w:val="20"/>
          <w:color w:val="auto"/>
        </w:rPr>
      </w:pPr>
      <w:r>
        <w:rPr>
          <w:rFonts w:ascii="Arial" w:cs="Arial" w:eastAsia="Arial" w:hAnsi="Arial"/>
          <w:sz w:val="17"/>
          <w:szCs w:val="17"/>
          <w:color w:val="auto"/>
        </w:rPr>
        <w:t>installments when the following milestones are met: one-third of the PSUs vest when the trailing 90-day VWAP is $4.00, one-third of the PSUs vest when the VWAP is $6.00 and one-third when the VWAP is $8.00. All PSUs will expire on April 1, 2023 if no performance metric is achieved. The RSUs are time-based awards that vest ratably over four years, with the first tranche vesting on April 1, 2020.</w:t>
      </w:r>
    </w:p>
    <w:p>
      <w:pPr>
        <w:spacing w:after="0" w:line="67" w:lineRule="exact"/>
        <w:rPr>
          <w:sz w:val="20"/>
          <w:szCs w:val="20"/>
          <w:color w:val="auto"/>
        </w:rPr>
      </w:pPr>
    </w:p>
    <w:p>
      <w:pPr>
        <w:ind w:left="268" w:right="300"/>
        <w:spacing w:after="0" w:line="271" w:lineRule="auto"/>
        <w:rPr>
          <w:sz w:val="20"/>
          <w:szCs w:val="20"/>
          <w:color w:val="auto"/>
        </w:rPr>
      </w:pPr>
      <w:r>
        <w:rPr>
          <w:rFonts w:ascii="Arial" w:cs="Arial" w:eastAsia="Arial" w:hAnsi="Arial"/>
          <w:sz w:val="17"/>
          <w:szCs w:val="17"/>
          <w:color w:val="auto"/>
        </w:rPr>
        <w:t>With the exception of the grant of equity awards to Mr. Kanter in connection with his hiring and a $10,000 bonus to Mr. Gaeta related to the successful roll-out of our “Save the Sale” initiative, there were no discretionary cash or equity awards granted to our Named Executive Officers in fiscal 2019.</w:t>
      </w:r>
    </w:p>
    <w:p>
      <w:pPr>
        <w:spacing w:after="0" w:line="67" w:lineRule="exact"/>
        <w:rPr>
          <w:sz w:val="20"/>
          <w:szCs w:val="20"/>
          <w:color w:val="auto"/>
        </w:rPr>
      </w:pPr>
    </w:p>
    <w:p>
      <w:pPr>
        <w:ind w:left="248" w:hanging="248"/>
        <w:spacing w:after="0"/>
        <w:tabs>
          <w:tab w:leader="none" w:pos="24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Other Compensation</w:t>
      </w:r>
    </w:p>
    <w:p>
      <w:pPr>
        <w:spacing w:after="0" w:line="117" w:lineRule="exact"/>
        <w:rPr>
          <w:rFonts w:ascii="Arial" w:cs="Arial" w:eastAsia="Arial" w:hAnsi="Arial"/>
          <w:sz w:val="17"/>
          <w:szCs w:val="17"/>
          <w:color w:val="auto"/>
        </w:rPr>
      </w:pPr>
    </w:p>
    <w:p>
      <w:pPr>
        <w:ind w:left="268" w:right="620"/>
        <w:spacing w:after="0" w:line="319" w:lineRule="auto"/>
        <w:rPr>
          <w:rFonts w:ascii="Arial" w:cs="Arial" w:eastAsia="Arial" w:hAnsi="Arial"/>
          <w:sz w:val="17"/>
          <w:szCs w:val="17"/>
          <w:color w:val="auto"/>
        </w:rPr>
      </w:pPr>
      <w:r>
        <w:rPr>
          <w:rFonts w:ascii="Arial" w:cs="Arial" w:eastAsia="Arial" w:hAnsi="Arial"/>
          <w:sz w:val="16"/>
          <w:szCs w:val="16"/>
          <w:color w:val="auto"/>
        </w:rPr>
        <w:t>In addition to our life insurance programs available to all of our employees, we paid the insurance premium for an additional $2.0 million life insurance policy for Mr. Levin to the benefit of his designated beneficiaries. That policy was surrendered on January 15, 2020.</w:t>
      </w:r>
    </w:p>
    <w:p>
      <w:pPr>
        <w:spacing w:after="0" w:line="31" w:lineRule="exact"/>
        <w:rPr>
          <w:rFonts w:ascii="Arial" w:cs="Arial" w:eastAsia="Arial" w:hAnsi="Arial"/>
          <w:sz w:val="17"/>
          <w:szCs w:val="17"/>
          <w:color w:val="auto"/>
        </w:rPr>
      </w:pPr>
    </w:p>
    <w:p>
      <w:pPr>
        <w:ind w:left="268" w:right="200"/>
        <w:spacing w:after="0" w:line="286" w:lineRule="auto"/>
        <w:rPr>
          <w:rFonts w:ascii="Arial" w:cs="Arial" w:eastAsia="Arial" w:hAnsi="Arial"/>
          <w:sz w:val="17"/>
          <w:szCs w:val="17"/>
          <w:color w:val="auto"/>
        </w:rPr>
      </w:pPr>
      <w:r>
        <w:rPr>
          <w:rFonts w:ascii="Arial" w:cs="Arial" w:eastAsia="Arial" w:hAnsi="Arial"/>
          <w:sz w:val="17"/>
          <w:szCs w:val="17"/>
          <w:color w:val="auto"/>
        </w:rPr>
        <w:t>We offer our senior executives, including our Named Executive Officers, supplemental disability insurance and long-term care and pay a portion of the premiums, which we do not do for our other employees.</w:t>
      </w:r>
    </w:p>
    <w:p>
      <w:pPr>
        <w:spacing w:after="0" w:line="55" w:lineRule="exact"/>
        <w:rPr>
          <w:rFonts w:ascii="Arial" w:cs="Arial" w:eastAsia="Arial" w:hAnsi="Arial"/>
          <w:sz w:val="17"/>
          <w:szCs w:val="17"/>
          <w:color w:val="auto"/>
        </w:rPr>
      </w:pPr>
    </w:p>
    <w:p>
      <w:pPr>
        <w:ind w:left="268" w:right="360"/>
        <w:spacing w:after="0" w:line="286" w:lineRule="auto"/>
        <w:rPr>
          <w:rFonts w:ascii="Arial" w:cs="Arial" w:eastAsia="Arial" w:hAnsi="Arial"/>
          <w:sz w:val="17"/>
          <w:szCs w:val="17"/>
          <w:color w:val="auto"/>
        </w:rPr>
      </w:pPr>
      <w:r>
        <w:rPr>
          <w:rFonts w:ascii="Arial" w:cs="Arial" w:eastAsia="Arial" w:hAnsi="Arial"/>
          <w:sz w:val="17"/>
          <w:szCs w:val="17"/>
          <w:color w:val="auto"/>
        </w:rPr>
        <w:t>Our Named Executive Officers also receive benefits under certain group health, long-term disability and life insurance plans, which are generally available to all of our eligible employees.</w:t>
      </w:r>
    </w:p>
    <w:p>
      <w:pPr>
        <w:spacing w:after="0" w:line="55" w:lineRule="exact"/>
        <w:rPr>
          <w:rFonts w:ascii="Arial" w:cs="Arial" w:eastAsia="Arial" w:hAnsi="Arial"/>
          <w:sz w:val="17"/>
          <w:szCs w:val="17"/>
          <w:color w:val="auto"/>
        </w:rPr>
      </w:pPr>
    </w:p>
    <w:p>
      <w:pPr>
        <w:ind w:left="268"/>
        <w:spacing w:after="0" w:line="266" w:lineRule="auto"/>
        <w:rPr>
          <w:rFonts w:ascii="Arial" w:cs="Arial" w:eastAsia="Arial" w:hAnsi="Arial"/>
          <w:sz w:val="17"/>
          <w:szCs w:val="17"/>
          <w:color w:val="auto"/>
        </w:rPr>
      </w:pPr>
      <w:r>
        <w:rPr>
          <w:rFonts w:ascii="Arial" w:cs="Arial" w:eastAsia="Arial" w:hAnsi="Arial"/>
          <w:sz w:val="17"/>
          <w:szCs w:val="17"/>
          <w:color w:val="auto"/>
        </w:rPr>
        <w:t>After six months of service with us, all of our employees, including our Named Executive Officers, are eligible to participate in our 401(k) Plan, and after one year of employment are eligible for a Company match. In May 2018, in connection with our cost reduction initiatives, employer contributions to the 401(k) Plan were suspended, effective July 1, 2018 until December 31, 2019. As a result, there were no employer contributions to the 401(k) in fiscal 2019.</w:t>
      </w:r>
    </w:p>
    <w:p>
      <w:pPr>
        <w:spacing w:after="0" w:line="71" w:lineRule="exact"/>
        <w:rPr>
          <w:rFonts w:ascii="Arial" w:cs="Arial" w:eastAsia="Arial" w:hAnsi="Arial"/>
          <w:sz w:val="17"/>
          <w:szCs w:val="17"/>
          <w:color w:val="auto"/>
        </w:rPr>
      </w:pPr>
    </w:p>
    <w:p>
      <w:pPr>
        <w:ind w:left="268" w:right="80"/>
        <w:spacing w:after="0" w:line="263" w:lineRule="auto"/>
        <w:rPr>
          <w:rFonts w:ascii="Arial" w:cs="Arial" w:eastAsia="Arial" w:hAnsi="Arial"/>
          <w:sz w:val="17"/>
          <w:szCs w:val="17"/>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Arial" w:cs="Arial" w:eastAsia="Arial" w:hAnsi="Arial"/>
          <w:sz w:val="17"/>
          <w:szCs w:val="17"/>
          <w:i w:val="1"/>
          <w:iCs w:val="1"/>
          <w:color w:val="auto"/>
        </w:rPr>
        <w:t>Employment Agreements</w:t>
      </w:r>
      <w:r>
        <w:rPr>
          <w:rFonts w:ascii="Arial" w:cs="Arial" w:eastAsia="Arial" w:hAnsi="Arial"/>
          <w:sz w:val="17"/>
          <w:szCs w:val="17"/>
          <w:color w:val="auto"/>
        </w:rPr>
        <w:t>” following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employment agreements do not contain any tax gross-ups pursuant to Section 280(g) of the Internal Revenue Code.</w:t>
      </w:r>
    </w:p>
    <w:p>
      <w:pPr>
        <w:spacing w:after="0" w:line="75" w:lineRule="exact"/>
        <w:rPr>
          <w:rFonts w:ascii="Arial" w:cs="Arial" w:eastAsia="Arial" w:hAnsi="Arial"/>
          <w:sz w:val="17"/>
          <w:szCs w:val="17"/>
          <w:color w:val="auto"/>
        </w:rPr>
      </w:pPr>
    </w:p>
    <w:p>
      <w:pPr>
        <w:ind w:left="248" w:hanging="248"/>
        <w:spacing w:after="0"/>
        <w:tabs>
          <w:tab w:leader="none" w:pos="248"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Tax Implications</w:t>
      </w:r>
    </w:p>
    <w:p>
      <w:pPr>
        <w:spacing w:after="0" w:line="117" w:lineRule="exact"/>
        <w:rPr>
          <w:rFonts w:ascii="Arial" w:cs="Arial" w:eastAsia="Arial" w:hAnsi="Arial"/>
          <w:sz w:val="17"/>
          <w:szCs w:val="17"/>
          <w:color w:val="auto"/>
        </w:rPr>
      </w:pPr>
    </w:p>
    <w:p>
      <w:pPr>
        <w:ind w:left="268" w:right="80"/>
        <w:spacing w:after="0" w:line="262" w:lineRule="auto"/>
        <w:rPr>
          <w:rFonts w:ascii="Arial" w:cs="Arial" w:eastAsia="Arial" w:hAnsi="Arial"/>
          <w:sz w:val="17"/>
          <w:szCs w:val="17"/>
          <w:color w:val="auto"/>
        </w:rPr>
      </w:pPr>
      <w:r>
        <w:rPr>
          <w:rFonts w:ascii="Arial" w:cs="Arial" w:eastAsia="Arial" w:hAnsi="Arial"/>
          <w:sz w:val="17"/>
          <w:szCs w:val="17"/>
          <w:color w:val="auto"/>
        </w:rPr>
        <w:t>The Tax Cut and Jobs Act of 2017 (“Tax Act”), among other things, repealed the performance-based compensation exemption under Section 162(m) of the Internal Revenue Code of 1986, as amended. In addition, the Tax Act expanded the group of officers whose compensation is subject to the Section 162(m) deduction limitations. Accordingly,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w:t>
      </w:r>
    </w:p>
    <w:p>
      <w:pPr>
        <w:spacing w:after="0" w:line="200" w:lineRule="exact"/>
        <w:rPr>
          <w:sz w:val="20"/>
          <w:szCs w:val="20"/>
          <w:color w:val="auto"/>
        </w:rPr>
      </w:pPr>
    </w:p>
    <w:p>
      <w:pPr>
        <w:spacing w:after="0" w:line="395" w:lineRule="exact"/>
        <w:rPr>
          <w:sz w:val="20"/>
          <w:szCs w:val="20"/>
          <w:color w:val="auto"/>
        </w:rPr>
      </w:pPr>
    </w:p>
    <w:p>
      <w:pPr>
        <w:jc w:val="center"/>
        <w:ind w:right="472"/>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214630</wp:posOffset>
            </wp:positionV>
            <wp:extent cx="715391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0708"/>
          </w:cols>
          <w:pgMar w:left="832" w:top="440"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Form 10-K/A.</w:t>
      </w:r>
    </w:p>
    <w:p>
      <w:pPr>
        <w:spacing w:after="0" w:line="276"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The Compensation Committee</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Willem Mesdag, Chairman</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Lionel F. Conacher</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Mitchell S. Presser</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Ward K. Mooney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0980"/>
          </w:cols>
          <w:pgMar w:left="320" w:top="746" w:right="599" w:bottom="1440" w:gutter="0" w:footer="0" w:header="0"/>
        </w:sectPr>
      </w:pPr>
    </w:p>
    <w:bookmarkStart w:id="16" w:name="page17"/>
    <w:bookmarkEnd w:id="16"/>
    <w:p>
      <w:pPr>
        <w:ind w:right="60"/>
        <w:spacing w:after="0" w:line="286" w:lineRule="auto"/>
        <w:rPr>
          <w:sz w:val="20"/>
          <w:szCs w:val="20"/>
          <w:color w:val="auto"/>
        </w:rPr>
      </w:pPr>
      <w:r>
        <w:rPr>
          <w:rFonts w:ascii="Arial" w:cs="Arial" w:eastAsia="Arial" w:hAnsi="Arial"/>
          <w:sz w:val="17"/>
          <w:szCs w:val="17"/>
          <w:b w:val="1"/>
          <w:bCs w:val="1"/>
          <w:i w:val="1"/>
          <w:iCs w:val="1"/>
          <w:color w:val="auto"/>
        </w:rPr>
        <w:t>Summary Compensation Table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Summary Compensation Table sets forth certain information regarding compensation paid or accrued by us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 to our Named Executive Officers for fiscal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Non-Equity</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10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Incentive</w:t>
            </w:r>
          </w:p>
        </w:tc>
        <w:tc>
          <w:tcPr>
            <w:tcW w:w="10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Salary ($)</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 xml:space="preserve">Bonus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31"/>
              <w:spacing w:after="0" w:line="143"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Compensation</w:t>
            </w:r>
          </w:p>
        </w:tc>
        <w:tc>
          <w:tcPr>
            <w:tcW w:w="10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6"/>
        </w:trPr>
        <w:tc>
          <w:tcPr>
            <w:tcW w:w="3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1"/>
              <w:spacing w:after="0"/>
              <w:rPr>
                <w:sz w:val="20"/>
                <w:szCs w:val="20"/>
                <w:color w:val="auto"/>
              </w:rPr>
            </w:pPr>
            <w:r>
              <w:rPr>
                <w:rFonts w:ascii="Arial" w:cs="Arial" w:eastAsia="Arial" w:hAnsi="Arial"/>
                <w:sz w:val="14"/>
                <w:szCs w:val="14"/>
                <w:b w:val="1"/>
                <w:bCs w:val="1"/>
                <w:color w:val="auto"/>
                <w:w w:val="94"/>
              </w:rPr>
              <w:t>($) (1)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31"/>
              <w:spacing w:after="0"/>
              <w:rPr>
                <w:sz w:val="20"/>
                <w:szCs w:val="20"/>
                <w:color w:val="auto"/>
              </w:rPr>
            </w:pPr>
            <w:r>
              <w:rPr>
                <w:rFonts w:ascii="Arial" w:cs="Arial" w:eastAsia="Arial" w:hAnsi="Arial"/>
                <w:sz w:val="14"/>
                <w:szCs w:val="14"/>
                <w:b w:val="1"/>
                <w:bCs w:val="1"/>
                <w:color w:val="auto"/>
                <w:w w:val="94"/>
              </w:rPr>
              <w:t>($) (1) (2)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31"/>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Harvey S. Kanter</w:t>
            </w:r>
          </w:p>
        </w:tc>
        <w:tc>
          <w:tcPr>
            <w:tcW w:w="12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ind w:left="40"/>
              <w:spacing w:after="0" w:line="149" w:lineRule="exact"/>
              <w:rPr>
                <w:sz w:val="20"/>
                <w:szCs w:val="20"/>
                <w:color w:val="auto"/>
              </w:rPr>
            </w:pPr>
            <w:r>
              <w:rPr>
                <w:rFonts w:ascii="Arial" w:cs="Arial" w:eastAsia="Arial" w:hAnsi="Arial"/>
                <w:sz w:val="14"/>
                <w:szCs w:val="14"/>
                <w:color w:val="auto"/>
              </w:rPr>
              <w:t>2019</w:t>
            </w: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671,923</w:t>
            </w:r>
          </w:p>
        </w:tc>
        <w:tc>
          <w:tcPr>
            <w:tcW w:w="240" w:type="dxa"/>
            <w:vAlign w:val="bottom"/>
            <w:tcBorders>
              <w:top w:val="single" w:sz="8" w:color="CFF0FC"/>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1,941,974</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435,346</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114,824</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right w:val="single" w:sz="8" w:color="CFF0FC"/>
            </w:tcBorders>
            <w:shd w:val="clear" w:color="auto" w:fill="CFF0FC"/>
          </w:tcPr>
          <w:p>
            <w:pPr>
              <w:jc w:val="right"/>
              <w:ind w:right="11"/>
              <w:spacing w:after="0" w:line="149" w:lineRule="exact"/>
              <w:rPr>
                <w:sz w:val="20"/>
                <w:szCs w:val="20"/>
                <w:color w:val="auto"/>
              </w:rPr>
            </w:pPr>
            <w:r>
              <w:rPr>
                <w:rFonts w:ascii="Arial" w:cs="Arial" w:eastAsia="Arial" w:hAnsi="Arial"/>
                <w:sz w:val="14"/>
                <w:szCs w:val="14"/>
                <w:color w:val="auto"/>
              </w:rPr>
              <w:t>3,164,067</w:t>
            </w:r>
          </w:p>
        </w:tc>
        <w:tc>
          <w:tcPr>
            <w:tcW w:w="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President and Chief Executive Officer</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line="151" w:lineRule="exact"/>
              <w:rPr>
                <w:sz w:val="20"/>
                <w:szCs w:val="20"/>
                <w:color w:val="auto"/>
              </w:rPr>
            </w:pPr>
            <w:r>
              <w:rPr>
                <w:rFonts w:ascii="Arial" w:cs="Arial" w:eastAsia="Arial" w:hAnsi="Arial"/>
                <w:sz w:val="14"/>
                <w:szCs w:val="14"/>
                <w:color w:val="auto"/>
              </w:rPr>
              <w:t>David A. Levin</w:t>
            </w:r>
          </w:p>
        </w:tc>
        <w:tc>
          <w:tcPr>
            <w:tcW w:w="120" w:type="dxa"/>
            <w:vAlign w:val="bottom"/>
          </w:tcPr>
          <w:p>
            <w:pPr>
              <w:spacing w:after="0"/>
              <w:rPr>
                <w:sz w:val="13"/>
                <w:szCs w:val="13"/>
                <w:color w:val="auto"/>
              </w:rPr>
            </w:pPr>
          </w:p>
        </w:tc>
        <w:tc>
          <w:tcPr>
            <w:tcW w:w="380" w:type="dxa"/>
            <w:vAlign w:val="bottom"/>
          </w:tcPr>
          <w:p>
            <w:pPr>
              <w:ind w:left="40"/>
              <w:spacing w:after="0" w:line="151" w:lineRule="exact"/>
              <w:rPr>
                <w:sz w:val="20"/>
                <w:szCs w:val="20"/>
                <w:color w:val="auto"/>
              </w:rPr>
            </w:pPr>
            <w:r>
              <w:rPr>
                <w:rFonts w:ascii="Arial" w:cs="Arial" w:eastAsia="Arial" w:hAnsi="Arial"/>
                <w:sz w:val="14"/>
                <w:szCs w:val="14"/>
                <w:color w:val="auto"/>
              </w:rPr>
              <w:t>2019</w:t>
            </w:r>
          </w:p>
        </w:tc>
        <w:tc>
          <w:tcPr>
            <w:tcW w:w="3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739,440</w:t>
            </w:r>
          </w:p>
        </w:tc>
        <w:tc>
          <w:tcPr>
            <w:tcW w:w="24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1"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243,360</w:t>
            </w:r>
          </w:p>
        </w:tc>
        <w:tc>
          <w:tcPr>
            <w:tcW w:w="220" w:type="dxa"/>
            <w:vAlign w:val="bottom"/>
          </w:tcPr>
          <w:p>
            <w:pPr>
              <w:spacing w:after="0"/>
              <w:rPr>
                <w:sz w:val="13"/>
                <w:szCs w:val="13"/>
                <w:color w:val="auto"/>
              </w:rPr>
            </w:pPr>
          </w:p>
        </w:tc>
        <w:tc>
          <w:tcPr>
            <w:tcW w:w="10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594,043</w:t>
            </w:r>
          </w:p>
        </w:tc>
        <w:tc>
          <w:tcPr>
            <w:tcW w:w="2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line="151" w:lineRule="exact"/>
              <w:rPr>
                <w:sz w:val="20"/>
                <w:szCs w:val="20"/>
                <w:color w:val="auto"/>
              </w:rPr>
            </w:pPr>
            <w:r>
              <w:rPr>
                <w:rFonts w:ascii="Arial" w:cs="Arial" w:eastAsia="Arial" w:hAnsi="Arial"/>
                <w:sz w:val="14"/>
                <w:szCs w:val="14"/>
                <w:color w:val="auto"/>
              </w:rPr>
              <w:t>1,576,843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ind w:left="240"/>
              <w:spacing w:after="0" w:line="156" w:lineRule="exact"/>
              <w:rPr>
                <w:sz w:val="20"/>
                <w:szCs w:val="20"/>
                <w:color w:val="auto"/>
              </w:rPr>
            </w:pPr>
            <w:r>
              <w:rPr>
                <w:rFonts w:ascii="Arial" w:cs="Arial" w:eastAsia="Arial" w:hAnsi="Arial"/>
                <w:sz w:val="14"/>
                <w:szCs w:val="14"/>
                <w:color w:val="auto"/>
              </w:rPr>
              <w:t>Former President and Chief Executive</w:t>
            </w:r>
          </w:p>
        </w:tc>
        <w:tc>
          <w:tcPr>
            <w:tcW w:w="500" w:type="dxa"/>
            <w:vAlign w:val="bottom"/>
            <w:gridSpan w:val="2"/>
          </w:tcPr>
          <w:p>
            <w:pPr>
              <w:ind w:left="160"/>
              <w:spacing w:after="0" w:line="156" w:lineRule="exact"/>
              <w:rPr>
                <w:sz w:val="20"/>
                <w:szCs w:val="20"/>
                <w:color w:val="auto"/>
              </w:rPr>
            </w:pPr>
            <w:r>
              <w:rPr>
                <w:rFonts w:ascii="Arial" w:cs="Arial" w:eastAsia="Arial" w:hAnsi="Arial"/>
                <w:sz w:val="14"/>
                <w:szCs w:val="14"/>
                <w:color w:val="auto"/>
              </w:rPr>
              <w:t>2018</w:t>
            </w:r>
          </w:p>
        </w:tc>
        <w:tc>
          <w:tcPr>
            <w:tcW w:w="3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811,200</w:t>
            </w:r>
          </w:p>
        </w:tc>
        <w:tc>
          <w:tcPr>
            <w:tcW w:w="2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6" w:lineRule="exact"/>
              <w:rPr>
                <w:sz w:val="20"/>
                <w:szCs w:val="20"/>
                <w:color w:val="auto"/>
              </w:rPr>
            </w:pPr>
            <w:r>
              <w:rPr>
                <w:rFonts w:ascii="Arial" w:cs="Arial" w:eastAsia="Arial" w:hAnsi="Arial"/>
                <w:sz w:val="14"/>
                <w:szCs w:val="14"/>
                <w:color w:val="auto"/>
              </w:rPr>
              <w:t>506,998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867,173</w:t>
            </w:r>
          </w:p>
        </w:tc>
        <w:tc>
          <w:tcPr>
            <w:tcW w:w="22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258,418</w:t>
            </w:r>
          </w:p>
        </w:tc>
        <w:tc>
          <w:tcPr>
            <w:tcW w:w="2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2,443,789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40"/>
              <w:spacing w:after="0"/>
              <w:rPr>
                <w:sz w:val="20"/>
                <w:szCs w:val="20"/>
                <w:color w:val="auto"/>
              </w:rPr>
            </w:pPr>
            <w:r>
              <w:rPr>
                <w:rFonts w:ascii="Arial" w:cs="Arial" w:eastAsia="Arial" w:hAnsi="Arial"/>
                <w:sz w:val="14"/>
                <w:szCs w:val="14"/>
                <w:color w:val="auto"/>
              </w:rPr>
              <w:t>Officer and former Acting CEO</w:t>
            </w: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2017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826,800</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515,923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285,246</w:t>
            </w:r>
          </w:p>
        </w:tc>
        <w:tc>
          <w:tcPr>
            <w:tcW w:w="2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37,351</w:t>
            </w:r>
          </w:p>
        </w:tc>
        <w:tc>
          <w:tcPr>
            <w:tcW w:w="20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1,665,320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Peter H. Stratton, Jr.</w:t>
            </w:r>
          </w:p>
        </w:tc>
        <w:tc>
          <w:tcPr>
            <w:tcW w:w="500" w:type="dxa"/>
            <w:vAlign w:val="bottom"/>
            <w:gridSpan w:val="2"/>
            <w:shd w:val="clear" w:color="auto" w:fill="CFF0FC"/>
          </w:tcPr>
          <w:p>
            <w:pPr>
              <w:ind w:left="160"/>
              <w:spacing w:after="0" w:line="156" w:lineRule="exact"/>
              <w:rPr>
                <w:sz w:val="20"/>
                <w:szCs w:val="20"/>
                <w:color w:val="auto"/>
              </w:rPr>
            </w:pPr>
            <w:r>
              <w:rPr>
                <w:rFonts w:ascii="Arial" w:cs="Arial" w:eastAsia="Arial" w:hAnsi="Arial"/>
                <w:sz w:val="14"/>
                <w:szCs w:val="14"/>
                <w:color w:val="auto"/>
              </w:rPr>
              <w:t>2019</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395,000</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69,123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108,625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15,497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FF0FC"/>
            </w:tcBorders>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588,245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Executive Vice President, Chief</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ind w:left="40"/>
              <w:spacing w:after="0" w:line="156" w:lineRule="exact"/>
              <w:rPr>
                <w:sz w:val="20"/>
                <w:szCs w:val="20"/>
                <w:color w:val="auto"/>
              </w:rPr>
            </w:pPr>
            <w:r>
              <w:rPr>
                <w:rFonts w:ascii="Arial" w:cs="Arial" w:eastAsia="Arial" w:hAnsi="Arial"/>
                <w:sz w:val="14"/>
                <w:szCs w:val="14"/>
                <w:color w:val="auto"/>
              </w:rPr>
              <w:t>2018</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395,000</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169,307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232,240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25,122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FF0FC"/>
            </w:tcBorders>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821,669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Financial Officer and Treasurer</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ind w:left="40"/>
              <w:spacing w:after="0" w:line="156" w:lineRule="exact"/>
              <w:rPr>
                <w:sz w:val="20"/>
                <w:szCs w:val="20"/>
                <w:color w:val="auto"/>
              </w:rPr>
            </w:pPr>
            <w:r>
              <w:rPr>
                <w:rFonts w:ascii="Arial" w:cs="Arial" w:eastAsia="Arial" w:hAnsi="Arial"/>
                <w:sz w:val="14"/>
                <w:szCs w:val="14"/>
                <w:color w:val="auto"/>
              </w:rPr>
              <w:t>2017</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384,038</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158,496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52,997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24,722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FF0FC"/>
            </w:tcBorders>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620,253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line="151" w:lineRule="exact"/>
              <w:rPr>
                <w:sz w:val="20"/>
                <w:szCs w:val="20"/>
                <w:color w:val="auto"/>
              </w:rPr>
            </w:pPr>
            <w:r>
              <w:rPr>
                <w:rFonts w:ascii="Arial" w:cs="Arial" w:eastAsia="Arial" w:hAnsi="Arial"/>
                <w:sz w:val="14"/>
                <w:szCs w:val="14"/>
                <w:color w:val="auto"/>
              </w:rPr>
              <w:t>Robert S. Molloy</w:t>
            </w:r>
          </w:p>
        </w:tc>
        <w:tc>
          <w:tcPr>
            <w:tcW w:w="120" w:type="dxa"/>
            <w:vAlign w:val="bottom"/>
          </w:tcPr>
          <w:p>
            <w:pPr>
              <w:spacing w:after="0"/>
              <w:rPr>
                <w:sz w:val="13"/>
                <w:szCs w:val="13"/>
                <w:color w:val="auto"/>
              </w:rPr>
            </w:pPr>
          </w:p>
        </w:tc>
        <w:tc>
          <w:tcPr>
            <w:tcW w:w="380" w:type="dxa"/>
            <w:vAlign w:val="bottom"/>
          </w:tcPr>
          <w:p>
            <w:pPr>
              <w:ind w:left="40"/>
              <w:spacing w:after="0" w:line="151" w:lineRule="exact"/>
              <w:rPr>
                <w:sz w:val="20"/>
                <w:szCs w:val="20"/>
                <w:color w:val="auto"/>
              </w:rPr>
            </w:pPr>
            <w:r>
              <w:rPr>
                <w:rFonts w:ascii="Arial" w:cs="Arial" w:eastAsia="Arial" w:hAnsi="Arial"/>
                <w:sz w:val="14"/>
                <w:szCs w:val="14"/>
                <w:color w:val="auto"/>
              </w:rPr>
              <w:t>2019</w:t>
            </w:r>
          </w:p>
        </w:tc>
        <w:tc>
          <w:tcPr>
            <w:tcW w:w="3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375,000</w:t>
            </w:r>
          </w:p>
        </w:tc>
        <w:tc>
          <w:tcPr>
            <w:tcW w:w="24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65,625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1"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75,000</w:t>
            </w:r>
          </w:p>
        </w:tc>
        <w:tc>
          <w:tcPr>
            <w:tcW w:w="220" w:type="dxa"/>
            <w:vAlign w:val="bottom"/>
          </w:tcPr>
          <w:p>
            <w:pPr>
              <w:spacing w:after="0"/>
              <w:rPr>
                <w:sz w:val="13"/>
                <w:szCs w:val="13"/>
                <w:color w:val="auto"/>
              </w:rPr>
            </w:pPr>
          </w:p>
        </w:tc>
        <w:tc>
          <w:tcPr>
            <w:tcW w:w="10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17,620</w:t>
            </w:r>
          </w:p>
        </w:tc>
        <w:tc>
          <w:tcPr>
            <w:tcW w:w="2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line="151" w:lineRule="exact"/>
              <w:rPr>
                <w:sz w:val="20"/>
                <w:szCs w:val="20"/>
                <w:color w:val="auto"/>
              </w:rPr>
            </w:pPr>
            <w:r>
              <w:rPr>
                <w:rFonts w:ascii="Arial" w:cs="Arial" w:eastAsia="Arial" w:hAnsi="Arial"/>
                <w:sz w:val="14"/>
                <w:szCs w:val="14"/>
                <w:color w:val="auto"/>
              </w:rPr>
              <w:t>533,245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ind w:left="240"/>
              <w:spacing w:after="0" w:line="156" w:lineRule="exact"/>
              <w:rPr>
                <w:sz w:val="20"/>
                <w:szCs w:val="20"/>
                <w:color w:val="auto"/>
              </w:rPr>
            </w:pPr>
            <w:r>
              <w:rPr>
                <w:rFonts w:ascii="Arial" w:cs="Arial" w:eastAsia="Arial" w:hAnsi="Arial"/>
                <w:sz w:val="14"/>
                <w:szCs w:val="14"/>
                <w:color w:val="auto"/>
              </w:rPr>
              <w:t>Chief Administrative Officer,</w:t>
            </w:r>
          </w:p>
        </w:tc>
        <w:tc>
          <w:tcPr>
            <w:tcW w:w="500" w:type="dxa"/>
            <w:vAlign w:val="bottom"/>
            <w:gridSpan w:val="2"/>
          </w:tcPr>
          <w:p>
            <w:pPr>
              <w:ind w:left="160"/>
              <w:spacing w:after="0" w:line="156" w:lineRule="exact"/>
              <w:rPr>
                <w:sz w:val="20"/>
                <w:szCs w:val="20"/>
                <w:color w:val="auto"/>
              </w:rPr>
            </w:pPr>
            <w:r>
              <w:rPr>
                <w:rFonts w:ascii="Arial" w:cs="Arial" w:eastAsia="Arial" w:hAnsi="Arial"/>
                <w:sz w:val="14"/>
                <w:szCs w:val="14"/>
                <w:color w:val="auto"/>
              </w:rPr>
              <w:t>2018</w:t>
            </w:r>
          </w:p>
        </w:tc>
        <w:tc>
          <w:tcPr>
            <w:tcW w:w="3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366,346</w:t>
            </w:r>
          </w:p>
        </w:tc>
        <w:tc>
          <w:tcPr>
            <w:tcW w:w="2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6" w:lineRule="exact"/>
              <w:rPr>
                <w:sz w:val="20"/>
                <w:szCs w:val="20"/>
                <w:color w:val="auto"/>
              </w:rPr>
            </w:pPr>
            <w:r>
              <w:rPr>
                <w:rFonts w:ascii="Arial" w:cs="Arial" w:eastAsia="Arial" w:hAnsi="Arial"/>
                <w:sz w:val="14"/>
                <w:szCs w:val="14"/>
                <w:color w:val="auto"/>
              </w:rPr>
              <w:t>161,434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156,650</w:t>
            </w:r>
          </w:p>
        </w:tc>
        <w:tc>
          <w:tcPr>
            <w:tcW w:w="22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26,639</w:t>
            </w:r>
          </w:p>
        </w:tc>
        <w:tc>
          <w:tcPr>
            <w:tcW w:w="2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711,069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40"/>
              <w:spacing w:after="0"/>
              <w:rPr>
                <w:sz w:val="20"/>
                <w:szCs w:val="20"/>
                <w:color w:val="auto"/>
              </w:rPr>
            </w:pPr>
            <w:r>
              <w:rPr>
                <w:rFonts w:ascii="Arial" w:cs="Arial" w:eastAsia="Arial" w:hAnsi="Arial"/>
                <w:sz w:val="14"/>
                <w:szCs w:val="14"/>
                <w:color w:val="auto"/>
              </w:rPr>
              <w:t>General Counsel and Secretary</w:t>
            </w: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2017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351,635</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152,642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48,526</w:t>
            </w:r>
          </w:p>
        </w:tc>
        <w:tc>
          <w:tcPr>
            <w:tcW w:w="2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26,893</w:t>
            </w:r>
          </w:p>
        </w:tc>
        <w:tc>
          <w:tcPr>
            <w:tcW w:w="20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579,696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Francis C. Chane</w:t>
            </w:r>
          </w:p>
        </w:tc>
        <w:tc>
          <w:tcPr>
            <w:tcW w:w="500" w:type="dxa"/>
            <w:vAlign w:val="bottom"/>
            <w:gridSpan w:val="2"/>
            <w:shd w:val="clear" w:color="auto" w:fill="CFF0FC"/>
          </w:tcPr>
          <w:p>
            <w:pPr>
              <w:ind w:left="160"/>
              <w:spacing w:after="0" w:line="156" w:lineRule="exact"/>
              <w:rPr>
                <w:sz w:val="20"/>
                <w:szCs w:val="20"/>
                <w:color w:val="auto"/>
              </w:rPr>
            </w:pPr>
            <w:r>
              <w:rPr>
                <w:rFonts w:ascii="Arial" w:cs="Arial" w:eastAsia="Arial" w:hAnsi="Arial"/>
                <w:sz w:val="14"/>
                <w:szCs w:val="14"/>
                <w:color w:val="auto"/>
              </w:rPr>
              <w:t>2019</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288,365</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50,749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63,440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16,869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FF0FC"/>
            </w:tcBorders>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419,423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Senior Vice President, Supply Chain</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and Customer Fulfillment</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line="151" w:lineRule="exact"/>
              <w:rPr>
                <w:sz w:val="20"/>
                <w:szCs w:val="20"/>
                <w:color w:val="auto"/>
              </w:rPr>
            </w:pPr>
            <w:r>
              <w:rPr>
                <w:rFonts w:ascii="Arial" w:cs="Arial" w:eastAsia="Arial" w:hAnsi="Arial"/>
                <w:sz w:val="14"/>
                <w:szCs w:val="14"/>
                <w:color w:val="auto"/>
              </w:rPr>
              <w:t>Anthony J. Gaeta</w:t>
            </w:r>
          </w:p>
        </w:tc>
        <w:tc>
          <w:tcPr>
            <w:tcW w:w="120" w:type="dxa"/>
            <w:vAlign w:val="bottom"/>
          </w:tcPr>
          <w:p>
            <w:pPr>
              <w:spacing w:after="0"/>
              <w:rPr>
                <w:sz w:val="13"/>
                <w:szCs w:val="13"/>
                <w:color w:val="auto"/>
              </w:rPr>
            </w:pPr>
          </w:p>
        </w:tc>
        <w:tc>
          <w:tcPr>
            <w:tcW w:w="380" w:type="dxa"/>
            <w:vAlign w:val="bottom"/>
          </w:tcPr>
          <w:p>
            <w:pPr>
              <w:ind w:left="40"/>
              <w:spacing w:after="0" w:line="151" w:lineRule="exact"/>
              <w:rPr>
                <w:sz w:val="20"/>
                <w:szCs w:val="20"/>
                <w:color w:val="auto"/>
              </w:rPr>
            </w:pPr>
            <w:r>
              <w:rPr>
                <w:rFonts w:ascii="Arial" w:cs="Arial" w:eastAsia="Arial" w:hAnsi="Arial"/>
                <w:sz w:val="14"/>
                <w:szCs w:val="14"/>
                <w:color w:val="auto"/>
              </w:rPr>
              <w:t>2019</w:t>
            </w:r>
          </w:p>
        </w:tc>
        <w:tc>
          <w:tcPr>
            <w:tcW w:w="3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291,730</w:t>
            </w:r>
          </w:p>
        </w:tc>
        <w:tc>
          <w:tcPr>
            <w:tcW w:w="24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w w:val="99"/>
              </w:rPr>
              <w:t>$  10,000</w:t>
            </w:r>
          </w:p>
        </w:tc>
        <w:tc>
          <w:tcPr>
            <w:tcW w:w="3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51,625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line="151"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43,176</w:t>
            </w:r>
          </w:p>
        </w:tc>
        <w:tc>
          <w:tcPr>
            <w:tcW w:w="220" w:type="dxa"/>
            <w:vAlign w:val="bottom"/>
          </w:tcPr>
          <w:p>
            <w:pPr>
              <w:spacing w:after="0"/>
              <w:rPr>
                <w:sz w:val="13"/>
                <w:szCs w:val="13"/>
                <w:color w:val="auto"/>
              </w:rPr>
            </w:pPr>
          </w:p>
        </w:tc>
        <w:tc>
          <w:tcPr>
            <w:tcW w:w="10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11,874</w:t>
            </w:r>
          </w:p>
        </w:tc>
        <w:tc>
          <w:tcPr>
            <w:tcW w:w="2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line="151" w:lineRule="exact"/>
              <w:rPr>
                <w:sz w:val="20"/>
                <w:szCs w:val="20"/>
                <w:color w:val="auto"/>
              </w:rPr>
            </w:pPr>
            <w:r>
              <w:rPr>
                <w:rFonts w:ascii="Arial" w:cs="Arial" w:eastAsia="Arial" w:hAnsi="Arial"/>
                <w:sz w:val="14"/>
                <w:szCs w:val="14"/>
                <w:color w:val="auto"/>
              </w:rPr>
              <w:t>408,405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ind w:left="240"/>
              <w:spacing w:after="0" w:line="156" w:lineRule="exact"/>
              <w:rPr>
                <w:sz w:val="20"/>
                <w:szCs w:val="20"/>
                <w:color w:val="auto"/>
              </w:rPr>
            </w:pPr>
            <w:r>
              <w:rPr>
                <w:rFonts w:ascii="Arial" w:cs="Arial" w:eastAsia="Arial" w:hAnsi="Arial"/>
                <w:sz w:val="14"/>
                <w:szCs w:val="14"/>
                <w:color w:val="auto"/>
              </w:rPr>
              <w:t>Senior Vice President,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40"/>
              <w:spacing w:after="0"/>
              <w:rPr>
                <w:sz w:val="20"/>
                <w:szCs w:val="20"/>
                <w:color w:val="auto"/>
              </w:rPr>
            </w:pPr>
            <w:r>
              <w:rPr>
                <w:rFonts w:ascii="Arial" w:cs="Arial" w:eastAsia="Arial" w:hAnsi="Arial"/>
                <w:sz w:val="14"/>
                <w:szCs w:val="14"/>
                <w:color w:val="auto"/>
              </w:rPr>
              <w:t>Store Sales and Operations</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Brian S. Reaves</w:t>
            </w:r>
          </w:p>
        </w:tc>
        <w:tc>
          <w:tcPr>
            <w:tcW w:w="500" w:type="dxa"/>
            <w:vAlign w:val="bottom"/>
            <w:gridSpan w:val="2"/>
            <w:shd w:val="clear" w:color="auto" w:fill="CFF0FC"/>
          </w:tcPr>
          <w:p>
            <w:pPr>
              <w:ind w:left="160"/>
              <w:spacing w:after="0" w:line="156" w:lineRule="exact"/>
              <w:rPr>
                <w:sz w:val="20"/>
                <w:szCs w:val="20"/>
                <w:color w:val="auto"/>
              </w:rPr>
            </w:pPr>
            <w:r>
              <w:rPr>
                <w:rFonts w:ascii="Arial" w:cs="Arial" w:eastAsia="Arial" w:hAnsi="Arial"/>
                <w:sz w:val="14"/>
                <w:szCs w:val="14"/>
                <w:color w:val="auto"/>
              </w:rPr>
              <w:t>2019</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375,000</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87,499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301,605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FF0FC"/>
            </w:tcBorders>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764,104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Former Executive Vice President and</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ind w:left="40"/>
              <w:spacing w:after="0" w:line="156" w:lineRule="exact"/>
              <w:rPr>
                <w:sz w:val="20"/>
                <w:szCs w:val="20"/>
                <w:color w:val="auto"/>
              </w:rPr>
            </w:pPr>
            <w:r>
              <w:rPr>
                <w:rFonts w:ascii="Arial" w:cs="Arial" w:eastAsia="Arial" w:hAnsi="Arial"/>
                <w:sz w:val="14"/>
                <w:szCs w:val="14"/>
                <w:color w:val="auto"/>
              </w:rPr>
              <w:t>2018</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432,692</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201,248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254,401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100,648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FF0FC"/>
            </w:tcBorders>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988,989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ind w:left="240"/>
              <w:spacing w:after="0" w:line="156" w:lineRule="exact"/>
              <w:rPr>
                <w:sz w:val="20"/>
                <w:szCs w:val="20"/>
                <w:color w:val="auto"/>
              </w:rPr>
            </w:pPr>
            <w:r>
              <w:rPr>
                <w:rFonts w:ascii="Arial" w:cs="Arial" w:eastAsia="Arial" w:hAnsi="Arial"/>
                <w:sz w:val="14"/>
                <w:szCs w:val="14"/>
                <w:color w:val="auto"/>
              </w:rPr>
              <w:t>Chief Operating Officer</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ind w:left="40"/>
              <w:spacing w:after="0" w:line="156" w:lineRule="exact"/>
              <w:rPr>
                <w:sz w:val="20"/>
                <w:szCs w:val="20"/>
                <w:color w:val="auto"/>
              </w:rPr>
            </w:pPr>
            <w:r>
              <w:rPr>
                <w:rFonts w:ascii="Arial" w:cs="Arial" w:eastAsia="Arial" w:hAnsi="Arial"/>
                <w:sz w:val="14"/>
                <w:szCs w:val="14"/>
                <w:color w:val="auto"/>
              </w:rPr>
              <w:t>2017</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325,000</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133,560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44,850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26,702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FF0FC"/>
            </w:tcBorders>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530,112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line="151" w:lineRule="exact"/>
              <w:rPr>
                <w:sz w:val="20"/>
                <w:szCs w:val="20"/>
                <w:color w:val="auto"/>
              </w:rPr>
            </w:pPr>
            <w:r>
              <w:rPr>
                <w:rFonts w:ascii="Arial" w:cs="Arial" w:eastAsia="Arial" w:hAnsi="Arial"/>
                <w:sz w:val="14"/>
                <w:szCs w:val="14"/>
                <w:color w:val="auto"/>
              </w:rPr>
              <w:t>James S. Davey</w:t>
            </w:r>
          </w:p>
        </w:tc>
        <w:tc>
          <w:tcPr>
            <w:tcW w:w="120" w:type="dxa"/>
            <w:vAlign w:val="bottom"/>
          </w:tcPr>
          <w:p>
            <w:pPr>
              <w:spacing w:after="0"/>
              <w:rPr>
                <w:sz w:val="13"/>
                <w:szCs w:val="13"/>
                <w:color w:val="auto"/>
              </w:rPr>
            </w:pPr>
          </w:p>
        </w:tc>
        <w:tc>
          <w:tcPr>
            <w:tcW w:w="380" w:type="dxa"/>
            <w:vAlign w:val="bottom"/>
          </w:tcPr>
          <w:p>
            <w:pPr>
              <w:ind w:left="40"/>
              <w:spacing w:after="0" w:line="151" w:lineRule="exact"/>
              <w:rPr>
                <w:sz w:val="20"/>
                <w:szCs w:val="20"/>
                <w:color w:val="auto"/>
              </w:rPr>
            </w:pPr>
            <w:r>
              <w:rPr>
                <w:rFonts w:ascii="Arial" w:cs="Arial" w:eastAsia="Arial" w:hAnsi="Arial"/>
                <w:sz w:val="14"/>
                <w:szCs w:val="14"/>
                <w:color w:val="auto"/>
              </w:rPr>
              <w:t>2019</w:t>
            </w:r>
          </w:p>
        </w:tc>
        <w:tc>
          <w:tcPr>
            <w:tcW w:w="3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1" w:lineRule="exact"/>
              <w:rPr>
                <w:sz w:val="20"/>
                <w:szCs w:val="20"/>
                <w:color w:val="auto"/>
              </w:rPr>
            </w:pPr>
            <w:r>
              <w:rPr>
                <w:rFonts w:ascii="Arial" w:cs="Arial" w:eastAsia="Arial" w:hAnsi="Arial"/>
                <w:sz w:val="14"/>
                <w:szCs w:val="14"/>
                <w:color w:val="auto"/>
              </w:rPr>
              <w:t>233,654</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line="151"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1" w:lineRule="exact"/>
              <w:rPr>
                <w:sz w:val="20"/>
                <w:szCs w:val="20"/>
                <w:color w:val="auto"/>
              </w:rPr>
            </w:pPr>
            <w:r>
              <w:rPr>
                <w:rFonts w:ascii="Arial" w:cs="Arial" w:eastAsia="Arial" w:hAnsi="Arial"/>
                <w:sz w:val="14"/>
                <w:szCs w:val="14"/>
                <w:color w:val="auto"/>
              </w:rPr>
              <w:t>282,029</w:t>
            </w:r>
          </w:p>
        </w:tc>
        <w:tc>
          <w:tcPr>
            <w:tcW w:w="2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line="151" w:lineRule="exact"/>
              <w:rPr>
                <w:sz w:val="20"/>
                <w:szCs w:val="20"/>
                <w:color w:val="auto"/>
              </w:rPr>
            </w:pPr>
            <w:r>
              <w:rPr>
                <w:rFonts w:ascii="Arial" w:cs="Arial" w:eastAsia="Arial" w:hAnsi="Arial"/>
                <w:sz w:val="14"/>
                <w:szCs w:val="14"/>
                <w:color w:val="auto"/>
              </w:rPr>
              <w:t>515,683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ind w:left="240"/>
              <w:spacing w:after="0" w:line="156" w:lineRule="exact"/>
              <w:rPr>
                <w:sz w:val="20"/>
                <w:szCs w:val="20"/>
                <w:color w:val="auto"/>
              </w:rPr>
            </w:pPr>
            <w:r>
              <w:rPr>
                <w:rFonts w:ascii="Arial" w:cs="Arial" w:eastAsia="Arial" w:hAnsi="Arial"/>
                <w:sz w:val="14"/>
                <w:szCs w:val="14"/>
                <w:color w:val="auto"/>
              </w:rPr>
              <w:t>Former Executive Vice President and</w:t>
            </w:r>
          </w:p>
        </w:tc>
        <w:tc>
          <w:tcPr>
            <w:tcW w:w="500" w:type="dxa"/>
            <w:vAlign w:val="bottom"/>
            <w:gridSpan w:val="2"/>
          </w:tcPr>
          <w:p>
            <w:pPr>
              <w:ind w:left="160"/>
              <w:spacing w:after="0" w:line="156" w:lineRule="exact"/>
              <w:rPr>
                <w:sz w:val="20"/>
                <w:szCs w:val="20"/>
                <w:color w:val="auto"/>
              </w:rPr>
            </w:pPr>
            <w:r>
              <w:rPr>
                <w:rFonts w:ascii="Arial" w:cs="Arial" w:eastAsia="Arial" w:hAnsi="Arial"/>
                <w:sz w:val="14"/>
                <w:szCs w:val="14"/>
                <w:color w:val="auto"/>
              </w:rPr>
              <w:t>2018</w:t>
            </w:r>
          </w:p>
        </w:tc>
        <w:tc>
          <w:tcPr>
            <w:tcW w:w="3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403,269</w:t>
            </w:r>
          </w:p>
        </w:tc>
        <w:tc>
          <w:tcPr>
            <w:tcW w:w="2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6" w:lineRule="exact"/>
              <w:rPr>
                <w:sz w:val="20"/>
                <w:szCs w:val="20"/>
                <w:color w:val="auto"/>
              </w:rPr>
            </w:pPr>
            <w:r>
              <w:rPr>
                <w:rFonts w:ascii="Arial" w:cs="Arial" w:eastAsia="Arial" w:hAnsi="Arial"/>
                <w:sz w:val="14"/>
                <w:szCs w:val="14"/>
                <w:color w:val="auto"/>
              </w:rPr>
              <w:t>328,147</w:t>
            </w:r>
          </w:p>
        </w:tc>
        <w:tc>
          <w:tcPr>
            <w:tcW w:w="30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150,000</w:t>
            </w:r>
          </w:p>
        </w:tc>
        <w:tc>
          <w:tcPr>
            <w:tcW w:w="200" w:type="dxa"/>
            <w:vAlign w:val="bottom"/>
          </w:tcPr>
          <w:p>
            <w:pPr>
              <w:spacing w:after="0"/>
              <w:rPr>
                <w:sz w:val="13"/>
                <w:szCs w:val="13"/>
                <w:color w:val="auto"/>
              </w:rPr>
            </w:pPr>
          </w:p>
        </w:tc>
        <w:tc>
          <w:tcPr>
            <w:tcW w:w="80" w:type="dxa"/>
            <w:vAlign w:val="bottom"/>
          </w:tcPr>
          <w:p>
            <w:pPr>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190,303</w:t>
            </w:r>
          </w:p>
        </w:tc>
        <w:tc>
          <w:tcPr>
            <w:tcW w:w="22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11,888</w:t>
            </w:r>
          </w:p>
        </w:tc>
        <w:tc>
          <w:tcPr>
            <w:tcW w:w="2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1,083,607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40"/>
              <w:spacing w:after="0"/>
              <w:rPr>
                <w:sz w:val="20"/>
                <w:szCs w:val="20"/>
                <w:color w:val="auto"/>
              </w:rPr>
            </w:pPr>
            <w:r>
              <w:rPr>
                <w:rFonts w:ascii="Arial" w:cs="Arial" w:eastAsia="Arial" w:hAnsi="Arial"/>
                <w:sz w:val="14"/>
                <w:szCs w:val="14"/>
                <w:color w:val="auto"/>
              </w:rPr>
              <w:t>Chief Marketing Officer</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740" w:right="20" w:hanging="371"/>
        <w:spacing w:after="0" w:line="281" w:lineRule="auto"/>
        <w:tabs>
          <w:tab w:leader="none" w:pos="7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amounts reflect the fair value, as of grant date, of awards computed in accordance with FASB ASC Topic 718, and not the actual amounts paid to or realized by the Named Executive Officers during the applicable fiscal year. The fair value of performance-based awards, based on a market condition, was determined as of the date of grant using a Monte-Carlo valuation model and the fair value of stock option awards were estimated as of the date of grant using a Black-Scholes valuation model. Additional information regarding the assumptions used to estimate the fair value of all awards is included in Note A and Note I to Consolidated Financial Statements contained in our Annual Report on Form 10-K for the fiscal year ended February 1, 2020.</w:t>
      </w:r>
    </w:p>
    <w:p>
      <w:pPr>
        <w:spacing w:after="0" w:line="71" w:lineRule="exact"/>
        <w:rPr>
          <w:rFonts w:ascii="Arial" w:cs="Arial" w:eastAsia="Arial" w:hAnsi="Arial"/>
          <w:sz w:val="15"/>
          <w:szCs w:val="15"/>
          <w:color w:val="auto"/>
        </w:rPr>
      </w:pPr>
    </w:p>
    <w:p>
      <w:pPr>
        <w:ind w:left="740" w:hanging="371"/>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Stock Awards</w:t>
      </w:r>
      <w:r>
        <w:rPr>
          <w:rFonts w:ascii="Arial" w:cs="Arial" w:eastAsia="Arial" w:hAnsi="Arial"/>
          <w:sz w:val="16"/>
          <w:szCs w:val="16"/>
          <w:color w:val="auto"/>
        </w:rPr>
        <w:t>” below for a breakdown of 2019 amounts reflected in this column.</w:t>
      </w:r>
    </w:p>
    <w:p>
      <w:pPr>
        <w:spacing w:after="0" w:line="116" w:lineRule="exact"/>
        <w:rPr>
          <w:sz w:val="20"/>
          <w:szCs w:val="20"/>
          <w:color w:val="auto"/>
        </w:rPr>
      </w:pPr>
    </w:p>
    <w:p>
      <w:pPr>
        <w:ind w:left="760"/>
        <w:spacing w:after="0" w:line="333" w:lineRule="auto"/>
        <w:rPr>
          <w:sz w:val="20"/>
          <w:szCs w:val="20"/>
          <w:color w:val="auto"/>
        </w:rPr>
      </w:pPr>
      <w:r>
        <w:rPr>
          <w:rFonts w:ascii="Arial" w:cs="Arial" w:eastAsia="Arial" w:hAnsi="Arial"/>
          <w:sz w:val="13"/>
          <w:szCs w:val="13"/>
          <w:color w:val="auto"/>
        </w:rPr>
        <w:t>The fair value associated with the performance-based component of the equity awards under the 2019-2021 LTIP was determined based on the probable outcome of the performance conditions as of the service-inception date. Because the achievement of the performance targets under the 2019-2021 LTIP was not deemed probable as of the service-inception date, no value was attributed to the performance-based portion of these awards. Mr. Levin was not eligible to participate in the 2019-2021 LTIP and Mr. Davey was not employed by the Company when the plan was approved. The following reflects the fair values of the performance-based equity portion of the 2019-2021 LTIP assuming the highest level of performance conditions will be achieved for each of the Named Executive Officers:</w:t>
      </w:r>
    </w:p>
    <w:p>
      <w:pPr>
        <w:spacing w:after="0" w:line="192"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Harvey S. Kanter</w:t>
            </w:r>
          </w:p>
        </w:tc>
        <w:tc>
          <w:tcPr>
            <w:tcW w:w="1360" w:type="dxa"/>
            <w:vAlign w:val="bottom"/>
            <w:shd w:val="clear" w:color="auto" w:fill="CFF0FC"/>
          </w:tcPr>
          <w:p>
            <w:pPr>
              <w:jc w:val="right"/>
              <w:ind w:right="191"/>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71"/>
              <w:spacing w:after="0"/>
              <w:rPr>
                <w:sz w:val="20"/>
                <w:szCs w:val="20"/>
                <w:color w:val="auto"/>
              </w:rPr>
            </w:pPr>
            <w:r>
              <w:rPr>
                <w:rFonts w:ascii="Arial" w:cs="Arial" w:eastAsia="Arial" w:hAnsi="Arial"/>
                <w:sz w:val="14"/>
                <w:szCs w:val="14"/>
                <w:color w:val="auto"/>
              </w:rPr>
              <w:t>468,563</w:t>
            </w:r>
          </w:p>
        </w:tc>
      </w:tr>
      <w:tr>
        <w:trPr>
          <w:trHeight w:val="156"/>
        </w:trPr>
        <w:tc>
          <w:tcPr>
            <w:tcW w:w="20" w:type="dxa"/>
            <w:vAlign w:val="bottom"/>
          </w:tcPr>
          <w:p>
            <w:pPr>
              <w:spacing w:after="0"/>
              <w:rPr>
                <w:sz w:val="13"/>
                <w:szCs w:val="13"/>
                <w:color w:val="auto"/>
              </w:rPr>
            </w:pPr>
          </w:p>
        </w:tc>
        <w:tc>
          <w:tcPr>
            <w:tcW w:w="2140" w:type="dxa"/>
            <w:vAlign w:val="bottom"/>
          </w:tcPr>
          <w:p>
            <w:pPr>
              <w:spacing w:after="0" w:line="156" w:lineRule="exact"/>
              <w:rPr>
                <w:sz w:val="20"/>
                <w:szCs w:val="20"/>
                <w:color w:val="auto"/>
              </w:rPr>
            </w:pPr>
            <w:r>
              <w:rPr>
                <w:rFonts w:ascii="Arial" w:cs="Arial" w:eastAsia="Arial" w:hAnsi="Arial"/>
                <w:sz w:val="14"/>
                <w:szCs w:val="14"/>
                <w:color w:val="auto"/>
              </w:rPr>
              <w:t>David A. Levin</w:t>
            </w:r>
          </w:p>
        </w:tc>
        <w:tc>
          <w:tcPr>
            <w:tcW w:w="1360" w:type="dxa"/>
            <w:vAlign w:val="bottom"/>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214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Peter H. Stratton, Jr.</w:t>
            </w:r>
          </w:p>
        </w:tc>
        <w:tc>
          <w:tcPr>
            <w:tcW w:w="1360" w:type="dxa"/>
            <w:vAlign w:val="bottom"/>
            <w:shd w:val="clear" w:color="auto" w:fill="CFF0FC"/>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71"/>
              <w:spacing w:after="0" w:line="156" w:lineRule="exact"/>
              <w:rPr>
                <w:sz w:val="20"/>
                <w:szCs w:val="20"/>
                <w:color w:val="auto"/>
              </w:rPr>
            </w:pPr>
            <w:r>
              <w:rPr>
                <w:rFonts w:ascii="Arial" w:cs="Arial" w:eastAsia="Arial" w:hAnsi="Arial"/>
                <w:sz w:val="14"/>
                <w:szCs w:val="14"/>
                <w:color w:val="auto"/>
              </w:rPr>
              <w:t>103,688</w:t>
            </w:r>
          </w:p>
        </w:tc>
      </w:tr>
      <w:tr>
        <w:trPr>
          <w:trHeight w:val="156"/>
        </w:trPr>
        <w:tc>
          <w:tcPr>
            <w:tcW w:w="20" w:type="dxa"/>
            <w:vAlign w:val="bottom"/>
          </w:tcPr>
          <w:p>
            <w:pPr>
              <w:spacing w:after="0"/>
              <w:rPr>
                <w:sz w:val="13"/>
                <w:szCs w:val="13"/>
                <w:color w:val="auto"/>
              </w:rPr>
            </w:pPr>
          </w:p>
        </w:tc>
        <w:tc>
          <w:tcPr>
            <w:tcW w:w="2140" w:type="dxa"/>
            <w:vAlign w:val="bottom"/>
          </w:tcPr>
          <w:p>
            <w:pPr>
              <w:spacing w:after="0" w:line="156" w:lineRule="exact"/>
              <w:rPr>
                <w:sz w:val="20"/>
                <w:szCs w:val="20"/>
                <w:color w:val="auto"/>
              </w:rPr>
            </w:pPr>
            <w:r>
              <w:rPr>
                <w:rFonts w:ascii="Arial" w:cs="Arial" w:eastAsia="Arial" w:hAnsi="Arial"/>
                <w:sz w:val="14"/>
                <w:szCs w:val="14"/>
                <w:color w:val="auto"/>
              </w:rPr>
              <w:t>Robert S. Molloy</w:t>
            </w:r>
          </w:p>
        </w:tc>
        <w:tc>
          <w:tcPr>
            <w:tcW w:w="1360" w:type="dxa"/>
            <w:vAlign w:val="bottom"/>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98,438</w:t>
            </w:r>
          </w:p>
        </w:tc>
      </w:tr>
      <w:tr>
        <w:trPr>
          <w:trHeight w:val="156"/>
        </w:trPr>
        <w:tc>
          <w:tcPr>
            <w:tcW w:w="20" w:type="dxa"/>
            <w:vAlign w:val="bottom"/>
          </w:tcPr>
          <w:p>
            <w:pPr>
              <w:spacing w:after="0"/>
              <w:rPr>
                <w:sz w:val="13"/>
                <w:szCs w:val="13"/>
                <w:color w:val="auto"/>
              </w:rPr>
            </w:pPr>
          </w:p>
        </w:tc>
        <w:tc>
          <w:tcPr>
            <w:tcW w:w="214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Francis C. Chane</w:t>
            </w:r>
          </w:p>
        </w:tc>
        <w:tc>
          <w:tcPr>
            <w:tcW w:w="1360" w:type="dxa"/>
            <w:vAlign w:val="bottom"/>
            <w:shd w:val="clear" w:color="auto" w:fill="CFF0FC"/>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71"/>
              <w:spacing w:after="0" w:line="156" w:lineRule="exact"/>
              <w:rPr>
                <w:sz w:val="20"/>
                <w:szCs w:val="20"/>
                <w:color w:val="auto"/>
              </w:rPr>
            </w:pPr>
            <w:r>
              <w:rPr>
                <w:rFonts w:ascii="Arial" w:cs="Arial" w:eastAsia="Arial" w:hAnsi="Arial"/>
                <w:sz w:val="14"/>
                <w:szCs w:val="14"/>
                <w:color w:val="auto"/>
              </w:rPr>
              <w:t>76,125</w:t>
            </w:r>
          </w:p>
        </w:tc>
      </w:tr>
      <w:tr>
        <w:trPr>
          <w:trHeight w:val="156"/>
        </w:trPr>
        <w:tc>
          <w:tcPr>
            <w:tcW w:w="20" w:type="dxa"/>
            <w:vAlign w:val="bottom"/>
          </w:tcPr>
          <w:p>
            <w:pPr>
              <w:spacing w:after="0"/>
              <w:rPr>
                <w:sz w:val="13"/>
                <w:szCs w:val="13"/>
                <w:color w:val="auto"/>
              </w:rPr>
            </w:pPr>
          </w:p>
        </w:tc>
        <w:tc>
          <w:tcPr>
            <w:tcW w:w="2140" w:type="dxa"/>
            <w:vAlign w:val="bottom"/>
          </w:tcPr>
          <w:p>
            <w:pPr>
              <w:spacing w:after="0" w:line="156" w:lineRule="exact"/>
              <w:rPr>
                <w:sz w:val="20"/>
                <w:szCs w:val="20"/>
                <w:color w:val="auto"/>
              </w:rPr>
            </w:pPr>
            <w:r>
              <w:rPr>
                <w:rFonts w:ascii="Arial" w:cs="Arial" w:eastAsia="Arial" w:hAnsi="Arial"/>
                <w:sz w:val="14"/>
                <w:szCs w:val="14"/>
                <w:color w:val="auto"/>
              </w:rPr>
              <w:t>Anthony J. Gaeta</w:t>
            </w:r>
          </w:p>
        </w:tc>
        <w:tc>
          <w:tcPr>
            <w:tcW w:w="1360" w:type="dxa"/>
            <w:vAlign w:val="bottom"/>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77,438</w:t>
            </w:r>
          </w:p>
        </w:tc>
      </w:tr>
      <w:tr>
        <w:trPr>
          <w:trHeight w:val="156"/>
        </w:trPr>
        <w:tc>
          <w:tcPr>
            <w:tcW w:w="20" w:type="dxa"/>
            <w:vAlign w:val="bottom"/>
          </w:tcPr>
          <w:p>
            <w:pPr>
              <w:spacing w:after="0"/>
              <w:rPr>
                <w:sz w:val="13"/>
                <w:szCs w:val="13"/>
                <w:color w:val="auto"/>
              </w:rPr>
            </w:pPr>
          </w:p>
        </w:tc>
        <w:tc>
          <w:tcPr>
            <w:tcW w:w="214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Brian S. Reaves</w:t>
            </w:r>
          </w:p>
        </w:tc>
        <w:tc>
          <w:tcPr>
            <w:tcW w:w="1360" w:type="dxa"/>
            <w:vAlign w:val="bottom"/>
            <w:shd w:val="clear" w:color="auto" w:fill="CFF0FC"/>
          </w:tcPr>
          <w:p>
            <w:pPr>
              <w:jc w:val="right"/>
              <w:ind w:right="191"/>
              <w:spacing w:after="0" w:line="156"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71"/>
              <w:spacing w:after="0" w:line="156" w:lineRule="exact"/>
              <w:rPr>
                <w:sz w:val="20"/>
                <w:szCs w:val="20"/>
                <w:color w:val="auto"/>
              </w:rPr>
            </w:pPr>
            <w:r>
              <w:rPr>
                <w:rFonts w:ascii="Arial" w:cs="Arial" w:eastAsia="Arial" w:hAnsi="Arial"/>
                <w:sz w:val="14"/>
                <w:szCs w:val="14"/>
                <w:color w:val="auto"/>
              </w:rPr>
              <w:t>131,250</w:t>
            </w:r>
          </w:p>
        </w:tc>
      </w:tr>
      <w:tr>
        <w:trPr>
          <w:trHeight w:val="176"/>
        </w:trPr>
        <w:tc>
          <w:tcPr>
            <w:tcW w:w="2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James S. Davey</w:t>
            </w:r>
          </w:p>
        </w:tc>
        <w:tc>
          <w:tcPr>
            <w:tcW w:w="136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1"/>
              <w:spacing w:after="0"/>
              <w:rPr>
                <w:sz w:val="20"/>
                <w:szCs w:val="20"/>
                <w:color w:val="auto"/>
              </w:rPr>
            </w:pPr>
            <w:r>
              <w:rPr>
                <w:rFonts w:ascii="Arial" w:cs="Arial" w:eastAsia="Arial" w:hAnsi="Arial"/>
                <w:sz w:val="14"/>
                <w:szCs w:val="14"/>
                <w:color w:val="auto"/>
              </w:rPr>
              <w:t>—</w:t>
            </w:r>
          </w:p>
        </w:tc>
      </w:tr>
    </w:tbl>
    <w:p>
      <w:pPr>
        <w:spacing w:after="0" w:line="75" w:lineRule="exact"/>
        <w:rPr>
          <w:sz w:val="20"/>
          <w:szCs w:val="20"/>
          <w:color w:val="auto"/>
        </w:rPr>
      </w:pPr>
    </w:p>
    <w:p>
      <w:pPr>
        <w:ind w:left="760" w:right="340"/>
        <w:spacing w:after="0" w:line="274" w:lineRule="auto"/>
        <w:rPr>
          <w:sz w:val="20"/>
          <w:szCs w:val="20"/>
          <w:color w:val="auto"/>
        </w:rPr>
      </w:pPr>
      <w:r>
        <w:rPr>
          <w:rFonts w:ascii="Arial" w:cs="Arial" w:eastAsia="Arial" w:hAnsi="Arial"/>
          <w:sz w:val="16"/>
          <w:szCs w:val="16"/>
          <w:color w:val="auto"/>
        </w:rPr>
        <w:t>The amount shown in the Option Award column for fiscal 2018 represents the fair value, as of grant date, of a sign-on award of stock options to Mr. Davey, which were forfeited in connection with his termination of employment.</w:t>
      </w:r>
    </w:p>
    <w:p>
      <w:pPr>
        <w:spacing w:after="0" w:line="75" w:lineRule="exact"/>
        <w:rPr>
          <w:sz w:val="20"/>
          <w:szCs w:val="20"/>
          <w:color w:val="auto"/>
        </w:rPr>
      </w:pPr>
    </w:p>
    <w:p>
      <w:pPr>
        <w:ind w:left="740" w:hanging="371"/>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cash awards earned under the Company’s AIPs for each respective year.</w:t>
      </w:r>
    </w:p>
    <w:p>
      <w:pPr>
        <w:spacing w:after="0" w:line="21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ind w:left="740" w:hanging="371"/>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All Other Compensation</w:t>
      </w:r>
      <w:r>
        <w:rPr>
          <w:rFonts w:ascii="Arial" w:cs="Arial" w:eastAsia="Arial" w:hAnsi="Arial"/>
          <w:sz w:val="16"/>
          <w:szCs w:val="16"/>
          <w:color w:val="auto"/>
        </w:rPr>
        <w:t>” below for a breakdown of 2019 amounts reflected in this column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in 2019 in the “</w:t>
      </w:r>
      <w:r>
        <w:rPr>
          <w:rFonts w:ascii="Arial" w:cs="Arial" w:eastAsia="Arial" w:hAnsi="Arial"/>
          <w:sz w:val="17"/>
          <w:szCs w:val="17"/>
          <w:i w:val="1"/>
          <w:iCs w:val="1"/>
          <w:color w:val="auto"/>
        </w:rPr>
        <w:t>Stock Awards</w:t>
      </w:r>
      <w:r>
        <w:rPr>
          <w:rFonts w:ascii="Arial" w:cs="Arial" w:eastAsia="Arial" w:hAnsi="Arial"/>
          <w:sz w:val="17"/>
          <w:szCs w:val="17"/>
          <w:color w:val="auto"/>
        </w:rPr>
        <w:t>” column of the Summary Compensation Table above:</w:t>
      </w:r>
    </w:p>
    <w:tbl>
      <w:tblPr>
        <w:tblLayout w:type="fixed"/>
        <w:tblInd w:w="0" w:type="dxa"/>
        <w:tblCellMar>
          <w:top w:w="0" w:type="dxa"/>
          <w:left w:w="0" w:type="dxa"/>
          <w:bottom w:w="0" w:type="dxa"/>
          <w:right w:w="0" w:type="dxa"/>
        </w:tblCellMar>
      </w:tblPr>
      <w:tr>
        <w:trPr>
          <w:trHeight w:val="159"/>
        </w:trPr>
        <w:tc>
          <w:tcPr>
            <w:tcW w:w="4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Sign-on Performance-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88"/>
              </w:rPr>
              <w:t>Sign-on</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Total Stock</w:t>
            </w:r>
          </w:p>
        </w:tc>
        <w:tc>
          <w:tcPr>
            <w:tcW w:w="0" w:type="dxa"/>
            <w:vAlign w:val="bottom"/>
          </w:tcPr>
          <w:p>
            <w:pPr>
              <w:spacing w:after="0"/>
              <w:rPr>
                <w:sz w:val="1"/>
                <w:szCs w:val="1"/>
                <w:color w:val="auto"/>
              </w:rPr>
            </w:pPr>
          </w:p>
        </w:tc>
      </w:tr>
      <w:tr>
        <w:trPr>
          <w:trHeight w:val="143"/>
        </w:trPr>
        <w:tc>
          <w:tcPr>
            <w:tcW w:w="45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2019-2021 LTIP (1)</w:t>
            </w: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0"/>
              </w:rPr>
              <w:t>Time-Based Award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151"/>
              <w:spacing w:after="0"/>
              <w:rPr>
                <w:sz w:val="20"/>
                <w:szCs w:val="20"/>
                <w:color w:val="auto"/>
              </w:rPr>
            </w:pPr>
            <w:r>
              <w:rPr>
                <w:rFonts w:ascii="Arial" w:cs="Arial" w:eastAsia="Arial" w:hAnsi="Arial"/>
                <w:sz w:val="14"/>
                <w:szCs w:val="14"/>
                <w:b w:val="1"/>
                <w:bCs w:val="1"/>
                <w:color w:val="auto"/>
                <w:w w:val="94"/>
              </w:rPr>
              <w:t>Based Award (2)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31"/>
              <w:spacing w:after="0"/>
              <w:rPr>
                <w:sz w:val="20"/>
                <w:szCs w:val="20"/>
                <w:color w:val="auto"/>
              </w:rPr>
            </w:pPr>
            <w:r>
              <w:rPr>
                <w:rFonts w:ascii="Arial" w:cs="Arial" w:eastAsia="Arial" w:hAnsi="Arial"/>
                <w:sz w:val="14"/>
                <w:szCs w:val="14"/>
                <w:b w:val="1"/>
                <w:bCs w:val="1"/>
                <w:color w:val="auto"/>
                <w:w w:val="93"/>
              </w:rPr>
              <w:t>(3)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456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Harvey S. Kanter</w:t>
            </w:r>
          </w:p>
        </w:tc>
        <w:tc>
          <w:tcPr>
            <w:tcW w:w="1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312,374</w:t>
            </w:r>
          </w:p>
        </w:tc>
        <w:tc>
          <w:tcPr>
            <w:tcW w:w="3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1,029,600</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600,000</w:t>
            </w: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31"/>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1,941,974</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line="156" w:lineRule="exact"/>
              <w:rPr>
                <w:sz w:val="20"/>
                <w:szCs w:val="20"/>
                <w:color w:val="auto"/>
              </w:rPr>
            </w:pPr>
            <w:r>
              <w:rPr>
                <w:rFonts w:ascii="Arial" w:cs="Arial" w:eastAsia="Arial" w:hAnsi="Arial"/>
                <w:sz w:val="14"/>
                <w:szCs w:val="14"/>
                <w:color w:val="auto"/>
              </w:rPr>
              <w:t>David A. Levin</w:t>
            </w:r>
          </w:p>
        </w:tc>
        <w:tc>
          <w:tcPr>
            <w:tcW w:w="320" w:type="dxa"/>
            <w:vAlign w:val="bottom"/>
            <w:gridSpan w:val="2"/>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line="156"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5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Peter H. Stratton, Jr.</w:t>
            </w:r>
          </w:p>
        </w:tc>
        <w:tc>
          <w:tcPr>
            <w:tcW w:w="320" w:type="dxa"/>
            <w:vAlign w:val="bottom"/>
            <w:gridSpan w:val="2"/>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69,123</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31"/>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69,123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line="156" w:lineRule="exact"/>
              <w:rPr>
                <w:sz w:val="20"/>
                <w:szCs w:val="20"/>
                <w:color w:val="auto"/>
              </w:rPr>
            </w:pPr>
            <w:r>
              <w:rPr>
                <w:rFonts w:ascii="Arial" w:cs="Arial" w:eastAsia="Arial" w:hAnsi="Arial"/>
                <w:sz w:val="14"/>
                <w:szCs w:val="14"/>
                <w:color w:val="auto"/>
              </w:rPr>
              <w:t>Robert S. Molloy</w:t>
            </w:r>
          </w:p>
        </w:tc>
        <w:tc>
          <w:tcPr>
            <w:tcW w:w="320" w:type="dxa"/>
            <w:vAlign w:val="bottom"/>
            <w:gridSpan w:val="2"/>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460" w:type="dxa"/>
            <w:vAlign w:val="bottom"/>
          </w:tcPr>
          <w:p>
            <w:pPr>
              <w:jc w:val="right"/>
              <w:spacing w:after="0" w:line="156" w:lineRule="exact"/>
              <w:rPr>
                <w:sz w:val="20"/>
                <w:szCs w:val="20"/>
                <w:color w:val="auto"/>
              </w:rPr>
            </w:pPr>
            <w:r>
              <w:rPr>
                <w:rFonts w:ascii="Arial" w:cs="Arial" w:eastAsia="Arial" w:hAnsi="Arial"/>
                <w:sz w:val="14"/>
                <w:szCs w:val="14"/>
                <w:color w:val="auto"/>
              </w:rPr>
              <w:t>65,625</w:t>
            </w:r>
          </w:p>
        </w:tc>
        <w:tc>
          <w:tcPr>
            <w:tcW w:w="30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65,625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Francis C. Chane</w:t>
            </w:r>
          </w:p>
        </w:tc>
        <w:tc>
          <w:tcPr>
            <w:tcW w:w="320" w:type="dxa"/>
            <w:vAlign w:val="bottom"/>
            <w:gridSpan w:val="2"/>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50,749</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31"/>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50,749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line="156" w:lineRule="exact"/>
              <w:rPr>
                <w:sz w:val="20"/>
                <w:szCs w:val="20"/>
                <w:color w:val="auto"/>
              </w:rPr>
            </w:pPr>
            <w:r>
              <w:rPr>
                <w:rFonts w:ascii="Arial" w:cs="Arial" w:eastAsia="Arial" w:hAnsi="Arial"/>
                <w:sz w:val="14"/>
                <w:szCs w:val="14"/>
                <w:color w:val="auto"/>
              </w:rPr>
              <w:t>Anthony J. Gaeta</w:t>
            </w:r>
          </w:p>
        </w:tc>
        <w:tc>
          <w:tcPr>
            <w:tcW w:w="320" w:type="dxa"/>
            <w:vAlign w:val="bottom"/>
            <w:gridSpan w:val="2"/>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460" w:type="dxa"/>
            <w:vAlign w:val="bottom"/>
          </w:tcPr>
          <w:p>
            <w:pPr>
              <w:jc w:val="right"/>
              <w:spacing w:after="0" w:line="156" w:lineRule="exact"/>
              <w:rPr>
                <w:sz w:val="20"/>
                <w:szCs w:val="20"/>
                <w:color w:val="auto"/>
              </w:rPr>
            </w:pPr>
            <w:r>
              <w:rPr>
                <w:rFonts w:ascii="Arial" w:cs="Arial" w:eastAsia="Arial" w:hAnsi="Arial"/>
                <w:sz w:val="14"/>
                <w:szCs w:val="14"/>
                <w:color w:val="auto"/>
              </w:rPr>
              <w:t>51,625</w:t>
            </w:r>
          </w:p>
        </w:tc>
        <w:tc>
          <w:tcPr>
            <w:tcW w:w="30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51,625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Brian S. Reaves</w:t>
            </w:r>
          </w:p>
        </w:tc>
        <w:tc>
          <w:tcPr>
            <w:tcW w:w="320" w:type="dxa"/>
            <w:vAlign w:val="bottom"/>
            <w:gridSpan w:val="2"/>
            <w:shd w:val="clear" w:color="auto" w:fill="CFF0FC"/>
          </w:tcPr>
          <w:p>
            <w:pPr>
              <w:jc w:val="right"/>
              <w:ind w:right="48"/>
              <w:spacing w:after="0" w:line="156" w:lineRule="exact"/>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87,499</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FF0FC"/>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ind w:right="31"/>
              <w:spacing w:after="0" w:line="156"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87,499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20"/>
                <w:szCs w:val="20"/>
                <w:color w:val="auto"/>
              </w:rPr>
            </w:pPr>
            <w:r>
              <w:rPr>
                <w:rFonts w:ascii="Arial" w:cs="Arial" w:eastAsia="Arial" w:hAnsi="Arial"/>
                <w:sz w:val="14"/>
                <w:szCs w:val="14"/>
                <w:color w:val="auto"/>
              </w:rPr>
              <w:t>James S. Davey</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40" w:right="520" w:hanging="371"/>
        <w:spacing w:after="0" w:line="264"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grant of time-based RSUs issued under the 2019-2021 LTIP, which will vest in four tranches with the first 25% vesting on August 7, 2020 and the remaining tranches vesting on April 1, 2021, April 1, 2022 and April 1, 2023. The award to Mr. Reaves was forfeited in connection with his termination of employment.</w:t>
      </w:r>
    </w:p>
    <w:p>
      <w:pPr>
        <w:spacing w:after="0" w:line="187" w:lineRule="exact"/>
        <w:rPr>
          <w:rFonts w:ascii="Arial" w:cs="Arial" w:eastAsia="Arial" w:hAnsi="Arial"/>
          <w:sz w:val="16"/>
          <w:szCs w:val="16"/>
          <w:color w:val="auto"/>
        </w:rPr>
      </w:pPr>
    </w:p>
    <w:p>
      <w:pPr>
        <w:ind w:left="740" w:right="220" w:hanging="371"/>
        <w:spacing w:after="0" w:line="264"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grant-date fair value of the sign-on grant of PSUs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w:t>
      </w:r>
    </w:p>
    <w:p>
      <w:pPr>
        <w:spacing w:after="0" w:line="187" w:lineRule="exact"/>
        <w:rPr>
          <w:rFonts w:ascii="Arial" w:cs="Arial" w:eastAsia="Arial" w:hAnsi="Arial"/>
          <w:sz w:val="16"/>
          <w:szCs w:val="16"/>
          <w:color w:val="auto"/>
        </w:rPr>
      </w:pPr>
    </w:p>
    <w:p>
      <w:pPr>
        <w:ind w:left="740" w:hanging="371"/>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sign-on grant of time-based RSUs that vest ratably over four years with the first one-fourth having vested on April 1, 2020.</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2019 in the “</w:t>
      </w:r>
      <w:r>
        <w:rPr>
          <w:rFonts w:ascii="Arial" w:cs="Arial" w:eastAsia="Arial" w:hAnsi="Arial"/>
          <w:sz w:val="17"/>
          <w:szCs w:val="17"/>
          <w:i w:val="1"/>
          <w:iCs w:val="1"/>
          <w:color w:val="auto"/>
        </w:rPr>
        <w:t>All Other Compensation</w:t>
      </w:r>
      <w:r>
        <w:rPr>
          <w:rFonts w:ascii="Arial" w:cs="Arial" w:eastAsia="Arial" w:hAnsi="Arial"/>
          <w:sz w:val="17"/>
          <w:szCs w:val="17"/>
          <w:color w:val="auto"/>
        </w:rPr>
        <w:t>” of the Summary Compensation Table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Severance</w:t>
            </w:r>
          </w:p>
        </w:tc>
        <w:tc>
          <w:tcPr>
            <w:tcW w:w="160" w:type="dxa"/>
            <w:vAlign w:val="bottom"/>
          </w:tcPr>
          <w:p>
            <w:pPr>
              <w:spacing w:after="0"/>
              <w:rPr>
                <w:sz w:val="14"/>
                <w:szCs w:val="14"/>
                <w:color w:val="auto"/>
              </w:rPr>
            </w:pPr>
          </w:p>
        </w:tc>
        <w:tc>
          <w:tcPr>
            <w:tcW w:w="7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Life</w:t>
            </w: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Long-Term</w:t>
            </w:r>
          </w:p>
        </w:tc>
        <w:tc>
          <w:tcPr>
            <w:tcW w:w="12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Supplemental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Relocation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3"/>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Auto</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Consulting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71"/>
              <w:spacing w:after="0" w:line="143"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80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7"/>
              </w:rPr>
              <w:t>and accrued</w:t>
            </w:r>
          </w:p>
        </w:tc>
        <w:tc>
          <w:tcPr>
            <w:tcW w:w="88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7"/>
              </w:rPr>
              <w:t>Insurance</w:t>
            </w:r>
          </w:p>
        </w:tc>
        <w:tc>
          <w:tcPr>
            <w:tcW w:w="72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w w:val="92"/>
              </w:rPr>
              <w:t>Healthcare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Disability</w:t>
            </w: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89"/>
              </w:rPr>
              <w:t>Commuting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66"/>
        </w:trPr>
        <w:tc>
          <w:tcPr>
            <w:tcW w:w="3800" w:type="dxa"/>
            <w:vAlign w:val="bottom"/>
            <w:gridSpan w:val="2"/>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Allowance</w:t>
            </w:r>
          </w:p>
        </w:tc>
        <w:tc>
          <w:tcPr>
            <w:tcW w:w="20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benefits (1)</w:t>
            </w: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Premiums</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Premiums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Insurance</w:t>
            </w:r>
          </w:p>
        </w:tc>
        <w:tc>
          <w:tcPr>
            <w:tcW w:w="100" w:type="dxa"/>
            <w:vAlign w:val="bottom"/>
          </w:tcPr>
          <w:p>
            <w:pPr>
              <w:spacing w:after="0"/>
              <w:rPr>
                <w:sz w:val="14"/>
                <w:szCs w:val="14"/>
                <w:color w:val="auto"/>
              </w:rPr>
            </w:pPr>
          </w:p>
        </w:tc>
        <w:tc>
          <w:tcPr>
            <w:tcW w:w="640" w:type="dxa"/>
            <w:vAlign w:val="bottom"/>
          </w:tcPr>
          <w:p>
            <w:pPr>
              <w:jc w:val="right"/>
              <w:ind w:right="71"/>
              <w:spacing w:after="0"/>
              <w:rPr>
                <w:sz w:val="20"/>
                <w:szCs w:val="20"/>
                <w:color w:val="auto"/>
              </w:rPr>
            </w:pPr>
            <w:r>
              <w:rPr>
                <w:rFonts w:ascii="Arial" w:cs="Arial" w:eastAsia="Arial" w:hAnsi="Arial"/>
                <w:sz w:val="14"/>
                <w:szCs w:val="14"/>
                <w:b w:val="1"/>
                <w:bCs w:val="1"/>
                <w:color w:val="auto"/>
                <w:w w:val="90"/>
              </w:rPr>
              <w:t>Fees (2)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51"/>
              <w:spacing w:after="0"/>
              <w:rPr>
                <w:sz w:val="20"/>
                <w:szCs w:val="20"/>
                <w:color w:val="auto"/>
              </w:rPr>
            </w:pPr>
            <w:r>
              <w:rPr>
                <w:rFonts w:ascii="Arial" w:cs="Arial" w:eastAsia="Arial" w:hAnsi="Arial"/>
                <w:sz w:val="14"/>
                <w:szCs w:val="14"/>
                <w:b w:val="1"/>
                <w:bCs w:val="1"/>
                <w:color w:val="auto"/>
                <w:w w:val="82"/>
              </w:rPr>
              <w:t>Costs</w:t>
            </w:r>
          </w:p>
        </w:tc>
        <w:tc>
          <w:tcPr>
            <w:tcW w:w="2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4"/>
              </w:rPr>
              <w:t>Compensation</w:t>
            </w:r>
          </w:p>
        </w:tc>
        <w:tc>
          <w:tcPr>
            <w:tcW w:w="0" w:type="dxa"/>
            <w:vAlign w:val="bottom"/>
          </w:tcPr>
          <w:p>
            <w:pPr>
              <w:spacing w:after="0"/>
              <w:rPr>
                <w:sz w:val="1"/>
                <w:szCs w:val="1"/>
                <w:color w:val="auto"/>
              </w:rPr>
            </w:pPr>
          </w:p>
        </w:tc>
      </w:tr>
      <w:tr>
        <w:trPr>
          <w:trHeight w:val="149"/>
        </w:trPr>
        <w:tc>
          <w:tcPr>
            <w:tcW w:w="370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Harvey S. Kanter</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8,462</w:t>
            </w:r>
          </w:p>
        </w:tc>
        <w:tc>
          <w:tcPr>
            <w:tcW w:w="2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11"/>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2,188</w:t>
            </w:r>
          </w:p>
        </w:tc>
        <w:tc>
          <w:tcPr>
            <w:tcW w:w="2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4,174</w:t>
            </w: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100,000</w:t>
            </w:r>
          </w:p>
        </w:tc>
        <w:tc>
          <w:tcPr>
            <w:tcW w:w="2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114,824</w:t>
            </w: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00" w:type="dxa"/>
            <w:vAlign w:val="bottom"/>
            <w:gridSpan w:val="2"/>
          </w:tcPr>
          <w:p>
            <w:pPr>
              <w:spacing w:after="0" w:line="156" w:lineRule="exact"/>
              <w:rPr>
                <w:sz w:val="20"/>
                <w:szCs w:val="20"/>
                <w:color w:val="auto"/>
              </w:rPr>
            </w:pPr>
            <w:r>
              <w:rPr>
                <w:rFonts w:ascii="Arial" w:cs="Arial" w:eastAsia="Arial" w:hAnsi="Arial"/>
                <w:sz w:val="14"/>
                <w:szCs w:val="14"/>
                <w:color w:val="auto"/>
              </w:rPr>
              <w:t>David A. Levin</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9,039</w:t>
            </w:r>
          </w:p>
        </w:tc>
        <w:tc>
          <w:tcPr>
            <w:tcW w:w="2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line="156"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6" w:lineRule="exact"/>
              <w:rPr>
                <w:sz w:val="20"/>
                <w:szCs w:val="20"/>
                <w:color w:val="auto"/>
              </w:rPr>
            </w:pPr>
            <w:r>
              <w:rPr>
                <w:rFonts w:ascii="Arial" w:cs="Arial" w:eastAsia="Arial" w:hAnsi="Arial"/>
                <w:sz w:val="14"/>
                <w:szCs w:val="14"/>
                <w:color w:val="auto"/>
              </w:rPr>
              <w:t>1,354</w:t>
            </w:r>
          </w:p>
        </w:tc>
        <w:tc>
          <w:tcPr>
            <w:tcW w:w="180" w:type="dxa"/>
            <w:vAlign w:val="bottom"/>
          </w:tcPr>
          <w:p>
            <w:pPr>
              <w:spacing w:after="0"/>
              <w:rPr>
                <w:sz w:val="13"/>
                <w:szCs w:val="13"/>
                <w:color w:val="auto"/>
              </w:rPr>
            </w:pPr>
          </w:p>
        </w:tc>
        <w:tc>
          <w:tcPr>
            <w:tcW w:w="24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rPr>
              <w:t>5,531</w:t>
            </w:r>
          </w:p>
        </w:tc>
        <w:tc>
          <w:tcPr>
            <w:tcW w:w="280" w:type="dxa"/>
            <w:vAlign w:val="bottom"/>
            <w:gridSpan w:val="2"/>
          </w:tcPr>
          <w:p>
            <w:pPr>
              <w:ind w:left="200"/>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5,811</w:t>
            </w:r>
          </w:p>
        </w:tc>
        <w:tc>
          <w:tcPr>
            <w:tcW w:w="22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572,308</w:t>
            </w:r>
          </w:p>
        </w:tc>
        <w:tc>
          <w:tcPr>
            <w:tcW w:w="300" w:type="dxa"/>
            <w:vAlign w:val="bottom"/>
            <w:gridSpan w:val="2"/>
          </w:tcPr>
          <w:p>
            <w:pPr>
              <w:ind w:left="180"/>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80"/>
              <w:spacing w:after="0" w:line="156"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594,043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Peter H. Stratton, Jr.</w:t>
            </w: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8,400</w:t>
            </w:r>
          </w:p>
        </w:tc>
        <w:tc>
          <w:tcPr>
            <w:tcW w:w="26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4,034</w:t>
            </w:r>
          </w:p>
        </w:tc>
        <w:tc>
          <w:tcPr>
            <w:tcW w:w="280" w:type="dxa"/>
            <w:vAlign w:val="bottom"/>
            <w:gridSpan w:val="2"/>
            <w:shd w:val="clear" w:color="auto" w:fill="CFF0FC"/>
          </w:tcPr>
          <w:p>
            <w:pPr>
              <w:ind w:left="200"/>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3,063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18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ind w:left="28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15,497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gridSpan w:val="2"/>
          </w:tcPr>
          <w:p>
            <w:pPr>
              <w:spacing w:after="0" w:line="156" w:lineRule="exact"/>
              <w:rPr>
                <w:sz w:val="20"/>
                <w:szCs w:val="20"/>
                <w:color w:val="auto"/>
              </w:rPr>
            </w:pPr>
            <w:r>
              <w:rPr>
                <w:rFonts w:ascii="Arial" w:cs="Arial" w:eastAsia="Arial" w:hAnsi="Arial"/>
                <w:sz w:val="14"/>
                <w:szCs w:val="14"/>
                <w:color w:val="auto"/>
              </w:rPr>
              <w:t>Robert S. Molloy</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8,400</w:t>
            </w:r>
          </w:p>
        </w:tc>
        <w:tc>
          <w:tcPr>
            <w:tcW w:w="2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rPr>
              <w:t>4,821</w:t>
            </w:r>
          </w:p>
        </w:tc>
        <w:tc>
          <w:tcPr>
            <w:tcW w:w="280" w:type="dxa"/>
            <w:vAlign w:val="bottom"/>
            <w:gridSpan w:val="2"/>
          </w:tcPr>
          <w:p>
            <w:pPr>
              <w:ind w:left="200"/>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4,399</w:t>
            </w:r>
          </w:p>
        </w:tc>
        <w:tc>
          <w:tcPr>
            <w:tcW w:w="22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80"/>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80"/>
              <w:spacing w:after="0" w:line="156"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17,620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Francis C. Chane</w:t>
            </w: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8,400</w:t>
            </w:r>
          </w:p>
        </w:tc>
        <w:tc>
          <w:tcPr>
            <w:tcW w:w="26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4,361</w:t>
            </w:r>
          </w:p>
        </w:tc>
        <w:tc>
          <w:tcPr>
            <w:tcW w:w="280" w:type="dxa"/>
            <w:vAlign w:val="bottom"/>
            <w:gridSpan w:val="2"/>
            <w:shd w:val="clear" w:color="auto" w:fill="CFF0FC"/>
          </w:tcPr>
          <w:p>
            <w:pPr>
              <w:ind w:left="200"/>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4,108</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18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ind w:left="28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16,869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gridSpan w:val="2"/>
          </w:tcPr>
          <w:p>
            <w:pPr>
              <w:spacing w:after="0" w:line="156" w:lineRule="exact"/>
              <w:rPr>
                <w:sz w:val="20"/>
                <w:szCs w:val="20"/>
                <w:color w:val="auto"/>
              </w:rPr>
            </w:pPr>
            <w:r>
              <w:rPr>
                <w:rFonts w:ascii="Arial" w:cs="Arial" w:eastAsia="Arial" w:hAnsi="Arial"/>
                <w:sz w:val="14"/>
                <w:szCs w:val="14"/>
                <w:color w:val="auto"/>
              </w:rPr>
              <w:t>Anthony J. Gaeta</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8,400</w:t>
            </w:r>
          </w:p>
        </w:tc>
        <w:tc>
          <w:tcPr>
            <w:tcW w:w="2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gridSpan w:val="2"/>
          </w:tcPr>
          <w:p>
            <w:pPr>
              <w:ind w:left="200"/>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3,474</w:t>
            </w:r>
          </w:p>
        </w:tc>
        <w:tc>
          <w:tcPr>
            <w:tcW w:w="22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80"/>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80"/>
              <w:spacing w:after="0" w:line="156"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11,874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Brian S. Reaves</w:t>
            </w:r>
          </w:p>
        </w:tc>
        <w:tc>
          <w:tcPr>
            <w:tcW w:w="140" w:type="dxa"/>
            <w:vAlign w:val="bottom"/>
            <w:shd w:val="clear" w:color="auto" w:fill="CFF0FC"/>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5,654</w:t>
            </w:r>
          </w:p>
        </w:tc>
        <w:tc>
          <w:tcPr>
            <w:tcW w:w="26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289,156</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line="156" w:lineRule="exact"/>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3,536</w:t>
            </w:r>
          </w:p>
        </w:tc>
        <w:tc>
          <w:tcPr>
            <w:tcW w:w="280" w:type="dxa"/>
            <w:vAlign w:val="bottom"/>
            <w:gridSpan w:val="2"/>
            <w:shd w:val="clear" w:color="auto" w:fill="CFF0FC"/>
          </w:tcPr>
          <w:p>
            <w:pPr>
              <w:ind w:left="200"/>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3,259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18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ind w:left="280"/>
              <w:spacing w:after="0" w:line="156"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301,605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00" w:type="dxa"/>
            <w:vAlign w:val="bottom"/>
            <w:gridSpan w:val="2"/>
          </w:tcPr>
          <w:p>
            <w:pPr>
              <w:spacing w:after="0"/>
              <w:rPr>
                <w:sz w:val="20"/>
                <w:szCs w:val="20"/>
                <w:color w:val="auto"/>
              </w:rPr>
            </w:pPr>
            <w:r>
              <w:rPr>
                <w:rFonts w:ascii="Arial" w:cs="Arial" w:eastAsia="Arial" w:hAnsi="Arial"/>
                <w:sz w:val="14"/>
                <w:szCs w:val="14"/>
                <w:color w:val="auto"/>
              </w:rPr>
              <w:t>James S. Davey</w:t>
            </w:r>
          </w:p>
        </w:tc>
        <w:tc>
          <w:tcPr>
            <w:tcW w:w="140" w:type="dxa"/>
            <w:vAlign w:val="bottom"/>
          </w:tcPr>
          <w:p>
            <w:pPr>
              <w:jc w:val="right"/>
              <w:ind w:right="26"/>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3,715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269,467</w:t>
            </w:r>
          </w:p>
        </w:tc>
        <w:tc>
          <w:tcPr>
            <w:tcW w:w="16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6,725</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2,122</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282,029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740" w:right="140" w:hanging="371"/>
        <w:spacing w:after="0" w:line="295"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Reaves’ employment was terminated on October 4, 2019. Severance included (i) a cash payment of $250,000 to be paid bi-weekly over 6 months, (ii) $942 of accrued vacation and (iii) a cash payment of $38,214 for his pro-rated participation in the Company’s annual incentive plan. Severance excluded the value of $81,827 for 51,789 RSUs which vested on a pro-rated basis pursuant to the Company’s long-term incentive plans.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Mr. Davey’s employment was terminated on July 11, 2019. Severance included (i) a cash payment of $243,750 to be paid bi-weekly over 6.5 months,</w:t>
      </w:r>
    </w:p>
    <w:p>
      <w:pPr>
        <w:spacing w:after="0" w:line="37" w:lineRule="exact"/>
        <w:rPr>
          <w:sz w:val="20"/>
          <w:szCs w:val="20"/>
          <w:color w:val="auto"/>
        </w:rPr>
      </w:pPr>
    </w:p>
    <w:p>
      <w:pPr>
        <w:ind w:left="760" w:right="200" w:hanging="1"/>
        <w:spacing w:after="0" w:line="339" w:lineRule="auto"/>
        <w:tabs>
          <w:tab w:leader="none" w:pos="1015" w:val="left"/>
        </w:tabs>
        <w:numPr>
          <w:ilvl w:val="1"/>
          <w:numId w:val="22"/>
        </w:numPr>
        <w:rPr>
          <w:rFonts w:ascii="Arial" w:cs="Arial" w:eastAsia="Arial" w:hAnsi="Arial"/>
          <w:sz w:val="15"/>
          <w:szCs w:val="15"/>
          <w:color w:val="auto"/>
        </w:rPr>
      </w:pPr>
      <w:r>
        <w:rPr>
          <w:rFonts w:ascii="Arial" w:cs="Arial" w:eastAsia="Arial" w:hAnsi="Arial"/>
          <w:sz w:val="15"/>
          <w:szCs w:val="15"/>
          <w:color w:val="auto"/>
        </w:rPr>
        <w:t>15,343 of accrued vacation and (iii) a cash payment of $10,374 for his pro-rated participation in the Company’s annual incentive plan. Severance excluded the value of $88,366 for 47,003 RSUs which vested on a pro-rated basis pursuant to the Company’s long-term incentive plans.</w:t>
      </w:r>
    </w:p>
    <w:p>
      <w:pPr>
        <w:spacing w:after="0" w:line="125" w:lineRule="exact"/>
        <w:rPr>
          <w:rFonts w:ascii="Arial" w:cs="Arial" w:eastAsia="Arial" w:hAnsi="Arial"/>
          <w:sz w:val="15"/>
          <w:szCs w:val="15"/>
          <w:color w:val="auto"/>
        </w:rPr>
      </w:pPr>
    </w:p>
    <w:p>
      <w:pPr>
        <w:ind w:left="740" w:right="520" w:hanging="371"/>
        <w:spacing w:after="0" w:line="286"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Because a successor CEO had not been hired as of December 31, 2018, Mr. Levin and the Company entered into a letter agreement, whereby Mr. Levin served as Acting CEO from the period of January 1, 2019 through April 1, 2019.</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CEO Pay Ratio</w:t>
      </w:r>
    </w:p>
    <w:p>
      <w:pPr>
        <w:spacing w:after="0" w:line="22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As required by Section 953(b) of the Dodd-Frank Wall Street Reform and Consumer Protection Act, the Company is providing the following information about the relationship between the annual total compensation of the Company’s employees and the annual</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340"/>
          </w:cols>
          <w:pgMar w:left="320" w:top="442" w:right="239" w:bottom="1440" w:gutter="0" w:footer="0" w:header="0"/>
        </w:sectPr>
      </w:pPr>
    </w:p>
    <w:bookmarkStart w:id="18" w:name="page19"/>
    <w:bookmarkEnd w:id="18"/>
    <w:p>
      <w:pPr>
        <w:ind w:right="260"/>
        <w:spacing w:after="0" w:line="286" w:lineRule="auto"/>
        <w:rPr>
          <w:sz w:val="20"/>
          <w:szCs w:val="20"/>
          <w:color w:val="auto"/>
        </w:rPr>
      </w:pPr>
      <w:r>
        <w:rPr>
          <w:rFonts w:ascii="Arial" w:cs="Arial" w:eastAsia="Arial" w:hAnsi="Arial"/>
          <w:sz w:val="17"/>
          <w:szCs w:val="17"/>
          <w:color w:val="auto"/>
        </w:rPr>
        <w:t>total compensation of the Company’s CEO. Our CEO-to-employee pay ratio has been calculated in accordance with Item 402(u) of Regulation S-K under the Exchange Act.</w:t>
      </w:r>
    </w:p>
    <w:p>
      <w:pPr>
        <w:spacing w:after="0" w:line="159" w:lineRule="exact"/>
        <w:rPr>
          <w:sz w:val="20"/>
          <w:szCs w:val="20"/>
          <w:color w:val="auto"/>
        </w:rPr>
      </w:pPr>
    </w:p>
    <w:p>
      <w:pPr>
        <w:ind w:right="240"/>
        <w:spacing w:after="0" w:line="312" w:lineRule="auto"/>
        <w:rPr>
          <w:sz w:val="20"/>
          <w:szCs w:val="20"/>
          <w:color w:val="auto"/>
        </w:rPr>
      </w:pPr>
      <w:r>
        <w:rPr>
          <w:rFonts w:ascii="Arial" w:cs="Arial" w:eastAsia="Arial" w:hAnsi="Arial"/>
          <w:sz w:val="15"/>
          <w:szCs w:val="15"/>
          <w:color w:val="auto"/>
        </w:rPr>
        <w:t>The total annual compensation for our CEO, Mr. Kanter, for fiscal 2019, as shown in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was $3,164,067. This amount included the grant of one-time signing awards, with a grant-date fair value of $1,629,600 in connection with his hiring. The total annual compensation for our median employee was $21,996, calculated using the same methodology as used in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Based on this information, for fiscal 2019 the ratio of the annual total compensation of Mr. Kanter, our CEO, to the median of the annual total compensation of all employees was 144 to 1.</w:t>
      </w:r>
    </w:p>
    <w:p>
      <w:pPr>
        <w:spacing w:after="0" w:line="145" w:lineRule="exact"/>
        <w:rPr>
          <w:sz w:val="20"/>
          <w:szCs w:val="20"/>
          <w:color w:val="auto"/>
        </w:rPr>
      </w:pPr>
    </w:p>
    <w:p>
      <w:pPr>
        <w:jc w:val="both"/>
        <w:ind w:right="40"/>
        <w:spacing w:after="0" w:line="312" w:lineRule="auto"/>
        <w:rPr>
          <w:sz w:val="20"/>
          <w:szCs w:val="20"/>
          <w:color w:val="auto"/>
        </w:rPr>
      </w:pPr>
      <w:r>
        <w:rPr>
          <w:rFonts w:ascii="Arial" w:cs="Arial" w:eastAsia="Arial" w:hAnsi="Arial"/>
          <w:sz w:val="15"/>
          <w:szCs w:val="15"/>
          <w:color w:val="auto"/>
        </w:rPr>
        <w:t>Under Instruction 2 to Item 402(u), the median-paid employee may be identified once every three years if there is no impact to the pay ratio disclosure. As there were no changes in our employee population or to the median-paid employee’s compensation arrangements in fiscal 2019 that would significantly affect the pay ratio disclosure, the employee representing the median-paid employee is the same employee selected for our 2017 disclosure. To identify the median employee in 2017, we evaluated all employees, other than our CEO, employed by the Company as of December 31, 2017 and utilized the following methodology:</w:t>
      </w:r>
    </w:p>
    <w:p>
      <w:pPr>
        <w:spacing w:after="0" w:line="145" w:lineRule="exact"/>
        <w:rPr>
          <w:sz w:val="20"/>
          <w:szCs w:val="20"/>
          <w:color w:val="auto"/>
        </w:rPr>
      </w:pPr>
    </w:p>
    <w:p>
      <w:pPr>
        <w:ind w:left="740" w:right="60" w:hanging="371"/>
        <w:spacing w:after="0" w:line="279"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determined that, as of December 31, 2017, our employee population consisted of approximately 2,729 individuals, with 2,696 of these individuals located in the U.S. and 33 of these individuals located outside the U.S. This population includes our full-time, part-time, and seasonal</w:t>
      </w:r>
    </w:p>
    <w:p>
      <w:pPr>
        <w:spacing w:after="0" w:line="1"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7"/>
          <w:szCs w:val="17"/>
          <w:color w:val="auto"/>
        </w:rPr>
        <w:t>employees. Approximately 59% of our total employee population at December 31, 2017 was considered full-time employees.</w:t>
      </w:r>
    </w:p>
    <w:p>
      <w:pPr>
        <w:spacing w:after="0" w:line="208" w:lineRule="exact"/>
        <w:rPr>
          <w:rFonts w:ascii="Arial" w:cs="Arial" w:eastAsia="Arial" w:hAnsi="Arial"/>
          <w:sz w:val="16"/>
          <w:szCs w:val="16"/>
          <w:color w:val="auto"/>
        </w:rPr>
      </w:pPr>
    </w:p>
    <w:p>
      <w:pPr>
        <w:ind w:left="740" w:right="280" w:hanging="371"/>
        <w:spacing w:after="0" w:line="286"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identify the “median employee” from our employee population, we compared the amount of compensation of our employees as reflected in our payroll records as reported to the Internal Revenue Service on Form W-2 for the year ended December 31, 2017.</w:t>
      </w:r>
    </w:p>
    <w:p>
      <w:pPr>
        <w:spacing w:after="0" w:line="159" w:lineRule="exact"/>
        <w:rPr>
          <w:rFonts w:ascii="Arial" w:cs="Arial" w:eastAsia="Arial" w:hAnsi="Arial"/>
          <w:sz w:val="17"/>
          <w:szCs w:val="17"/>
          <w:color w:val="auto"/>
        </w:rPr>
      </w:pPr>
    </w:p>
    <w:p>
      <w:pPr>
        <w:ind w:left="740" w:hanging="371"/>
        <w:spacing w:after="0" w:line="319"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any permanent full-time or part-time employees, who started employment at the Company during calendar 2017, we annualized the compensation, assuming that those employees worked a full year. We did not annualize compensation for any seasonal or temporary employees.</w:t>
      </w:r>
    </w:p>
    <w:p>
      <w:pPr>
        <w:spacing w:after="0" w:line="136" w:lineRule="exact"/>
        <w:rPr>
          <w:rFonts w:ascii="Arial" w:cs="Arial" w:eastAsia="Arial" w:hAnsi="Arial"/>
          <w:sz w:val="16"/>
          <w:szCs w:val="16"/>
          <w:color w:val="auto"/>
        </w:rPr>
      </w:pPr>
    </w:p>
    <w:p>
      <w:pPr>
        <w:ind w:left="740" w:right="60" w:hanging="371"/>
        <w:spacing w:after="0" w:line="271"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excluded employees located outside of the U.S. under the de minimis exception to the pay ratio rule, which permits exclusion if a company’s non-U.S. employees account for 5% or less of total employees. The jurisdictions and approximate number of employees excluded were Canada (16), United Kingdom (14) and Hong Kong (3).</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Harvey S. Kanter, President, Chief Executive Officer and Director</w:t>
      </w:r>
    </w:p>
    <w:p>
      <w:pPr>
        <w:spacing w:after="0" w:line="22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February 19, 2019, we entered into an employment agreement with Mr. Kanter (the “Employment Agreement”). Pursuant to the terms of the Employment Agreement, Mr. Kanter was appointed President, Chief Executive Officer and a director of the Company effective April 1, 2019. From February 19, 2019 to March 31, 2019, Mr. Kanter served as an Advisor to the Acting CEO. The initial term of the Employment Agreement is three years, ending March 31, 2022 (“Initial Term”), and will automatically renew, upon the same terms and conditions, for successive periods of one year, unless either party terminates in accordance with the terms of the employment agreement. The Employment Agreement provided that Mr. Kanter would receive compensation of $50,000 for the period of February 19, 2019 through March 31, 2019 for his services as an Advisor to the Acting CEO and would receive an annual base salary of $735,000 as President and Chief Executive Officer, effective April 1, 2019, with an annual automobile allowance of $10,000.</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w:t>
      </w:r>
    </w:p>
    <w:p>
      <w:pPr>
        <w:spacing w:after="0"/>
        <w:rPr>
          <w:sz w:val="20"/>
          <w:szCs w:val="20"/>
          <w:color w:val="auto"/>
        </w:rPr>
      </w:pPr>
      <w:r>
        <w:rPr>
          <w:rFonts w:ascii="Arial" w:cs="Arial" w:eastAsia="Arial" w:hAnsi="Arial"/>
          <w:sz w:val="16"/>
          <w:szCs w:val="16"/>
          <w:color w:val="auto"/>
        </w:rPr>
        <w:t>compensation. Maximum payout of performance-based compensation is 150% of target. Mr. Kanter waived his right to participate in the 2018-2020 LTIP.</w:t>
      </w:r>
    </w:p>
    <w:p>
      <w:pPr>
        <w:spacing w:after="0" w:line="220" w:lineRule="exact"/>
        <w:rPr>
          <w:sz w:val="20"/>
          <w:szCs w:val="20"/>
          <w:color w:val="auto"/>
        </w:rPr>
      </w:pPr>
    </w:p>
    <w:p>
      <w:pPr>
        <w:jc w:val="both"/>
        <w:ind w:right="100"/>
        <w:spacing w:after="0" w:line="263" w:lineRule="auto"/>
        <w:rPr>
          <w:sz w:val="20"/>
          <w:szCs w:val="20"/>
          <w:color w:val="auto"/>
        </w:rPr>
      </w:pPr>
      <w:r>
        <w:rPr>
          <w:rFonts w:ascii="Arial" w:cs="Arial" w:eastAsia="Arial" w:hAnsi="Arial"/>
          <w:sz w:val="17"/>
          <w:szCs w:val="17"/>
          <w:color w:val="auto"/>
        </w:rPr>
        <w:t>In connection with his hiring, Mr. Kanter received a housing allowance of $100,000 in April 2019, $50,000 in April 2020 and will receive $50,000 on April 1, 2021. Mr. Kanter also received a one-time grant of 720,000 PSUs on February 19, 2020, which will be settled in shares of the Company’s common stock upon vesting. The PSUs vest in three equal installments, if any, when the Company’s 90-day volume-weighted average closing price of its stock reaches $4.00, $6.00 and $8.00. Any performance shares that are unvested at April 1, 2023 will be forfeited. Mr. Kanter also received a one-time grant of 240,000 RSUs, which vest in four equal annual installments beginning April 1, 2020.</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If Mr. Kanter terminates his employment for Good Reason or the Company terminates his employment without Justifiable Cause:</w:t>
      </w:r>
    </w:p>
    <w:p>
      <w:pPr>
        <w:spacing w:after="0" w:line="221" w:lineRule="exact"/>
        <w:rPr>
          <w:sz w:val="20"/>
          <w:szCs w:val="20"/>
          <w:color w:val="auto"/>
        </w:rPr>
      </w:pPr>
    </w:p>
    <w:p>
      <w:pPr>
        <w:ind w:left="1120" w:right="60" w:hanging="751"/>
        <w:spacing w:after="0" w:line="258" w:lineRule="auto"/>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During the Initial Term, Mr. Kanter will be eligible to receive, subject to certain requirements described in the Employment Agreement, a severance payment equal to (x) the Base Salary he would have been paid through the end of the Initial Term plus (y) bonuses under the Company’s Annual Incentive Plan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3" w:lineRule="exact"/>
        <w:rPr>
          <w:rFonts w:ascii="Arial" w:cs="Arial" w:eastAsia="Arial" w:hAnsi="Arial"/>
          <w:sz w:val="17"/>
          <w:szCs w:val="17"/>
          <w:color w:val="auto"/>
        </w:rPr>
      </w:pPr>
    </w:p>
    <w:p>
      <w:pPr>
        <w:jc w:val="both"/>
        <w:ind w:left="1120" w:right="300" w:hanging="751"/>
        <w:spacing w:after="0" w:line="289" w:lineRule="auto"/>
        <w:tabs>
          <w:tab w:leader="none" w:pos="11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During any one-year period that commences after the end of the Initial Term, Mr. Kanter will be eligible to receive a payment equal to (x) his then current Base Salary plus (y) the then value of his target bonus under the Annual Incentive Plan, payable in 24 monthly installments, and,</w:t>
      </w:r>
    </w:p>
    <w:p>
      <w:pPr>
        <w:spacing w:after="0" w:line="1" w:lineRule="exact"/>
        <w:rPr>
          <w:rFonts w:ascii="Arial" w:cs="Arial" w:eastAsia="Arial" w:hAnsi="Arial"/>
          <w:sz w:val="15"/>
          <w:szCs w:val="15"/>
          <w:color w:val="auto"/>
        </w:rPr>
      </w:pPr>
    </w:p>
    <w:p>
      <w:pPr>
        <w:ind w:left="1120" w:right="300" w:hanging="751"/>
        <w:spacing w:after="0" w:line="263" w:lineRule="auto"/>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 Company timely elects not to renew the Employment Agreement after the Initial Term, Mr. Kanter will be eligible to receive a payment equal to (i) three months of his then current Base Salary plus (ii) the then value of 25% of his target bonus under the Annual Incentive Plan, payable in 24 monthly installments.</w:t>
      </w:r>
    </w:p>
    <w:p>
      <w:pPr>
        <w:spacing w:after="0" w:line="17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If Mr. Kanter’s employment is terminated by him for Good Reason or by the Company without Justifiable Cause during the one-year period following a Change in Control, then Mr. Kanter will be eligible to receive, subject to certain requirements described in the Employment Agreement, a payment equal to (i) two times his then current Base Salary plus (ii) the then value of two times his target bonus under the Annual Incentive Plan, generally payable in a lump sum within 60 days of the termination of his employment following a Change in Control.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Senior Executives</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AIP. For fiscal 2019, Messrs. Stratton, Reaves and Davey participated at a target rate of 55% and Messrs. Molloy, Chane and Gaeta participated at a target rate of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78"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 senior executives would also be entitled to additional payments or acceleration of awards under the AIP and LTIP programs, in accordance with the terms of those plans.</w:t>
      </w:r>
    </w:p>
    <w:p>
      <w:pPr>
        <w:spacing w:after="0" w:line="17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 (i).</w:t>
      </w:r>
    </w:p>
    <w:p>
      <w:pPr>
        <w:spacing w:after="0" w:line="7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Payouts to Former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David A. Levin, Former Acting CEO</w:t>
      </w:r>
    </w:p>
    <w:p>
      <w:pPr>
        <w:spacing w:after="0" w:line="11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Company entered into a Transition Agreement with Mr. Levin in March 2018 (as amended, the “Transition Agreement”). The Transition Agreement modified and supplemented certain terms of Mr. Levin’s Employment Agreement, which was last revised and restated as of November 5, 2009. Pursuant to the Transition Agreement, Mr. Levin’s employment agreement ended December 31,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right="120"/>
        <w:spacing w:after="0" w:line="262" w:lineRule="auto"/>
        <w:rPr>
          <w:sz w:val="20"/>
          <w:szCs w:val="20"/>
          <w:color w:val="auto"/>
        </w:rPr>
      </w:pPr>
      <w:r>
        <w:rPr>
          <w:rFonts w:ascii="Arial" w:cs="Arial" w:eastAsia="Arial" w:hAnsi="Arial"/>
          <w:sz w:val="17"/>
          <w:szCs w:val="17"/>
          <w:color w:val="auto"/>
        </w:rPr>
        <w:t>2019. Under the terms of the Transition Agreement, Mr. Levin continued to serve as President, Chief Executive Officer and a director of the Company until January 1, 2019. As of that date, Mr. Levin resigned as President and Chief Executive Officer and as a director of the Company, but pursuant to the terms of the Transition Agreement, Mr. Levin remained employed by the Company to perform reasonable transition duties or other consulting activities or projects, through December 31, 2019. Accordingly, during for fiscal 2019, Mr. Levin was paid, on a pro-rata basis, his base salary of $811,200 and his annual automobile allowance of $10,000 through December 31, 2019. Mr. Levin was also eligible to participate in the 2019 AIP at a target rate of 100% of his $811,200 base salary.</w:t>
      </w:r>
    </w:p>
    <w:p>
      <w:pPr>
        <w:spacing w:after="0" w:line="7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Because no successor CEO had been hired prior to December 31, 2018, pursuant to a letter agreement between the Company and Mr. Levin. Mr. Levin was compensated for serving as Acting CEO from January 1, 2019 until he resigned on April 1, 2019, at which point, Mr. Kanter assumed the position of President, Chief Executive Officer and a director of the Company.</w:t>
      </w:r>
    </w:p>
    <w:p>
      <w:pPr>
        <w:spacing w:after="0" w:line="6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Mr. Levin will be entitled to receive the cash value of any performance award earned under the 2018-2020 LTIP, based on actual performance results, if and when such targets are achieved. At target, Mr. Levin would be entitled to receive $811,200.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Brian S. Reaves, Former Chief Operating Officer and James S. Davey, Former Chief Marketing Officer</w:t>
      </w:r>
    </w:p>
    <w:p>
      <w:pPr>
        <w:spacing w:after="0" w:line="22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Pursuant to the terms of the employment agreements with Messrs. Reaves and Davey, each were entitled to receive 6 months of base salary and accrued vacation. Under the 2019 AIP plan, each received a pro-rated cash payout based on the then-estimated achievement of the Company’s Corporate and, if applicable, department goals. Messrs. Reaves and Davey also received a pro-rated vesting of time-based awards under the 2017-2018 LTIP and the 2018-2020 LTIP. The amounts paid to Messrs. Reaves and Davey in connection with their terminations are detailed above in the footnotes to the “</w:t>
      </w:r>
      <w:r>
        <w:rPr>
          <w:rFonts w:ascii="Arial" w:cs="Arial" w:eastAsia="Arial" w:hAnsi="Arial"/>
          <w:sz w:val="17"/>
          <w:szCs w:val="17"/>
          <w:i w:val="1"/>
          <w:iCs w:val="1"/>
          <w:color w:val="auto"/>
        </w:rPr>
        <w:t>All Other Compensation</w:t>
      </w:r>
      <w:r>
        <w:rPr>
          <w:rFonts w:ascii="Arial" w:cs="Arial" w:eastAsia="Arial" w:hAnsi="Arial"/>
          <w:sz w:val="17"/>
          <w:szCs w:val="17"/>
          <w:color w:val="auto"/>
        </w:rPr>
        <w:t>” table.</w:t>
      </w:r>
    </w:p>
    <w:p>
      <w:pPr>
        <w:spacing w:after="0" w:line="75" w:lineRule="exact"/>
        <w:rPr>
          <w:sz w:val="20"/>
          <w:szCs w:val="20"/>
          <w:color w:val="auto"/>
        </w:rPr>
      </w:pPr>
    </w:p>
    <w:p>
      <w:pPr>
        <w:jc w:val="both"/>
        <w:ind w:right="180"/>
        <w:spacing w:after="0" w:line="357" w:lineRule="auto"/>
        <w:rPr>
          <w:sz w:val="20"/>
          <w:szCs w:val="20"/>
          <w:color w:val="auto"/>
        </w:rPr>
      </w:pPr>
      <w:r>
        <w:rPr>
          <w:rFonts w:ascii="Arial" w:cs="Arial" w:eastAsia="Arial" w:hAnsi="Arial"/>
          <w:sz w:val="15"/>
          <w:szCs w:val="15"/>
          <w:color w:val="auto"/>
        </w:rPr>
        <w:t>Additionally, Messrs. Reaves and Davey will be entitled to receive, on a pro-rated basis, the cash value of any performance award earned under the 2018-2020 LTIP, if and when such performance targets are achieved. At target, Messrs. Reaves and Davey would be entitled to receive $97,436 and $69,951,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Estimated Potential Payments to Named Executive Officers</w:t>
      </w:r>
    </w:p>
    <w:p>
      <w:pPr>
        <w:spacing w:after="0" w:line="117"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The following table shows the payments that would be made to our current Named Executive Officers assuming a “termination without cause” or a “resignation for good reason” (each a “Qualifying Termination”) or a Qualifying Termination following a Change in Control, as described in the employment agreements, as of February 1, 2020. Messrs. Levin, Reaves and Davey are not included in the below table, as their employment with the Company was terminated during fiscal 2019 and are discussed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shd w:val="clear" w:color="auto" w:fill="CFF0FC"/>
          </w:tcPr>
          <w:p>
            <w:pPr>
              <w:spacing w:after="0"/>
              <w:rPr>
                <w:sz w:val="13"/>
                <w:szCs w:val="13"/>
                <w:color w:val="auto"/>
              </w:rPr>
            </w:pPr>
          </w:p>
        </w:tc>
        <w:tc>
          <w:tcPr>
            <w:tcW w:w="4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80" w:type="dxa"/>
            <w:vAlign w:val="bottom"/>
            <w:gridSpan w:val="3"/>
            <w:vMerge w:val="restart"/>
            <w:shd w:val="clear" w:color="auto" w:fill="CFF0FC"/>
          </w:tcPr>
          <w:p>
            <w:pPr>
              <w:jc w:val="center"/>
              <w:ind w:right="260"/>
              <w:spacing w:after="0"/>
              <w:rPr>
                <w:sz w:val="20"/>
                <w:szCs w:val="20"/>
                <w:color w:val="auto"/>
              </w:rPr>
            </w:pPr>
            <w:r>
              <w:rPr>
                <w:rFonts w:ascii="Arial" w:cs="Arial" w:eastAsia="Arial" w:hAnsi="Arial"/>
                <w:sz w:val="14"/>
                <w:szCs w:val="14"/>
                <w:b w:val="1"/>
                <w:bCs w:val="1"/>
                <w:color w:val="auto"/>
                <w:w w:val="88"/>
              </w:rPr>
              <w:t>Continued Base</w:t>
            </w:r>
          </w:p>
        </w:tc>
        <w:tc>
          <w:tcPr>
            <w:tcW w:w="1400" w:type="dxa"/>
            <w:vAlign w:val="bottom"/>
            <w:gridSpan w:val="3"/>
            <w:vMerge w:val="restart"/>
            <w:shd w:val="clear" w:color="auto" w:fill="CFF0FC"/>
          </w:tcPr>
          <w:p>
            <w:pPr>
              <w:jc w:val="center"/>
              <w:ind w:right="300"/>
              <w:spacing w:after="0"/>
              <w:rPr>
                <w:sz w:val="20"/>
                <w:szCs w:val="20"/>
                <w:color w:val="auto"/>
              </w:rPr>
            </w:pPr>
            <w:r>
              <w:rPr>
                <w:rFonts w:ascii="Arial" w:cs="Arial" w:eastAsia="Arial" w:hAnsi="Arial"/>
                <w:sz w:val="14"/>
                <w:szCs w:val="14"/>
                <w:b w:val="1"/>
                <w:bCs w:val="1"/>
                <w:color w:val="auto"/>
                <w:w w:val="91"/>
              </w:rPr>
              <w:t>Annual Incentive</w:t>
            </w:r>
          </w:p>
        </w:tc>
        <w:tc>
          <w:tcPr>
            <w:tcW w:w="100" w:type="dxa"/>
            <w:vAlign w:val="bottom"/>
            <w:shd w:val="clear" w:color="auto" w:fill="CFF0FC"/>
          </w:tcPr>
          <w:p>
            <w:pPr>
              <w:spacing w:after="0"/>
              <w:rPr>
                <w:sz w:val="13"/>
                <w:szCs w:val="13"/>
                <w:color w:val="auto"/>
              </w:rPr>
            </w:pPr>
          </w:p>
        </w:tc>
        <w:tc>
          <w:tcPr>
            <w:tcW w:w="2420" w:type="dxa"/>
            <w:vAlign w:val="bottom"/>
            <w:gridSpan w:val="5"/>
            <w:shd w:val="clear" w:color="auto" w:fill="CFF0FC"/>
          </w:tcPr>
          <w:p>
            <w:pPr>
              <w:ind w:left="280"/>
              <w:spacing w:after="0"/>
              <w:rPr>
                <w:sz w:val="20"/>
                <w:szCs w:val="20"/>
                <w:color w:val="auto"/>
              </w:rPr>
            </w:pPr>
            <w:r>
              <w:rPr>
                <w:rFonts w:ascii="Arial" w:cs="Arial" w:eastAsia="Arial" w:hAnsi="Arial"/>
                <w:sz w:val="14"/>
                <w:szCs w:val="14"/>
                <w:b w:val="1"/>
                <w:bCs w:val="1"/>
                <w:color w:val="auto"/>
              </w:rPr>
              <w:t>Long-Term Incentive Plan</w:t>
            </w:r>
          </w:p>
        </w:tc>
        <w:tc>
          <w:tcPr>
            <w:tcW w:w="1120" w:type="dxa"/>
            <w:vAlign w:val="bottom"/>
            <w:gridSpan w:val="3"/>
            <w:vMerge w:val="restart"/>
            <w:shd w:val="clear" w:color="auto" w:fill="CFF0FC"/>
          </w:tcPr>
          <w:p>
            <w:pPr>
              <w:jc w:val="center"/>
              <w:ind w:right="100"/>
              <w:spacing w:after="0"/>
              <w:rPr>
                <w:sz w:val="20"/>
                <w:szCs w:val="20"/>
                <w:color w:val="auto"/>
              </w:rPr>
            </w:pPr>
            <w:r>
              <w:rPr>
                <w:rFonts w:ascii="Arial" w:cs="Arial" w:eastAsia="Arial" w:hAnsi="Arial"/>
                <w:sz w:val="14"/>
                <w:szCs w:val="14"/>
                <w:b w:val="1"/>
                <w:bCs w:val="1"/>
                <w:color w:val="auto"/>
                <w:w w:val="89"/>
              </w:rPr>
              <w:t>Total Potential</w:t>
            </w:r>
          </w:p>
        </w:tc>
        <w:tc>
          <w:tcPr>
            <w:tcW w:w="0" w:type="dxa"/>
            <w:vAlign w:val="bottom"/>
          </w:tcPr>
          <w:p>
            <w:pPr>
              <w:spacing w:after="0"/>
              <w:rPr>
                <w:sz w:val="1"/>
                <w:szCs w:val="1"/>
                <w:color w:val="auto"/>
              </w:rPr>
            </w:pPr>
          </w:p>
        </w:tc>
      </w:tr>
      <w:tr>
        <w:trPr>
          <w:trHeight w:val="127"/>
        </w:trPr>
        <w:tc>
          <w:tcPr>
            <w:tcW w:w="3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4"/>
                <w:szCs w:val="14"/>
                <w:b w:val="1"/>
                <w:bCs w:val="1"/>
                <w:color w:val="auto"/>
                <w:w w:val="89"/>
              </w:rPr>
              <w:t>Name</w:t>
            </w:r>
          </w:p>
        </w:tc>
        <w:tc>
          <w:tcPr>
            <w:tcW w:w="4380" w:type="dxa"/>
            <w:vAlign w:val="bottom"/>
            <w:tcBorders>
              <w:top w:val="single" w:sz="8" w:color="CFF0FC"/>
            </w:tcBorders>
            <w:vMerge w:val="restart"/>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80" w:type="dxa"/>
            <w:vAlign w:val="bottom"/>
            <w:tcBorders>
              <w:top w:val="single" w:sz="8" w:color="CFF0FC"/>
            </w:tcBorders>
            <w:gridSpan w:val="3"/>
            <w:vMerge w:val="continue"/>
            <w:shd w:val="clear" w:color="auto" w:fill="CFF0FC"/>
          </w:tcPr>
          <w:p>
            <w:pPr>
              <w:spacing w:after="0"/>
              <w:rPr>
                <w:sz w:val="11"/>
                <w:szCs w:val="11"/>
                <w:color w:val="auto"/>
              </w:rPr>
            </w:pPr>
          </w:p>
        </w:tc>
        <w:tc>
          <w:tcPr>
            <w:tcW w:w="1400" w:type="dxa"/>
            <w:vAlign w:val="bottom"/>
            <w:tcBorders>
              <w:top w:val="single" w:sz="8" w:color="CFF0FC"/>
            </w:tcBorders>
            <w:gridSpan w:val="3"/>
            <w:vMerge w:val="continue"/>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gridSpan w:val="2"/>
            <w:shd w:val="clear" w:color="auto" w:fill="CFF0FC"/>
          </w:tcPr>
          <w:p>
            <w:pPr>
              <w:jc w:val="center"/>
              <w:ind w:right="300"/>
              <w:spacing w:after="0" w:line="127" w:lineRule="exact"/>
              <w:rPr>
                <w:sz w:val="20"/>
                <w:szCs w:val="20"/>
                <w:color w:val="auto"/>
              </w:rPr>
            </w:pPr>
            <w:r>
              <w:rPr>
                <w:rFonts w:ascii="Arial" w:cs="Arial" w:eastAsia="Arial" w:hAnsi="Arial"/>
                <w:sz w:val="14"/>
                <w:szCs w:val="14"/>
                <w:b w:val="1"/>
                <w:bCs w:val="1"/>
                <w:color w:val="auto"/>
                <w:w w:val="88"/>
              </w:rPr>
              <w:t>Time-Based</w:t>
            </w:r>
          </w:p>
        </w:tc>
        <w:tc>
          <w:tcPr>
            <w:tcW w:w="1180" w:type="dxa"/>
            <w:vAlign w:val="bottom"/>
            <w:tcBorders>
              <w:top w:val="single" w:sz="8" w:color="auto"/>
            </w:tcBorders>
            <w:gridSpan w:val="2"/>
            <w:shd w:val="clear" w:color="auto" w:fill="CFF0FC"/>
          </w:tcPr>
          <w:p>
            <w:pPr>
              <w:spacing w:after="0" w:line="127" w:lineRule="exact"/>
              <w:rPr>
                <w:sz w:val="20"/>
                <w:szCs w:val="20"/>
                <w:color w:val="auto"/>
              </w:rPr>
            </w:pPr>
            <w:r>
              <w:rPr>
                <w:rFonts w:ascii="Arial" w:cs="Arial" w:eastAsia="Arial" w:hAnsi="Arial"/>
                <w:sz w:val="14"/>
                <w:szCs w:val="14"/>
                <w:b w:val="1"/>
                <w:bCs w:val="1"/>
                <w:color w:val="auto"/>
                <w:w w:val="87"/>
              </w:rPr>
              <w:t>Performance-Based</w:t>
            </w:r>
          </w:p>
        </w:tc>
        <w:tc>
          <w:tcPr>
            <w:tcW w:w="20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CFF0FC"/>
            </w:tcBorders>
            <w:gridSpan w:val="3"/>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0" w:type="dxa"/>
            <w:vAlign w:val="bottom"/>
            <w:tcBorders>
              <w:bottom w:val="single" w:sz="8" w:color="auto"/>
            </w:tcBorders>
            <w:vMerge w:val="continue"/>
            <w:shd w:val="clear" w:color="auto" w:fill="CFF0FC"/>
          </w:tcPr>
          <w:p>
            <w:pPr>
              <w:spacing w:after="0"/>
              <w:rPr>
                <w:sz w:val="15"/>
                <w:szCs w:val="15"/>
                <w:color w:val="auto"/>
              </w:rPr>
            </w:pPr>
          </w:p>
        </w:tc>
        <w:tc>
          <w:tcPr>
            <w:tcW w:w="4380" w:type="dxa"/>
            <w:vAlign w:val="bottom"/>
            <w:tcBorders>
              <w:bottom w:val="single" w:sz="8" w:color="CFF0FC"/>
            </w:tcBorders>
            <w:vMerge w:val="continue"/>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gridSpan w:val="2"/>
            <w:shd w:val="clear" w:color="auto" w:fill="CFF0FC"/>
          </w:tcPr>
          <w:p>
            <w:pPr>
              <w:jc w:val="center"/>
              <w:ind w:right="440"/>
              <w:spacing w:after="0" w:line="153" w:lineRule="exact"/>
              <w:rPr>
                <w:sz w:val="20"/>
                <w:szCs w:val="20"/>
                <w:color w:val="auto"/>
              </w:rPr>
            </w:pPr>
            <w:r>
              <w:rPr>
                <w:rFonts w:ascii="Arial" w:cs="Arial" w:eastAsia="Arial" w:hAnsi="Arial"/>
                <w:sz w:val="14"/>
                <w:szCs w:val="14"/>
                <w:b w:val="1"/>
                <w:bCs w:val="1"/>
                <w:color w:val="auto"/>
                <w:w w:val="94"/>
              </w:rPr>
              <w:t xml:space="preserve">Salary </w:t>
            </w:r>
            <w:r>
              <w:rPr>
                <w:rFonts w:ascii="Arial" w:cs="Arial" w:eastAsia="Arial" w:hAnsi="Arial"/>
                <w:sz w:val="11"/>
                <w:szCs w:val="11"/>
                <w:b w:val="1"/>
                <w:bCs w:val="1"/>
                <w:color w:val="auto"/>
                <w:w w:val="94"/>
              </w:rPr>
              <w:t>(1)</w:t>
            </w:r>
          </w:p>
        </w:tc>
        <w:tc>
          <w:tcPr>
            <w:tcW w:w="20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gridSpan w:val="2"/>
            <w:shd w:val="clear" w:color="auto" w:fill="CFF0FC"/>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 xml:space="preserve">Plan </w:t>
            </w:r>
            <w:r>
              <w:rPr>
                <w:rFonts w:ascii="Arial" w:cs="Arial" w:eastAsia="Arial" w:hAnsi="Arial"/>
                <w:sz w:val="11"/>
                <w:szCs w:val="11"/>
                <w:b w:val="1"/>
                <w:bCs w:val="1"/>
                <w:color w:val="auto"/>
                <w:w w:val="93"/>
              </w:rPr>
              <w:t>(2)</w:t>
            </w: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 xml:space="preserve">Awards </w:t>
            </w:r>
            <w:r>
              <w:rPr>
                <w:rFonts w:ascii="Arial" w:cs="Arial" w:eastAsia="Arial" w:hAnsi="Arial"/>
                <w:sz w:val="11"/>
                <w:szCs w:val="11"/>
                <w:b w:val="1"/>
                <w:bCs w:val="1"/>
                <w:color w:val="auto"/>
                <w:w w:val="91"/>
              </w:rPr>
              <w:t>(3)</w:t>
            </w:r>
          </w:p>
        </w:tc>
        <w:tc>
          <w:tcPr>
            <w:tcW w:w="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gridSpan w:val="2"/>
            <w:shd w:val="clear" w:color="auto" w:fill="CFF0FC"/>
          </w:tcPr>
          <w:p>
            <w:pPr>
              <w:ind w:left="20"/>
              <w:spacing w:after="0" w:line="153" w:lineRule="exact"/>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1"/>
                <w:szCs w:val="11"/>
                <w:b w:val="1"/>
                <w:bCs w:val="1"/>
                <w:color w:val="auto"/>
              </w:rPr>
              <w:t>(4)</w:t>
            </w:r>
          </w:p>
        </w:tc>
        <w:tc>
          <w:tcPr>
            <w:tcW w:w="1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gridSpan w:val="2"/>
            <w:shd w:val="clear" w:color="auto" w:fill="CFF0FC"/>
          </w:tcPr>
          <w:p>
            <w:pPr>
              <w:jc w:val="center"/>
              <w:ind w:right="240"/>
              <w:spacing w:after="0" w:line="153" w:lineRule="exact"/>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142"/>
        </w:trPr>
        <w:tc>
          <w:tcPr>
            <w:tcW w:w="4740" w:type="dxa"/>
            <w:vAlign w:val="bottom"/>
            <w:gridSpan w:val="2"/>
          </w:tcPr>
          <w:p>
            <w:pPr>
              <w:spacing w:after="0" w:line="143" w:lineRule="exact"/>
              <w:rPr>
                <w:sz w:val="20"/>
                <w:szCs w:val="20"/>
                <w:color w:val="auto"/>
              </w:rPr>
            </w:pPr>
            <w:r>
              <w:rPr>
                <w:rFonts w:ascii="Arial" w:cs="Arial" w:eastAsia="Arial" w:hAnsi="Arial"/>
                <w:sz w:val="14"/>
                <w:szCs w:val="14"/>
                <w:color w:val="auto"/>
              </w:rPr>
              <w:t>Harvey S. Kanter</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ind w:left="240"/>
              <w:spacing w:after="0" w:line="156" w:lineRule="exact"/>
              <w:rPr>
                <w:sz w:val="20"/>
                <w:szCs w:val="20"/>
                <w:color w:val="auto"/>
              </w:rPr>
            </w:pPr>
            <w:r>
              <w:rPr>
                <w:rFonts w:ascii="Arial" w:cs="Arial" w:eastAsia="Arial" w:hAnsi="Arial"/>
                <w:sz w:val="14"/>
                <w:szCs w:val="14"/>
                <w:color w:val="auto"/>
              </w:rPr>
              <w:t>Qualifying Termination</w:t>
            </w:r>
          </w:p>
        </w:tc>
        <w:tc>
          <w:tcPr>
            <w:tcW w:w="340" w:type="dxa"/>
            <w:vAlign w:val="bottom"/>
            <w:gridSpan w:val="2"/>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3,185,000</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435,346</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112,946</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175,639</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3,908,931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Qualifying Termination due to change in control</w:t>
            </w:r>
          </w:p>
        </w:tc>
        <w:tc>
          <w:tcPr>
            <w:tcW w:w="340" w:type="dxa"/>
            <w:vAlign w:val="bottom"/>
            <w:gridSpan w:val="2"/>
          </w:tcPr>
          <w:p>
            <w:pPr>
              <w:jc w:val="right"/>
              <w:ind w:right="11"/>
              <w:spacing w:after="0" w:line="151"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1" w:lineRule="exact"/>
              <w:rPr>
                <w:sz w:val="20"/>
                <w:szCs w:val="20"/>
                <w:color w:val="auto"/>
              </w:rPr>
            </w:pPr>
            <w:r>
              <w:rPr>
                <w:rFonts w:ascii="Arial" w:cs="Arial" w:eastAsia="Arial" w:hAnsi="Arial"/>
                <w:sz w:val="14"/>
                <w:szCs w:val="14"/>
                <w:color w:val="auto"/>
              </w:rPr>
              <w:t>2,205,000</w:t>
            </w:r>
          </w:p>
        </w:tc>
        <w:tc>
          <w:tcPr>
            <w:tcW w:w="260" w:type="dxa"/>
            <w:vAlign w:val="bottom"/>
          </w:tcPr>
          <w:p>
            <w:pPr>
              <w:spacing w:after="0"/>
              <w:rPr>
                <w:sz w:val="13"/>
                <w:szCs w:val="13"/>
                <w:color w:val="auto"/>
              </w:rPr>
            </w:pPr>
          </w:p>
        </w:tc>
        <w:tc>
          <w:tcPr>
            <w:tcW w:w="200" w:type="dxa"/>
            <w:vAlign w:val="bottom"/>
          </w:tcPr>
          <w:p>
            <w:pPr>
              <w:jc w:val="right"/>
              <w:ind w:right="51"/>
              <w:spacing w:after="0" w:line="151"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auto"/>
              </w:rPr>
              <w:t>435,346</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51" w:lineRule="exact"/>
              <w:rPr>
                <w:sz w:val="20"/>
                <w:szCs w:val="20"/>
                <w:color w:val="auto"/>
              </w:rPr>
            </w:pPr>
            <w:r>
              <w:rPr>
                <w:rFonts w:ascii="Arial" w:cs="Arial" w:eastAsia="Arial" w:hAnsi="Arial"/>
                <w:sz w:val="14"/>
                <w:szCs w:val="14"/>
                <w:color w:val="auto"/>
              </w:rPr>
              <w:t>112,946</w:t>
            </w:r>
          </w:p>
        </w:tc>
        <w:tc>
          <w:tcPr>
            <w:tcW w:w="1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51" w:lineRule="exact"/>
              <w:rPr>
                <w:sz w:val="20"/>
                <w:szCs w:val="20"/>
                <w:color w:val="auto"/>
              </w:rPr>
            </w:pPr>
            <w:r>
              <w:rPr>
                <w:rFonts w:ascii="Arial" w:cs="Arial" w:eastAsia="Arial" w:hAnsi="Arial"/>
                <w:sz w:val="14"/>
                <w:szCs w:val="14"/>
                <w:color w:val="auto"/>
              </w:rPr>
              <w:t>175,639</w:t>
            </w:r>
          </w:p>
        </w:tc>
        <w:tc>
          <w:tcPr>
            <w:tcW w:w="200" w:type="dxa"/>
            <w:vAlign w:val="bottom"/>
          </w:tcPr>
          <w:p>
            <w:pPr>
              <w:spacing w:after="0"/>
              <w:rPr>
                <w:sz w:val="13"/>
                <w:szCs w:val="13"/>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1" w:lineRule="exact"/>
              <w:rPr>
                <w:sz w:val="20"/>
                <w:szCs w:val="20"/>
                <w:color w:val="auto"/>
              </w:rPr>
            </w:pPr>
            <w:r>
              <w:rPr>
                <w:rFonts w:ascii="Arial" w:cs="Arial" w:eastAsia="Arial" w:hAnsi="Arial"/>
                <w:sz w:val="14"/>
                <w:szCs w:val="14"/>
                <w:color w:val="auto"/>
              </w:rPr>
              <w:t>2,928,931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Arial" w:cs="Arial" w:eastAsia="Arial" w:hAnsi="Arial"/>
                <w:sz w:val="14"/>
                <w:szCs w:val="14"/>
                <w:color w:val="auto"/>
              </w:rPr>
              <w:t>Peter H. Stratton, Jr.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ind w:left="240"/>
              <w:spacing w:after="0" w:line="156" w:lineRule="exact"/>
              <w:rPr>
                <w:sz w:val="20"/>
                <w:szCs w:val="20"/>
                <w:color w:val="auto"/>
              </w:rPr>
            </w:pPr>
            <w:r>
              <w:rPr>
                <w:rFonts w:ascii="Arial" w:cs="Arial" w:eastAsia="Arial" w:hAnsi="Arial"/>
                <w:sz w:val="14"/>
                <w:szCs w:val="14"/>
                <w:color w:val="auto"/>
              </w:rPr>
              <w:t>Qualifying Termination</w:t>
            </w:r>
          </w:p>
        </w:tc>
        <w:tc>
          <w:tcPr>
            <w:tcW w:w="340" w:type="dxa"/>
            <w:vAlign w:val="bottom"/>
            <w:gridSpan w:val="2"/>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197,500</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108,625</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65,429</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138,250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509,804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Qualifying Termination due to change in control</w:t>
            </w:r>
          </w:p>
        </w:tc>
        <w:tc>
          <w:tcPr>
            <w:tcW w:w="34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395,000</w:t>
            </w:r>
          </w:p>
        </w:tc>
        <w:tc>
          <w:tcPr>
            <w:tcW w:w="260" w:type="dxa"/>
            <w:vAlign w:val="bottom"/>
          </w:tcPr>
          <w:p>
            <w:pPr>
              <w:spacing w:after="0"/>
              <w:rPr>
                <w:sz w:val="13"/>
                <w:szCs w:val="13"/>
                <w:color w:val="auto"/>
              </w:rPr>
            </w:pPr>
          </w:p>
        </w:tc>
        <w:tc>
          <w:tcPr>
            <w:tcW w:w="200" w:type="dxa"/>
            <w:vAlign w:val="bottom"/>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108,625</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65,429</w:t>
            </w:r>
          </w:p>
        </w:tc>
        <w:tc>
          <w:tcPr>
            <w:tcW w:w="1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138,250</w:t>
            </w:r>
          </w:p>
        </w:tc>
        <w:tc>
          <w:tcPr>
            <w:tcW w:w="20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707,304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Robert S. Molloy</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Qualifying Termination</w:t>
            </w:r>
          </w:p>
        </w:tc>
        <w:tc>
          <w:tcPr>
            <w:tcW w:w="34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187,500</w:t>
            </w:r>
          </w:p>
        </w:tc>
        <w:tc>
          <w:tcPr>
            <w:tcW w:w="260" w:type="dxa"/>
            <w:vAlign w:val="bottom"/>
          </w:tcPr>
          <w:p>
            <w:pPr>
              <w:spacing w:after="0"/>
              <w:rPr>
                <w:sz w:val="13"/>
                <w:szCs w:val="13"/>
                <w:color w:val="auto"/>
              </w:rPr>
            </w:pPr>
          </w:p>
        </w:tc>
        <w:tc>
          <w:tcPr>
            <w:tcW w:w="200" w:type="dxa"/>
            <w:vAlign w:val="bottom"/>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75,000</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69,552</w:t>
            </w:r>
          </w:p>
        </w:tc>
        <w:tc>
          <w:tcPr>
            <w:tcW w:w="1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131,250</w:t>
            </w:r>
          </w:p>
        </w:tc>
        <w:tc>
          <w:tcPr>
            <w:tcW w:w="20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463,302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ind w:left="240"/>
              <w:spacing w:after="0" w:line="156" w:lineRule="exact"/>
              <w:rPr>
                <w:sz w:val="20"/>
                <w:szCs w:val="20"/>
                <w:color w:val="auto"/>
              </w:rPr>
            </w:pPr>
            <w:r>
              <w:rPr>
                <w:rFonts w:ascii="Arial" w:cs="Arial" w:eastAsia="Arial" w:hAnsi="Arial"/>
                <w:sz w:val="14"/>
                <w:szCs w:val="14"/>
                <w:color w:val="auto"/>
              </w:rPr>
              <w:t>Qualifying Termination due to change in control</w:t>
            </w:r>
          </w:p>
        </w:tc>
        <w:tc>
          <w:tcPr>
            <w:tcW w:w="340" w:type="dxa"/>
            <w:vAlign w:val="bottom"/>
            <w:gridSpan w:val="2"/>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375,000</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75,000</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69,552</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131,250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650,802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6" w:lineRule="exact"/>
              <w:rPr>
                <w:sz w:val="20"/>
                <w:szCs w:val="20"/>
                <w:color w:val="auto"/>
              </w:rPr>
            </w:pPr>
            <w:r>
              <w:rPr>
                <w:rFonts w:ascii="Arial" w:cs="Arial" w:eastAsia="Arial" w:hAnsi="Arial"/>
                <w:sz w:val="14"/>
                <w:szCs w:val="14"/>
                <w:color w:val="auto"/>
              </w:rPr>
              <w:t>Francis C. Chane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ind w:left="240"/>
              <w:spacing w:after="0" w:line="156" w:lineRule="exact"/>
              <w:rPr>
                <w:sz w:val="20"/>
                <w:szCs w:val="20"/>
                <w:color w:val="auto"/>
              </w:rPr>
            </w:pPr>
            <w:r>
              <w:rPr>
                <w:rFonts w:ascii="Arial" w:cs="Arial" w:eastAsia="Arial" w:hAnsi="Arial"/>
                <w:sz w:val="14"/>
                <w:szCs w:val="14"/>
                <w:color w:val="auto"/>
              </w:rPr>
              <w:t>Qualifying Termination</w:t>
            </w:r>
          </w:p>
        </w:tc>
        <w:tc>
          <w:tcPr>
            <w:tcW w:w="340" w:type="dxa"/>
            <w:vAlign w:val="bottom"/>
            <w:gridSpan w:val="2"/>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145,000</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63,440</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51,768</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100,333</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360,541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Qualifying Termination due to change in control</w:t>
            </w:r>
          </w:p>
        </w:tc>
        <w:tc>
          <w:tcPr>
            <w:tcW w:w="34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290,000</w:t>
            </w:r>
          </w:p>
        </w:tc>
        <w:tc>
          <w:tcPr>
            <w:tcW w:w="260" w:type="dxa"/>
            <w:vAlign w:val="bottom"/>
          </w:tcPr>
          <w:p>
            <w:pPr>
              <w:spacing w:after="0"/>
              <w:rPr>
                <w:sz w:val="13"/>
                <w:szCs w:val="13"/>
                <w:color w:val="auto"/>
              </w:rPr>
            </w:pPr>
          </w:p>
        </w:tc>
        <w:tc>
          <w:tcPr>
            <w:tcW w:w="200" w:type="dxa"/>
            <w:vAlign w:val="bottom"/>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63,440</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51,768</w:t>
            </w:r>
          </w:p>
        </w:tc>
        <w:tc>
          <w:tcPr>
            <w:tcW w:w="1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100,333</w:t>
            </w:r>
          </w:p>
        </w:tc>
        <w:tc>
          <w:tcPr>
            <w:tcW w:w="20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505,541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spacing w:after="0" w:line="156" w:lineRule="exact"/>
              <w:rPr>
                <w:sz w:val="20"/>
                <w:szCs w:val="20"/>
                <w:color w:val="auto"/>
              </w:rPr>
            </w:pPr>
            <w:r>
              <w:rPr>
                <w:rFonts w:ascii="Arial" w:cs="Arial" w:eastAsia="Arial" w:hAnsi="Arial"/>
                <w:sz w:val="14"/>
                <w:szCs w:val="14"/>
                <w:color w:val="auto"/>
              </w:rPr>
              <w:t>Anthony J. Gaeta</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Qualifying Termination</w:t>
            </w:r>
          </w:p>
        </w:tc>
        <w:tc>
          <w:tcPr>
            <w:tcW w:w="340" w:type="dxa"/>
            <w:vAlign w:val="bottom"/>
            <w:gridSpan w:val="2"/>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147,500</w:t>
            </w:r>
          </w:p>
        </w:tc>
        <w:tc>
          <w:tcPr>
            <w:tcW w:w="260" w:type="dxa"/>
            <w:vAlign w:val="bottom"/>
          </w:tcPr>
          <w:p>
            <w:pPr>
              <w:spacing w:after="0"/>
              <w:rPr>
                <w:sz w:val="13"/>
                <w:szCs w:val="13"/>
                <w:color w:val="auto"/>
              </w:rPr>
            </w:pPr>
          </w:p>
        </w:tc>
        <w:tc>
          <w:tcPr>
            <w:tcW w:w="200" w:type="dxa"/>
            <w:vAlign w:val="bottom"/>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6" w:lineRule="exact"/>
              <w:rPr>
                <w:sz w:val="20"/>
                <w:szCs w:val="20"/>
                <w:color w:val="auto"/>
              </w:rPr>
            </w:pPr>
            <w:r>
              <w:rPr>
                <w:rFonts w:ascii="Arial" w:cs="Arial" w:eastAsia="Arial" w:hAnsi="Arial"/>
                <w:sz w:val="14"/>
                <w:szCs w:val="14"/>
                <w:color w:val="auto"/>
              </w:rPr>
              <w:t>43,176</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54,115</w:t>
            </w:r>
          </w:p>
        </w:tc>
        <w:tc>
          <w:tcPr>
            <w:tcW w:w="1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56" w:lineRule="exact"/>
              <w:rPr>
                <w:sz w:val="20"/>
                <w:szCs w:val="20"/>
                <w:color w:val="auto"/>
              </w:rPr>
            </w:pPr>
            <w:r>
              <w:rPr>
                <w:rFonts w:ascii="Arial" w:cs="Arial" w:eastAsia="Arial" w:hAnsi="Arial"/>
                <w:sz w:val="14"/>
                <w:szCs w:val="14"/>
                <w:color w:val="auto"/>
              </w:rPr>
              <w:t>100,917</w:t>
            </w:r>
          </w:p>
        </w:tc>
        <w:tc>
          <w:tcPr>
            <w:tcW w:w="20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345,708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gridSpan w:val="2"/>
            <w:shd w:val="clear" w:color="auto" w:fill="CFF0FC"/>
          </w:tcPr>
          <w:p>
            <w:pPr>
              <w:ind w:left="240"/>
              <w:spacing w:after="0" w:line="156" w:lineRule="exact"/>
              <w:rPr>
                <w:sz w:val="20"/>
                <w:szCs w:val="20"/>
                <w:color w:val="auto"/>
              </w:rPr>
            </w:pPr>
            <w:r>
              <w:rPr>
                <w:rFonts w:ascii="Arial" w:cs="Arial" w:eastAsia="Arial" w:hAnsi="Arial"/>
                <w:sz w:val="14"/>
                <w:szCs w:val="14"/>
                <w:color w:val="auto"/>
              </w:rPr>
              <w:t>Qualifying Termination due to change in control</w:t>
            </w:r>
          </w:p>
        </w:tc>
        <w:tc>
          <w:tcPr>
            <w:tcW w:w="340" w:type="dxa"/>
            <w:vAlign w:val="bottom"/>
            <w:gridSpan w:val="2"/>
            <w:shd w:val="clear" w:color="auto" w:fill="CFF0FC"/>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295,000</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1"/>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43,176</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54,115</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100,917</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493,208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740" w:right="80" w:hanging="371"/>
        <w:spacing w:after="0" w:line="271" w:lineRule="auto"/>
        <w:tabs>
          <w:tab w:leader="none" w:pos="7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Because Mr. Kanter is in the Initial Term of his Employment Agreement, for a Qualifying Termination, Mr. Kanter is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53" w:lineRule="exact"/>
        <w:rPr>
          <w:rFonts w:ascii="Arial" w:cs="Arial" w:eastAsia="Arial" w:hAnsi="Arial"/>
          <w:sz w:val="12"/>
          <w:szCs w:val="12"/>
          <w:color w:val="auto"/>
        </w:rPr>
      </w:pPr>
    </w:p>
    <w:p>
      <w:pPr>
        <w:ind w:left="740" w:hanging="371"/>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amounts represent the actual incentive earned for 2019 AIP.</w:t>
      </w:r>
    </w:p>
    <w:p>
      <w:pPr>
        <w:spacing w:after="0" w:line="86" w:lineRule="exact"/>
        <w:rPr>
          <w:rFonts w:ascii="Arial" w:cs="Arial" w:eastAsia="Arial" w:hAnsi="Arial"/>
          <w:sz w:val="14"/>
          <w:szCs w:val="14"/>
          <w:color w:val="auto"/>
        </w:rPr>
      </w:pPr>
    </w:p>
    <w:p>
      <w:pPr>
        <w:ind w:left="740" w:right="20" w:hanging="371"/>
        <w:spacing w:after="0"/>
        <w:tabs>
          <w:tab w:leader="none" w:pos="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Time-based awards under our LTIPs represent time-based RSUs under our 2017-2018 LTIP, 2018-2020 LTIP and 2019-2021 LTIP. Because the respective performance period for the 2017-2018 LTIP is complete, all outstanding awards become fully vested under both a Qualifying Termination and Qualifying Termination due to a change in control. Because the 2018-2020 LTIP will have completed its second year of its performance period and the 2019-2021 LTIP will have completed its first year of its performance period, each participant would vest in shares based on a pro-rata vesting percentage, which is calculated based on the number of effective days of participation over the total number of days in the performance period. Mr. Kanter would also be entitled to receive a pro-rata vesting of his 240,000 RSUs which were granted to him in connection with his hiring.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1" w:name="page22"/>
    <w:bookmarkEnd w:id="21"/>
    <w:p>
      <w:pPr>
        <w:ind w:left="740" w:right="140" w:hanging="371"/>
        <w:spacing w:after="0"/>
        <w:tabs>
          <w:tab w:leader="none" w:pos="7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Because the performance periods for the 2018-2020 LTIP and the 2019-2021 LTIP were not complete as of February 1, 2020, for a Qualifying Termination, each participant would be entitled to receive a pro-rated vesting percentage, at the end of the performance period for each of the respective LTIPs based on the actual performance level achieved. The above table assumes actual performance level achieved is target. For a Qualifying Termination due to a change in control, each participant would be entitled to receive a pro-rated vesting percentage, at the date of the change in control at target. Mr. Kanter’s PSUs would forfeit unexercised unless if, during the following thirty-days after his termination, a performance target is achieved he would be entitled to any unvested PSUs that would have vested if he had not been terminated.</w:t>
      </w:r>
    </w:p>
    <w:p>
      <w:pPr>
        <w:spacing w:after="0" w:line="73" w:lineRule="exact"/>
        <w:rPr>
          <w:rFonts w:ascii="Arial" w:cs="Arial" w:eastAsia="Arial" w:hAnsi="Arial"/>
          <w:sz w:val="13"/>
          <w:szCs w:val="13"/>
          <w:color w:val="auto"/>
        </w:rPr>
      </w:pPr>
    </w:p>
    <w:p>
      <w:pPr>
        <w:ind w:left="740" w:hanging="371"/>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outstanding time-based awards were valued using the closing stock price of our stock on January 31, 2020 of $1.11 per share.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Clawback Policy</w:t>
      </w:r>
    </w:p>
    <w:p>
      <w:pPr>
        <w:spacing w:after="0" w:line="22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66"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In addition, in August 2018, our Compensation Committee approved a clawback policy that will require our NEOs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 xml:space="preserve">Grants of Plan-Based Awards. </w:t>
      </w:r>
      <w:r>
        <w:rPr>
          <w:rFonts w:ascii="Arial" w:cs="Arial" w:eastAsia="Arial" w:hAnsi="Arial"/>
          <w:sz w:val="17"/>
          <w:szCs w:val="17"/>
          <w:color w:val="auto"/>
        </w:rPr>
        <w:t>The following table sets forth certain information with respect to plan-based awards granted to the Named Executive Officers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fiscal 2019.</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Gr</w:t>
            </w:r>
          </w:p>
        </w:tc>
      </w:tr>
      <w:tr>
        <w:trPr>
          <w:trHeight w:val="130"/>
        </w:trPr>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8"/>
              </w:rPr>
              <w:t>All Other</w:t>
            </w:r>
          </w:p>
        </w:tc>
        <w:tc>
          <w:tcPr>
            <w:tcW w:w="8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8"/>
              </w:rPr>
              <w:t>All Other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D</w:t>
            </w:r>
          </w:p>
        </w:tc>
      </w:tr>
      <w:tr>
        <w:trPr>
          <w:trHeight w:val="130"/>
        </w:trPr>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1"/>
              </w:rPr>
              <w:t>Stock</w:t>
            </w:r>
          </w:p>
        </w:tc>
        <w:tc>
          <w:tcPr>
            <w:tcW w:w="8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8"/>
              </w:rPr>
              <w:t>Option</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4"/>
              </w:rPr>
              <w:t>Exercise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F</w:t>
            </w:r>
          </w:p>
        </w:tc>
      </w:tr>
      <w:tr>
        <w:trPr>
          <w:trHeight w:val="130"/>
        </w:trPr>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40"/>
              <w:spacing w:after="0" w:line="130" w:lineRule="exact"/>
              <w:rPr>
                <w:sz w:val="20"/>
                <w:szCs w:val="20"/>
                <w:color w:val="auto"/>
              </w:rPr>
            </w:pPr>
            <w:r>
              <w:rPr>
                <w:rFonts w:ascii="Arial" w:cs="Arial" w:eastAsia="Arial" w:hAnsi="Arial"/>
                <w:sz w:val="12"/>
                <w:szCs w:val="12"/>
                <w:b w:val="1"/>
                <w:bCs w:val="1"/>
                <w:color w:val="auto"/>
                <w:w w:val="92"/>
              </w:rPr>
              <w:t>Awards:</w:t>
            </w:r>
          </w:p>
        </w:tc>
        <w:tc>
          <w:tcPr>
            <w:tcW w:w="8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8"/>
              </w:rPr>
              <w:t>Awards:</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6"/>
              </w:rPr>
              <w:t>or Base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spacing w:after="0" w:line="130" w:lineRule="exact"/>
              <w:rPr>
                <w:sz w:val="20"/>
                <w:szCs w:val="20"/>
                <w:color w:val="auto"/>
              </w:rPr>
            </w:pPr>
            <w:r>
              <w:rPr>
                <w:rFonts w:ascii="Arial" w:cs="Arial" w:eastAsia="Arial" w:hAnsi="Arial"/>
                <w:sz w:val="12"/>
                <w:szCs w:val="12"/>
                <w:b w:val="1"/>
                <w:bCs w:val="1"/>
                <w:color w:val="auto"/>
                <w:w w:val="99"/>
              </w:rPr>
              <w:t>Val</w:t>
            </w:r>
          </w:p>
        </w:tc>
      </w:tr>
      <w:tr>
        <w:trPr>
          <w:trHeight w:val="130"/>
        </w:trPr>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7"/>
          </w:tcPr>
          <w:p>
            <w:pPr>
              <w:jc w:val="center"/>
              <w:ind w:right="99"/>
              <w:spacing w:after="0" w:line="130" w:lineRule="exact"/>
              <w:rPr>
                <w:sz w:val="20"/>
                <w:szCs w:val="20"/>
                <w:color w:val="auto"/>
              </w:rPr>
            </w:pPr>
            <w:r>
              <w:rPr>
                <w:rFonts w:ascii="Arial" w:cs="Arial" w:eastAsia="Arial" w:hAnsi="Arial"/>
                <w:sz w:val="12"/>
                <w:szCs w:val="12"/>
                <w:b w:val="1"/>
                <w:bCs w:val="1"/>
                <w:color w:val="auto"/>
                <w:w w:val="91"/>
              </w:rPr>
              <w:t>Estimated Future Payouts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8"/>
          </w:tcPr>
          <w:p>
            <w:pPr>
              <w:jc w:val="center"/>
              <w:ind w:right="260"/>
              <w:spacing w:after="0" w:line="130" w:lineRule="exact"/>
              <w:rPr>
                <w:sz w:val="20"/>
                <w:szCs w:val="20"/>
                <w:color w:val="auto"/>
              </w:rPr>
            </w:pPr>
            <w:r>
              <w:rPr>
                <w:rFonts w:ascii="Arial" w:cs="Arial" w:eastAsia="Arial" w:hAnsi="Arial"/>
                <w:sz w:val="12"/>
                <w:szCs w:val="12"/>
                <w:b w:val="1"/>
                <w:bCs w:val="1"/>
                <w:color w:val="auto"/>
                <w:w w:val="90"/>
              </w:rPr>
              <w:t>Estimated Future Payouts</w:t>
            </w:r>
          </w:p>
        </w:tc>
        <w:tc>
          <w:tcPr>
            <w:tcW w:w="740" w:type="dxa"/>
            <w:vAlign w:val="bottom"/>
            <w:gridSpan w:val="2"/>
          </w:tcPr>
          <w:p>
            <w:pPr>
              <w:jc w:val="center"/>
              <w:ind w:right="140"/>
              <w:spacing w:after="0" w:line="130" w:lineRule="exact"/>
              <w:rPr>
                <w:sz w:val="20"/>
                <w:szCs w:val="20"/>
                <w:color w:val="auto"/>
              </w:rPr>
            </w:pPr>
            <w:r>
              <w:rPr>
                <w:rFonts w:ascii="Arial" w:cs="Arial" w:eastAsia="Arial" w:hAnsi="Arial"/>
                <w:sz w:val="12"/>
                <w:szCs w:val="12"/>
                <w:b w:val="1"/>
                <w:bCs w:val="1"/>
                <w:color w:val="auto"/>
                <w:w w:val="96"/>
              </w:rPr>
              <w:t>Number</w:t>
            </w:r>
          </w:p>
        </w:tc>
        <w:tc>
          <w:tcPr>
            <w:tcW w:w="8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6"/>
              </w:rPr>
              <w:t>Number of</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8"/>
              </w:rPr>
              <w:t>Price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St</w:t>
            </w:r>
          </w:p>
        </w:tc>
      </w:tr>
      <w:tr>
        <w:trPr>
          <w:trHeight w:val="130"/>
        </w:trPr>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4"/>
              </w:rPr>
              <w:t>Under Non-Equity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3"/>
              </w:rPr>
              <w:t>Under Equity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40"/>
              <w:spacing w:after="0" w:line="130" w:lineRule="exact"/>
              <w:rPr>
                <w:sz w:val="20"/>
                <w:szCs w:val="20"/>
                <w:color w:val="auto"/>
              </w:rPr>
            </w:pPr>
            <w:r>
              <w:rPr>
                <w:rFonts w:ascii="Arial" w:cs="Arial" w:eastAsia="Arial" w:hAnsi="Arial"/>
                <w:sz w:val="12"/>
                <w:szCs w:val="12"/>
                <w:b w:val="1"/>
                <w:bCs w:val="1"/>
                <w:color w:val="auto"/>
                <w:w w:val="87"/>
              </w:rPr>
              <w:t>of Shares</w:t>
            </w:r>
          </w:p>
        </w:tc>
        <w:tc>
          <w:tcPr>
            <w:tcW w:w="8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7"/>
              </w:rPr>
              <w:t>Securities</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a</w:t>
            </w:r>
          </w:p>
        </w:tc>
      </w:tr>
      <w:tr>
        <w:trPr>
          <w:trHeight w:val="148"/>
        </w:trPr>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Service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6"/>
          </w:tcPr>
          <w:p>
            <w:pPr>
              <w:jc w:val="right"/>
              <w:spacing w:after="0"/>
              <w:rPr>
                <w:sz w:val="20"/>
                <w:szCs w:val="20"/>
                <w:color w:val="auto"/>
              </w:rPr>
            </w:pPr>
            <w:r>
              <w:rPr>
                <w:rFonts w:ascii="Arial" w:cs="Arial" w:eastAsia="Arial" w:hAnsi="Arial"/>
                <w:sz w:val="12"/>
                <w:szCs w:val="12"/>
                <w:b w:val="1"/>
                <w:bCs w:val="1"/>
                <w:color w:val="auto"/>
              </w:rPr>
              <w:t>Incentive Plan Awards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8"/>
          </w:tcPr>
          <w:p>
            <w:pPr>
              <w:jc w:val="center"/>
              <w:ind w:right="260"/>
              <w:spacing w:after="0"/>
              <w:rPr>
                <w:sz w:val="20"/>
                <w:szCs w:val="20"/>
                <w:color w:val="auto"/>
              </w:rPr>
            </w:pPr>
            <w:r>
              <w:rPr>
                <w:rFonts w:ascii="Arial" w:cs="Arial" w:eastAsia="Arial" w:hAnsi="Arial"/>
                <w:sz w:val="12"/>
                <w:szCs w:val="12"/>
                <w:b w:val="1"/>
                <w:bCs w:val="1"/>
                <w:color w:val="auto"/>
                <w:w w:val="92"/>
              </w:rPr>
              <w:t>Incentive Plan Awards</w:t>
            </w:r>
          </w:p>
        </w:tc>
        <w:tc>
          <w:tcPr>
            <w:tcW w:w="7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of Stock</w:t>
            </w: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Op</w:t>
            </w:r>
          </w:p>
        </w:tc>
      </w:tr>
      <w:tr>
        <w:trPr>
          <w:trHeight w:val="131"/>
        </w:trPr>
        <w:tc>
          <w:tcPr>
            <w:tcW w:w="2760" w:type="dxa"/>
            <w:vAlign w:val="bottom"/>
          </w:tcPr>
          <w:p>
            <w:pPr>
              <w:spacing w:after="0"/>
              <w:rPr>
                <w:sz w:val="11"/>
                <w:szCs w:val="11"/>
                <w:color w:val="auto"/>
              </w:rPr>
            </w:pPr>
          </w:p>
        </w:tc>
        <w:tc>
          <w:tcPr>
            <w:tcW w:w="640" w:type="dxa"/>
            <w:vAlign w:val="bottom"/>
          </w:tcPr>
          <w:p>
            <w:pPr>
              <w:jc w:val="right"/>
              <w:ind w:right="119"/>
              <w:spacing w:after="0" w:line="132" w:lineRule="exact"/>
              <w:rPr>
                <w:sz w:val="20"/>
                <w:szCs w:val="20"/>
                <w:color w:val="auto"/>
              </w:rPr>
            </w:pPr>
            <w:r>
              <w:rPr>
                <w:rFonts w:ascii="Arial" w:cs="Arial" w:eastAsia="Arial" w:hAnsi="Arial"/>
                <w:sz w:val="12"/>
                <w:szCs w:val="12"/>
                <w:b w:val="1"/>
                <w:bCs w:val="1"/>
                <w:color w:val="auto"/>
              </w:rPr>
              <w:t>Grant</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Inception</w:t>
            </w:r>
          </w:p>
        </w:tc>
        <w:tc>
          <w:tcPr>
            <w:tcW w:w="60" w:type="dxa"/>
            <w:vAlign w:val="bottom"/>
          </w:tcPr>
          <w:p>
            <w:pPr>
              <w:spacing w:after="0"/>
              <w:rPr>
                <w:sz w:val="11"/>
                <w:szCs w:val="11"/>
                <w:color w:val="auto"/>
              </w:rPr>
            </w:pPr>
          </w:p>
        </w:tc>
        <w:tc>
          <w:tcPr>
            <w:tcW w:w="660" w:type="dxa"/>
            <w:vAlign w:val="bottom"/>
            <w:tcBorders>
              <w:top w:val="single" w:sz="8" w:color="auto"/>
            </w:tcBorders>
            <w:gridSpan w:val="2"/>
          </w:tcPr>
          <w:p>
            <w:pPr>
              <w:jc w:val="right"/>
              <w:spacing w:after="0" w:line="132" w:lineRule="exact"/>
              <w:rPr>
                <w:sz w:val="20"/>
                <w:szCs w:val="20"/>
                <w:color w:val="auto"/>
              </w:rPr>
            </w:pPr>
            <w:r>
              <w:rPr>
                <w:rFonts w:ascii="Arial" w:cs="Arial" w:eastAsia="Arial" w:hAnsi="Arial"/>
                <w:sz w:val="12"/>
                <w:szCs w:val="12"/>
                <w:b w:val="1"/>
                <w:bCs w:val="1"/>
                <w:color w:val="auto"/>
                <w:w w:val="99"/>
              </w:rPr>
              <w:t>Threshold</w:t>
            </w: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340"/>
              <w:spacing w:after="0" w:line="132" w:lineRule="exact"/>
              <w:rPr>
                <w:sz w:val="20"/>
                <w:szCs w:val="20"/>
                <w:color w:val="auto"/>
              </w:rPr>
            </w:pPr>
            <w:r>
              <w:rPr>
                <w:rFonts w:ascii="Arial" w:cs="Arial" w:eastAsia="Arial" w:hAnsi="Arial"/>
                <w:sz w:val="12"/>
                <w:szCs w:val="12"/>
                <w:b w:val="1"/>
                <w:bCs w:val="1"/>
                <w:color w:val="auto"/>
                <w:w w:val="92"/>
              </w:rPr>
              <w:t>Target</w:t>
            </w: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9"/>
              <w:spacing w:after="0" w:line="132" w:lineRule="exact"/>
              <w:rPr>
                <w:sz w:val="20"/>
                <w:szCs w:val="20"/>
                <w:color w:val="auto"/>
              </w:rPr>
            </w:pPr>
            <w:r>
              <w:rPr>
                <w:rFonts w:ascii="Arial" w:cs="Arial" w:eastAsia="Arial" w:hAnsi="Arial"/>
                <w:sz w:val="12"/>
                <w:szCs w:val="12"/>
                <w:b w:val="1"/>
                <w:bCs w:val="1"/>
                <w:color w:val="auto"/>
                <w:w w:val="93"/>
              </w:rPr>
              <w:t>Maximum</w:t>
            </w:r>
          </w:p>
        </w:tc>
        <w:tc>
          <w:tcPr>
            <w:tcW w:w="12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19"/>
              <w:spacing w:after="0" w:line="132" w:lineRule="exact"/>
              <w:rPr>
                <w:sz w:val="20"/>
                <w:szCs w:val="20"/>
                <w:color w:val="auto"/>
              </w:rPr>
            </w:pPr>
            <w:r>
              <w:rPr>
                <w:rFonts w:ascii="Arial" w:cs="Arial" w:eastAsia="Arial" w:hAnsi="Arial"/>
                <w:sz w:val="12"/>
                <w:szCs w:val="12"/>
                <w:b w:val="1"/>
                <w:bCs w:val="1"/>
                <w:color w:val="auto"/>
                <w:w w:val="96"/>
              </w:rPr>
              <w:t>Threshold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ind w:right="200"/>
              <w:spacing w:after="0" w:line="132" w:lineRule="exact"/>
              <w:rPr>
                <w:sz w:val="20"/>
                <w:szCs w:val="20"/>
                <w:color w:val="auto"/>
              </w:rPr>
            </w:pPr>
            <w:r>
              <w:rPr>
                <w:rFonts w:ascii="Arial" w:cs="Arial" w:eastAsia="Arial" w:hAnsi="Arial"/>
                <w:sz w:val="12"/>
                <w:szCs w:val="12"/>
                <w:b w:val="1"/>
                <w:bCs w:val="1"/>
                <w:color w:val="auto"/>
                <w:w w:val="92"/>
              </w:rPr>
              <w:t>Target</w:t>
            </w:r>
          </w:p>
        </w:tc>
        <w:tc>
          <w:tcPr>
            <w:tcW w:w="680" w:type="dxa"/>
            <w:vAlign w:val="bottom"/>
            <w:tcBorders>
              <w:top w:val="single" w:sz="8" w:color="auto"/>
            </w:tcBorders>
            <w:gridSpan w:val="2"/>
          </w:tcPr>
          <w:p>
            <w:pPr>
              <w:jc w:val="right"/>
              <w:ind w:right="19"/>
              <w:spacing w:after="0" w:line="132" w:lineRule="exact"/>
              <w:rPr>
                <w:sz w:val="20"/>
                <w:szCs w:val="20"/>
                <w:color w:val="auto"/>
              </w:rPr>
            </w:pPr>
            <w:r>
              <w:rPr>
                <w:rFonts w:ascii="Arial" w:cs="Arial" w:eastAsia="Arial" w:hAnsi="Arial"/>
                <w:sz w:val="12"/>
                <w:szCs w:val="12"/>
                <w:b w:val="1"/>
                <w:bCs w:val="1"/>
                <w:color w:val="auto"/>
              </w:rPr>
              <w:t>Maximum</w:t>
            </w:r>
          </w:p>
        </w:tc>
        <w:tc>
          <w:tcPr>
            <w:tcW w:w="120" w:type="dxa"/>
            <w:vAlign w:val="bottom"/>
          </w:tcPr>
          <w:p>
            <w:pPr>
              <w:spacing w:after="0"/>
              <w:rPr>
                <w:sz w:val="11"/>
                <w:szCs w:val="11"/>
                <w:color w:val="auto"/>
              </w:rPr>
            </w:pPr>
          </w:p>
        </w:tc>
        <w:tc>
          <w:tcPr>
            <w:tcW w:w="74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92"/>
              </w:rPr>
              <w:t>or Units</w:t>
            </w:r>
          </w:p>
        </w:tc>
        <w:tc>
          <w:tcPr>
            <w:tcW w:w="860" w:type="dxa"/>
            <w:vAlign w:val="bottom"/>
            <w:gridSpan w:val="2"/>
          </w:tcPr>
          <w:p>
            <w:pPr>
              <w:jc w:val="center"/>
              <w:ind w:right="160"/>
              <w:spacing w:after="0" w:line="132" w:lineRule="exact"/>
              <w:rPr>
                <w:sz w:val="20"/>
                <w:szCs w:val="20"/>
                <w:color w:val="auto"/>
              </w:rPr>
            </w:pPr>
            <w:r>
              <w:rPr>
                <w:rFonts w:ascii="Arial" w:cs="Arial" w:eastAsia="Arial" w:hAnsi="Arial"/>
                <w:sz w:val="12"/>
                <w:szCs w:val="12"/>
                <w:b w:val="1"/>
                <w:bCs w:val="1"/>
                <w:color w:val="auto"/>
                <w:w w:val="92"/>
              </w:rPr>
              <w:t>Options</w:t>
            </w:r>
          </w:p>
        </w:tc>
        <w:tc>
          <w:tcPr>
            <w:tcW w:w="5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7"/>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w w:val="99"/>
              </w:rPr>
              <w:t>Aw</w:t>
            </w:r>
          </w:p>
        </w:tc>
      </w:tr>
      <w:tr>
        <w:trPr>
          <w:trHeight w:val="148"/>
        </w:trPr>
        <w:tc>
          <w:tcPr>
            <w:tcW w:w="2760" w:type="dxa"/>
            <w:vAlign w:val="bottom"/>
          </w:tcPr>
          <w:p>
            <w:pPr>
              <w:spacing w:after="0"/>
              <w:rPr>
                <w:sz w:val="12"/>
                <w:szCs w:val="12"/>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Date</w:t>
            </w: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5"/>
              </w:rPr>
              <w:t>($)</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 (1)</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7"/>
              </w:rPr>
              <w:t>($) (1)</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 (1)</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 / Sh)</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r>
      <w:tr>
        <w:trPr>
          <w:trHeight w:val="278"/>
        </w:trPr>
        <w:tc>
          <w:tcPr>
            <w:tcW w:w="2760" w:type="dxa"/>
            <w:vAlign w:val="bottom"/>
          </w:tcPr>
          <w:p>
            <w:pPr>
              <w:spacing w:after="0"/>
              <w:rPr>
                <w:sz w:val="20"/>
                <w:szCs w:val="20"/>
                <w:color w:val="auto"/>
              </w:rPr>
            </w:pPr>
            <w:r>
              <w:rPr>
                <w:rFonts w:ascii="Arial" w:cs="Arial" w:eastAsia="Arial" w:hAnsi="Arial"/>
                <w:sz w:val="12"/>
                <w:szCs w:val="12"/>
                <w:color w:val="auto"/>
              </w:rPr>
              <w:t>Harvey S. Kanter</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3"/>
        </w:trPr>
        <w:tc>
          <w:tcPr>
            <w:tcW w:w="2760" w:type="dxa"/>
            <w:vAlign w:val="bottom"/>
          </w:tcPr>
          <w:p>
            <w:pPr>
              <w:ind w:left="180"/>
              <w:spacing w:after="0"/>
              <w:rPr>
                <w:sz w:val="20"/>
                <w:szCs w:val="20"/>
                <w:color w:val="auto"/>
              </w:rPr>
            </w:pPr>
            <w:r>
              <w:rPr>
                <w:rFonts w:ascii="Arial" w:cs="Arial" w:eastAsia="Arial" w:hAnsi="Arial"/>
                <w:sz w:val="12"/>
                <w:szCs w:val="12"/>
                <w:color w:val="auto"/>
              </w:rPr>
              <w:t>-Sign-on time-based award (2)</w:t>
            </w:r>
          </w:p>
        </w:tc>
        <w:tc>
          <w:tcPr>
            <w:tcW w:w="640" w:type="dxa"/>
            <w:vAlign w:val="bottom"/>
          </w:tcPr>
          <w:p>
            <w:pPr>
              <w:jc w:val="right"/>
              <w:spacing w:after="0"/>
              <w:rPr>
                <w:sz w:val="20"/>
                <w:szCs w:val="20"/>
                <w:color w:val="auto"/>
              </w:rPr>
            </w:pPr>
            <w:r>
              <w:rPr>
                <w:rFonts w:ascii="Arial" w:cs="Arial" w:eastAsia="Arial" w:hAnsi="Arial"/>
                <w:sz w:val="12"/>
                <w:szCs w:val="12"/>
                <w:color w:val="auto"/>
              </w:rPr>
              <w:t>2/19/2019</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240,000</w:t>
            </w:r>
          </w:p>
        </w:tc>
        <w:tc>
          <w:tcPr>
            <w:tcW w:w="140" w:type="dxa"/>
            <w:vAlign w:val="bottom"/>
          </w:tcPr>
          <w:p>
            <w:pPr>
              <w:spacing w:after="0"/>
              <w:rPr>
                <w:sz w:val="12"/>
                <w:szCs w:val="12"/>
                <w:color w:val="auto"/>
              </w:rPr>
            </w:pP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3"/>
        </w:trPr>
        <w:tc>
          <w:tcPr>
            <w:tcW w:w="2760" w:type="dxa"/>
            <w:vAlign w:val="bottom"/>
          </w:tcPr>
          <w:p>
            <w:pPr>
              <w:ind w:left="180"/>
              <w:spacing w:after="0"/>
              <w:rPr>
                <w:sz w:val="20"/>
                <w:szCs w:val="20"/>
                <w:color w:val="auto"/>
              </w:rPr>
            </w:pPr>
            <w:r>
              <w:rPr>
                <w:rFonts w:ascii="Arial" w:cs="Arial" w:eastAsia="Arial" w:hAnsi="Arial"/>
                <w:sz w:val="12"/>
                <w:szCs w:val="12"/>
                <w:color w:val="auto"/>
              </w:rPr>
              <w:t>-Sign-on performance-based award (2)</w:t>
            </w:r>
          </w:p>
        </w:tc>
        <w:tc>
          <w:tcPr>
            <w:tcW w:w="640" w:type="dxa"/>
            <w:vAlign w:val="bottom"/>
          </w:tcPr>
          <w:p>
            <w:pPr>
              <w:jc w:val="right"/>
              <w:spacing w:after="0"/>
              <w:rPr>
                <w:sz w:val="20"/>
                <w:szCs w:val="20"/>
                <w:color w:val="auto"/>
              </w:rPr>
            </w:pPr>
            <w:r>
              <w:rPr>
                <w:rFonts w:ascii="Arial" w:cs="Arial" w:eastAsia="Arial" w:hAnsi="Arial"/>
                <w:sz w:val="12"/>
                <w:szCs w:val="12"/>
                <w:color w:val="auto"/>
              </w:rPr>
              <w:t>2/19/2019</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720,000</w:t>
            </w:r>
          </w:p>
        </w:tc>
        <w:tc>
          <w:tcPr>
            <w:tcW w:w="140" w:type="dxa"/>
            <w:vAlign w:val="bottom"/>
          </w:tcPr>
          <w:p>
            <w:pPr>
              <w:spacing w:after="0"/>
              <w:rPr>
                <w:sz w:val="12"/>
                <w:szCs w:val="12"/>
                <w:color w:val="auto"/>
              </w:rPr>
            </w:pP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3"/>
        </w:trPr>
        <w:tc>
          <w:tcPr>
            <w:tcW w:w="2760" w:type="dxa"/>
            <w:vAlign w:val="bottom"/>
          </w:tcPr>
          <w:p>
            <w:pPr>
              <w:ind w:left="180"/>
              <w:spacing w:after="0"/>
              <w:rPr>
                <w:sz w:val="20"/>
                <w:szCs w:val="20"/>
                <w:color w:val="auto"/>
              </w:rPr>
            </w:pPr>
            <w:r>
              <w:rPr>
                <w:rFonts w:ascii="Arial" w:cs="Arial" w:eastAsia="Arial" w:hAnsi="Arial"/>
                <w:sz w:val="12"/>
                <w:szCs w:val="12"/>
                <w:color w:val="auto"/>
              </w:rPr>
              <w:t>-2019 AIP (3)</w:t>
            </w:r>
          </w:p>
        </w:tc>
        <w:tc>
          <w:tcPr>
            <w:tcW w:w="640" w:type="dxa"/>
            <w:vAlign w:val="bottom"/>
          </w:tcPr>
          <w:p>
            <w:pPr>
              <w:spacing w:after="0"/>
              <w:rPr>
                <w:sz w:val="12"/>
                <w:szCs w:val="12"/>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auto"/>
                <w:w w:val="89"/>
              </w:rPr>
              <w:t>5/1/2019</w:t>
            </w:r>
          </w:p>
        </w:tc>
        <w:tc>
          <w:tcPr>
            <w:tcW w:w="220" w:type="dxa"/>
            <w:vAlign w:val="bottom"/>
            <w:gridSpan w:val="2"/>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124,385</w:t>
            </w: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621,923</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1,243,846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3"/>
        </w:trPr>
        <w:tc>
          <w:tcPr>
            <w:tcW w:w="2760" w:type="dxa"/>
            <w:vAlign w:val="bottom"/>
          </w:tcPr>
          <w:p>
            <w:pPr>
              <w:ind w:left="180"/>
              <w:spacing w:after="0"/>
              <w:rPr>
                <w:sz w:val="20"/>
                <w:szCs w:val="20"/>
                <w:color w:val="auto"/>
              </w:rPr>
            </w:pPr>
            <w:r>
              <w:rPr>
                <w:rFonts w:ascii="Arial" w:cs="Arial" w:eastAsia="Arial" w:hAnsi="Arial"/>
                <w:sz w:val="12"/>
                <w:szCs w:val="12"/>
                <w:color w:val="auto"/>
              </w:rPr>
              <w:t>-2019-2021 LTIP, Time-Based (4)</w:t>
            </w:r>
          </w:p>
        </w:tc>
        <w:tc>
          <w:tcPr>
            <w:tcW w:w="640" w:type="dxa"/>
            <w:vAlign w:val="bottom"/>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312,375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182,675</w:t>
            </w:r>
          </w:p>
        </w:tc>
        <w:tc>
          <w:tcPr>
            <w:tcW w:w="140" w:type="dxa"/>
            <w:vAlign w:val="bottom"/>
          </w:tcPr>
          <w:p>
            <w:pPr>
              <w:spacing w:after="0"/>
              <w:rPr>
                <w:sz w:val="12"/>
                <w:szCs w:val="12"/>
                <w:color w:val="auto"/>
              </w:rPr>
            </w:pP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2760" w:type="dxa"/>
            <w:vAlign w:val="bottom"/>
          </w:tcPr>
          <w:p>
            <w:pPr>
              <w:ind w:left="180"/>
              <w:spacing w:after="0"/>
              <w:rPr>
                <w:sz w:val="20"/>
                <w:szCs w:val="20"/>
                <w:color w:val="auto"/>
              </w:rPr>
            </w:pPr>
            <w:r>
              <w:rPr>
                <w:rFonts w:ascii="Arial" w:cs="Arial" w:eastAsia="Arial" w:hAnsi="Arial"/>
                <w:sz w:val="12"/>
                <w:szCs w:val="12"/>
                <w:color w:val="auto"/>
              </w:rPr>
              <w:t>-2019-2021 LTIP, Performance-Based (4)</w:t>
            </w:r>
          </w:p>
        </w:tc>
        <w:tc>
          <w:tcPr>
            <w:tcW w:w="640" w:type="dxa"/>
            <w:vAlign w:val="bottom"/>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78,094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312,375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468,563</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78,094</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312,375</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468,563</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760" w:type="dxa"/>
            <w:vAlign w:val="bottom"/>
            <w:shd w:val="clear" w:color="auto" w:fill="CFF0FC"/>
          </w:tcPr>
          <w:p>
            <w:pPr>
              <w:spacing w:after="0"/>
              <w:rPr>
                <w:sz w:val="20"/>
                <w:szCs w:val="20"/>
                <w:color w:val="auto"/>
              </w:rPr>
            </w:pPr>
            <w:r>
              <w:rPr>
                <w:rFonts w:ascii="Arial" w:cs="Arial" w:eastAsia="Arial" w:hAnsi="Arial"/>
                <w:sz w:val="12"/>
                <w:szCs w:val="12"/>
                <w:color w:val="auto"/>
              </w:rPr>
              <w:t>David A. Levin</w:t>
            </w:r>
          </w:p>
        </w:tc>
        <w:tc>
          <w:tcPr>
            <w:tcW w:w="6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4"/>
        </w:trPr>
        <w:tc>
          <w:tcPr>
            <w:tcW w:w="27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-2019 AIP (3)</w:t>
            </w:r>
          </w:p>
        </w:tc>
        <w:tc>
          <w:tcPr>
            <w:tcW w:w="640" w:type="dxa"/>
            <w:vAlign w:val="bottom"/>
            <w:shd w:val="clear" w:color="auto" w:fill="CFF0FC"/>
          </w:tcPr>
          <w:p>
            <w:pPr>
              <w:spacing w:after="0"/>
              <w:rPr>
                <w:sz w:val="12"/>
                <w:szCs w:val="12"/>
                <w:color w:val="auto"/>
              </w:rPr>
            </w:pPr>
          </w:p>
        </w:tc>
        <w:tc>
          <w:tcPr>
            <w:tcW w:w="6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5/1/2019</w:t>
            </w:r>
          </w:p>
        </w:tc>
        <w:tc>
          <w:tcPr>
            <w:tcW w:w="220" w:type="dxa"/>
            <w:vAlign w:val="bottom"/>
            <w:gridSpan w:val="2"/>
            <w:shd w:val="clear" w:color="auto" w:fill="CFF0FC"/>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162,240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811,200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1,216,800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2"/>
        </w:trPr>
        <w:tc>
          <w:tcPr>
            <w:tcW w:w="2760" w:type="dxa"/>
            <w:vAlign w:val="bottom"/>
          </w:tcPr>
          <w:p>
            <w:pPr>
              <w:spacing w:after="0"/>
              <w:rPr>
                <w:sz w:val="20"/>
                <w:szCs w:val="20"/>
                <w:color w:val="auto"/>
              </w:rPr>
            </w:pPr>
            <w:r>
              <w:rPr>
                <w:rFonts w:ascii="Arial" w:cs="Arial" w:eastAsia="Arial" w:hAnsi="Arial"/>
                <w:sz w:val="12"/>
                <w:szCs w:val="12"/>
                <w:color w:val="auto"/>
              </w:rPr>
              <w:t>Peter H. Stratton, Jr.</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3"/>
        </w:trPr>
        <w:tc>
          <w:tcPr>
            <w:tcW w:w="2760" w:type="dxa"/>
            <w:vAlign w:val="bottom"/>
          </w:tcPr>
          <w:p>
            <w:pPr>
              <w:ind w:left="180"/>
              <w:spacing w:after="0"/>
              <w:rPr>
                <w:sz w:val="20"/>
                <w:szCs w:val="20"/>
                <w:color w:val="auto"/>
              </w:rPr>
            </w:pPr>
            <w:r>
              <w:rPr>
                <w:rFonts w:ascii="Arial" w:cs="Arial" w:eastAsia="Arial" w:hAnsi="Arial"/>
                <w:sz w:val="12"/>
                <w:szCs w:val="12"/>
                <w:color w:val="auto"/>
              </w:rPr>
              <w:t>-2019 AIP (3)</w:t>
            </w:r>
          </w:p>
        </w:tc>
        <w:tc>
          <w:tcPr>
            <w:tcW w:w="640" w:type="dxa"/>
            <w:vAlign w:val="bottom"/>
          </w:tcPr>
          <w:p>
            <w:pPr>
              <w:spacing w:after="0"/>
              <w:rPr>
                <w:sz w:val="12"/>
                <w:szCs w:val="12"/>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auto"/>
                <w:w w:val="89"/>
              </w:rPr>
              <w:t>5/1/2019</w:t>
            </w:r>
          </w:p>
        </w:tc>
        <w:tc>
          <w:tcPr>
            <w:tcW w:w="220" w:type="dxa"/>
            <w:vAlign w:val="bottom"/>
            <w:gridSpan w:val="2"/>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43,450</w:t>
            </w: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217,250</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325,875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3"/>
        </w:trPr>
        <w:tc>
          <w:tcPr>
            <w:tcW w:w="2760" w:type="dxa"/>
            <w:vAlign w:val="bottom"/>
          </w:tcPr>
          <w:p>
            <w:pPr>
              <w:ind w:left="180"/>
              <w:spacing w:after="0"/>
              <w:rPr>
                <w:sz w:val="20"/>
                <w:szCs w:val="20"/>
                <w:color w:val="auto"/>
              </w:rPr>
            </w:pPr>
            <w:r>
              <w:rPr>
                <w:rFonts w:ascii="Arial" w:cs="Arial" w:eastAsia="Arial" w:hAnsi="Arial"/>
                <w:sz w:val="12"/>
                <w:szCs w:val="12"/>
                <w:color w:val="auto"/>
              </w:rPr>
              <w:t>-2019-2021 LTIP, Time-Based (4)</w:t>
            </w:r>
          </w:p>
        </w:tc>
        <w:tc>
          <w:tcPr>
            <w:tcW w:w="640" w:type="dxa"/>
            <w:vAlign w:val="bottom"/>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69,125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40,423</w:t>
            </w:r>
          </w:p>
        </w:tc>
        <w:tc>
          <w:tcPr>
            <w:tcW w:w="140" w:type="dxa"/>
            <w:vAlign w:val="bottom"/>
          </w:tcPr>
          <w:p>
            <w:pPr>
              <w:spacing w:after="0"/>
              <w:rPr>
                <w:sz w:val="12"/>
                <w:szCs w:val="12"/>
                <w:color w:val="auto"/>
              </w:rPr>
            </w:pP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r>
      <w:tr>
        <w:trPr>
          <w:trHeight w:val="144"/>
        </w:trPr>
        <w:tc>
          <w:tcPr>
            <w:tcW w:w="2760" w:type="dxa"/>
            <w:vAlign w:val="bottom"/>
          </w:tcPr>
          <w:p>
            <w:pPr>
              <w:ind w:left="180"/>
              <w:spacing w:after="0"/>
              <w:rPr>
                <w:sz w:val="20"/>
                <w:szCs w:val="20"/>
                <w:color w:val="auto"/>
              </w:rPr>
            </w:pPr>
            <w:r>
              <w:rPr>
                <w:rFonts w:ascii="Arial" w:cs="Arial" w:eastAsia="Arial" w:hAnsi="Arial"/>
                <w:sz w:val="12"/>
                <w:szCs w:val="12"/>
                <w:color w:val="auto"/>
              </w:rPr>
              <w:t>-2019-2021 LTIP, Performance-Based (4)</w:t>
            </w:r>
          </w:p>
        </w:tc>
        <w:tc>
          <w:tcPr>
            <w:tcW w:w="640" w:type="dxa"/>
            <w:vAlign w:val="bottom"/>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17,281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69,125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103,688</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17,281</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69,125</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103,688</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3"/>
        </w:trPr>
        <w:tc>
          <w:tcPr>
            <w:tcW w:w="2760" w:type="dxa"/>
            <w:vAlign w:val="bottom"/>
            <w:shd w:val="clear" w:color="auto" w:fill="CFF0FC"/>
          </w:tcPr>
          <w:p>
            <w:pPr>
              <w:spacing w:after="0"/>
              <w:rPr>
                <w:sz w:val="20"/>
                <w:szCs w:val="20"/>
                <w:color w:val="auto"/>
              </w:rPr>
            </w:pPr>
            <w:r>
              <w:rPr>
                <w:rFonts w:ascii="Arial" w:cs="Arial" w:eastAsia="Arial" w:hAnsi="Arial"/>
                <w:sz w:val="12"/>
                <w:szCs w:val="12"/>
                <w:color w:val="auto"/>
              </w:rPr>
              <w:t>Robert S. Molloy</w:t>
            </w:r>
          </w:p>
        </w:tc>
        <w:tc>
          <w:tcPr>
            <w:tcW w:w="6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3"/>
        </w:trPr>
        <w:tc>
          <w:tcPr>
            <w:tcW w:w="27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-2019 AIP (3)</w:t>
            </w:r>
          </w:p>
        </w:tc>
        <w:tc>
          <w:tcPr>
            <w:tcW w:w="640" w:type="dxa"/>
            <w:vAlign w:val="bottom"/>
            <w:shd w:val="clear" w:color="auto" w:fill="CFF0FC"/>
          </w:tcPr>
          <w:p>
            <w:pPr>
              <w:spacing w:after="0"/>
              <w:rPr>
                <w:sz w:val="12"/>
                <w:szCs w:val="12"/>
                <w:color w:val="auto"/>
              </w:rPr>
            </w:pPr>
          </w:p>
        </w:tc>
        <w:tc>
          <w:tcPr>
            <w:tcW w:w="6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5/1/2019</w:t>
            </w:r>
          </w:p>
        </w:tc>
        <w:tc>
          <w:tcPr>
            <w:tcW w:w="220" w:type="dxa"/>
            <w:vAlign w:val="bottom"/>
            <w:gridSpan w:val="2"/>
            <w:shd w:val="clear" w:color="auto" w:fill="CFF0FC"/>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30,000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225,000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3"/>
        </w:trPr>
        <w:tc>
          <w:tcPr>
            <w:tcW w:w="27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-2019-2021 LTIP, Time-Based (4)</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65,625</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38,377</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2"/>
                <w:szCs w:val="12"/>
                <w:color w:val="auto"/>
                <w:w w:val="99"/>
              </w:rPr>
              <w: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r>
      <w:tr>
        <w:trPr>
          <w:trHeight w:val="143"/>
        </w:trPr>
        <w:tc>
          <w:tcPr>
            <w:tcW w:w="27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-2019-2021 LTIP, Performance-Based (4)</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16,406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65,625</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98,438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16,406</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65,625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98,438</w:t>
            </w: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2"/>
        </w:trPr>
        <w:tc>
          <w:tcPr>
            <w:tcW w:w="2760" w:type="dxa"/>
            <w:vAlign w:val="bottom"/>
          </w:tcPr>
          <w:p>
            <w:pPr>
              <w:spacing w:after="0"/>
              <w:rPr>
                <w:sz w:val="20"/>
                <w:szCs w:val="20"/>
                <w:color w:val="auto"/>
              </w:rPr>
            </w:pPr>
            <w:r>
              <w:rPr>
                <w:rFonts w:ascii="Arial" w:cs="Arial" w:eastAsia="Arial" w:hAnsi="Arial"/>
                <w:sz w:val="12"/>
                <w:szCs w:val="12"/>
                <w:color w:val="auto"/>
              </w:rPr>
              <w:t>Francis C. Chane</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3"/>
        </w:trPr>
        <w:tc>
          <w:tcPr>
            <w:tcW w:w="2760" w:type="dxa"/>
            <w:vAlign w:val="bottom"/>
          </w:tcPr>
          <w:p>
            <w:pPr>
              <w:ind w:left="180"/>
              <w:spacing w:after="0"/>
              <w:rPr>
                <w:sz w:val="20"/>
                <w:szCs w:val="20"/>
                <w:color w:val="auto"/>
              </w:rPr>
            </w:pPr>
            <w:r>
              <w:rPr>
                <w:rFonts w:ascii="Arial" w:cs="Arial" w:eastAsia="Arial" w:hAnsi="Arial"/>
                <w:sz w:val="12"/>
                <w:szCs w:val="12"/>
                <w:color w:val="auto"/>
              </w:rPr>
              <w:t>-2019 AIP (3)</w:t>
            </w:r>
          </w:p>
        </w:tc>
        <w:tc>
          <w:tcPr>
            <w:tcW w:w="640" w:type="dxa"/>
            <w:vAlign w:val="bottom"/>
          </w:tcPr>
          <w:p>
            <w:pPr>
              <w:spacing w:after="0"/>
              <w:rPr>
                <w:sz w:val="12"/>
                <w:szCs w:val="12"/>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auto"/>
                <w:w w:val="89"/>
              </w:rPr>
              <w:t>5/1/2019</w:t>
            </w:r>
          </w:p>
        </w:tc>
        <w:tc>
          <w:tcPr>
            <w:tcW w:w="220" w:type="dxa"/>
            <w:vAlign w:val="bottom"/>
            <w:gridSpan w:val="2"/>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23,069</w:t>
            </w: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115,346</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173,019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3"/>
        </w:trPr>
        <w:tc>
          <w:tcPr>
            <w:tcW w:w="2760" w:type="dxa"/>
            <w:vAlign w:val="bottom"/>
          </w:tcPr>
          <w:p>
            <w:pPr>
              <w:ind w:left="180"/>
              <w:spacing w:after="0"/>
              <w:rPr>
                <w:sz w:val="20"/>
                <w:szCs w:val="20"/>
                <w:color w:val="auto"/>
              </w:rPr>
            </w:pPr>
            <w:r>
              <w:rPr>
                <w:rFonts w:ascii="Arial" w:cs="Arial" w:eastAsia="Arial" w:hAnsi="Arial"/>
                <w:sz w:val="12"/>
                <w:szCs w:val="12"/>
                <w:color w:val="auto"/>
              </w:rPr>
              <w:t>-2019-2021 LTIP, Time-Based (4)</w:t>
            </w:r>
          </w:p>
        </w:tc>
        <w:tc>
          <w:tcPr>
            <w:tcW w:w="640" w:type="dxa"/>
            <w:vAlign w:val="bottom"/>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50,750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29,678</w:t>
            </w:r>
          </w:p>
        </w:tc>
        <w:tc>
          <w:tcPr>
            <w:tcW w:w="140" w:type="dxa"/>
            <w:vAlign w:val="bottom"/>
          </w:tcPr>
          <w:p>
            <w:pPr>
              <w:spacing w:after="0"/>
              <w:rPr>
                <w:sz w:val="12"/>
                <w:szCs w:val="12"/>
                <w:color w:val="auto"/>
              </w:rPr>
            </w:pP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r>
      <w:tr>
        <w:trPr>
          <w:trHeight w:val="144"/>
        </w:trPr>
        <w:tc>
          <w:tcPr>
            <w:tcW w:w="2760" w:type="dxa"/>
            <w:vAlign w:val="bottom"/>
          </w:tcPr>
          <w:p>
            <w:pPr>
              <w:ind w:left="180"/>
              <w:spacing w:after="0"/>
              <w:rPr>
                <w:sz w:val="20"/>
                <w:szCs w:val="20"/>
                <w:color w:val="auto"/>
              </w:rPr>
            </w:pPr>
            <w:r>
              <w:rPr>
                <w:rFonts w:ascii="Arial" w:cs="Arial" w:eastAsia="Arial" w:hAnsi="Arial"/>
                <w:sz w:val="12"/>
                <w:szCs w:val="12"/>
                <w:color w:val="auto"/>
              </w:rPr>
              <w:t>-2019-2021 LTIP, Performance-Based (4)</w:t>
            </w:r>
          </w:p>
        </w:tc>
        <w:tc>
          <w:tcPr>
            <w:tcW w:w="640" w:type="dxa"/>
            <w:vAlign w:val="bottom"/>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12,688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50,750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76,125</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12,688</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50,750</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76,125</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3"/>
        </w:trPr>
        <w:tc>
          <w:tcPr>
            <w:tcW w:w="2760" w:type="dxa"/>
            <w:vAlign w:val="bottom"/>
            <w:shd w:val="clear" w:color="auto" w:fill="CFF0FC"/>
          </w:tcPr>
          <w:p>
            <w:pPr>
              <w:spacing w:after="0"/>
              <w:rPr>
                <w:sz w:val="20"/>
                <w:szCs w:val="20"/>
                <w:color w:val="auto"/>
              </w:rPr>
            </w:pPr>
            <w:r>
              <w:rPr>
                <w:rFonts w:ascii="Arial" w:cs="Arial" w:eastAsia="Arial" w:hAnsi="Arial"/>
                <w:sz w:val="12"/>
                <w:szCs w:val="12"/>
                <w:color w:val="auto"/>
              </w:rPr>
              <w:t>Anthony J. Gaeta</w:t>
            </w:r>
          </w:p>
        </w:tc>
        <w:tc>
          <w:tcPr>
            <w:tcW w:w="6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3"/>
        </w:trPr>
        <w:tc>
          <w:tcPr>
            <w:tcW w:w="27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-2019 AIP (3)</w:t>
            </w:r>
          </w:p>
        </w:tc>
        <w:tc>
          <w:tcPr>
            <w:tcW w:w="640" w:type="dxa"/>
            <w:vAlign w:val="bottom"/>
            <w:shd w:val="clear" w:color="auto" w:fill="CFF0FC"/>
          </w:tcPr>
          <w:p>
            <w:pPr>
              <w:spacing w:after="0"/>
              <w:rPr>
                <w:sz w:val="12"/>
                <w:szCs w:val="12"/>
                <w:color w:val="auto"/>
              </w:rPr>
            </w:pPr>
          </w:p>
        </w:tc>
        <w:tc>
          <w:tcPr>
            <w:tcW w:w="6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5/1/2019</w:t>
            </w:r>
          </w:p>
        </w:tc>
        <w:tc>
          <w:tcPr>
            <w:tcW w:w="220" w:type="dxa"/>
            <w:vAlign w:val="bottom"/>
            <w:gridSpan w:val="2"/>
            <w:shd w:val="clear" w:color="auto" w:fill="CFF0FC"/>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23,338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116,692</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175,038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3"/>
        </w:trPr>
        <w:tc>
          <w:tcPr>
            <w:tcW w:w="27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-2019-2021 LTIP, Time-Based (4)</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51,625</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30,190</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2"/>
                <w:szCs w:val="12"/>
                <w:color w:val="auto"/>
                <w:w w:val="99"/>
              </w:rPr>
              <w:t>—</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r>
      <w:tr>
        <w:trPr>
          <w:trHeight w:val="143"/>
        </w:trPr>
        <w:tc>
          <w:tcPr>
            <w:tcW w:w="27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-2019-2021 LTIP, Performance-Based (4)</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12,906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51,625</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77,438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12,906</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51,625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77,438</w:t>
            </w: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2"/>
        </w:trPr>
        <w:tc>
          <w:tcPr>
            <w:tcW w:w="2760" w:type="dxa"/>
            <w:vAlign w:val="bottom"/>
          </w:tcPr>
          <w:p>
            <w:pPr>
              <w:spacing w:after="0"/>
              <w:rPr>
                <w:sz w:val="20"/>
                <w:szCs w:val="20"/>
                <w:color w:val="auto"/>
              </w:rPr>
            </w:pPr>
            <w:r>
              <w:rPr>
                <w:rFonts w:ascii="Arial" w:cs="Arial" w:eastAsia="Arial" w:hAnsi="Arial"/>
                <w:sz w:val="12"/>
                <w:szCs w:val="12"/>
                <w:color w:val="auto"/>
              </w:rPr>
              <w:t>Brian S. Reaves</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3"/>
        </w:trPr>
        <w:tc>
          <w:tcPr>
            <w:tcW w:w="2760" w:type="dxa"/>
            <w:vAlign w:val="bottom"/>
          </w:tcPr>
          <w:p>
            <w:pPr>
              <w:ind w:left="180"/>
              <w:spacing w:after="0"/>
              <w:rPr>
                <w:sz w:val="20"/>
                <w:szCs w:val="20"/>
                <w:color w:val="auto"/>
              </w:rPr>
            </w:pPr>
            <w:r>
              <w:rPr>
                <w:rFonts w:ascii="Arial" w:cs="Arial" w:eastAsia="Arial" w:hAnsi="Arial"/>
                <w:sz w:val="12"/>
                <w:szCs w:val="12"/>
                <w:color w:val="auto"/>
              </w:rPr>
              <w:t>-2019 AIP (3)</w:t>
            </w:r>
          </w:p>
        </w:tc>
        <w:tc>
          <w:tcPr>
            <w:tcW w:w="640" w:type="dxa"/>
            <w:vAlign w:val="bottom"/>
          </w:tcPr>
          <w:p>
            <w:pPr>
              <w:spacing w:after="0"/>
              <w:rPr>
                <w:sz w:val="12"/>
                <w:szCs w:val="12"/>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auto"/>
                <w:w w:val="89"/>
              </w:rPr>
              <w:t>5/1/2019</w:t>
            </w:r>
          </w:p>
        </w:tc>
        <w:tc>
          <w:tcPr>
            <w:tcW w:w="220" w:type="dxa"/>
            <w:vAlign w:val="bottom"/>
            <w:gridSpan w:val="2"/>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55,000</w:t>
            </w: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275,000</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412,500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3"/>
        </w:trPr>
        <w:tc>
          <w:tcPr>
            <w:tcW w:w="2760" w:type="dxa"/>
            <w:vAlign w:val="bottom"/>
          </w:tcPr>
          <w:p>
            <w:pPr>
              <w:ind w:left="180"/>
              <w:spacing w:after="0"/>
              <w:rPr>
                <w:sz w:val="20"/>
                <w:szCs w:val="20"/>
                <w:color w:val="auto"/>
              </w:rPr>
            </w:pPr>
            <w:r>
              <w:rPr>
                <w:rFonts w:ascii="Arial" w:cs="Arial" w:eastAsia="Arial" w:hAnsi="Arial"/>
                <w:sz w:val="12"/>
                <w:szCs w:val="12"/>
                <w:color w:val="auto"/>
              </w:rPr>
              <w:t>-2019-2021 LTIP, Time-Based (4)</w:t>
            </w:r>
          </w:p>
        </w:tc>
        <w:tc>
          <w:tcPr>
            <w:tcW w:w="640" w:type="dxa"/>
            <w:vAlign w:val="bottom"/>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87,500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51,169</w:t>
            </w:r>
          </w:p>
        </w:tc>
        <w:tc>
          <w:tcPr>
            <w:tcW w:w="140" w:type="dxa"/>
            <w:vAlign w:val="bottom"/>
          </w:tcPr>
          <w:p>
            <w:pPr>
              <w:spacing w:after="0"/>
              <w:rPr>
                <w:sz w:val="12"/>
                <w:szCs w:val="12"/>
                <w:color w:val="auto"/>
              </w:rPr>
            </w:pP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r>
      <w:tr>
        <w:trPr>
          <w:trHeight w:val="144"/>
        </w:trPr>
        <w:tc>
          <w:tcPr>
            <w:tcW w:w="2760" w:type="dxa"/>
            <w:vAlign w:val="bottom"/>
          </w:tcPr>
          <w:p>
            <w:pPr>
              <w:ind w:left="180"/>
              <w:spacing w:after="0"/>
              <w:rPr>
                <w:sz w:val="20"/>
                <w:szCs w:val="20"/>
                <w:color w:val="auto"/>
              </w:rPr>
            </w:pPr>
            <w:r>
              <w:rPr>
                <w:rFonts w:ascii="Arial" w:cs="Arial" w:eastAsia="Arial" w:hAnsi="Arial"/>
                <w:sz w:val="12"/>
                <w:szCs w:val="12"/>
                <w:color w:val="auto"/>
              </w:rPr>
              <w:t>-2019-2021 LTIP, Performance-Based (4)</w:t>
            </w:r>
          </w:p>
        </w:tc>
        <w:tc>
          <w:tcPr>
            <w:tcW w:w="640" w:type="dxa"/>
            <w:vAlign w:val="bottom"/>
          </w:tcPr>
          <w:p>
            <w:pPr>
              <w:jc w:val="right"/>
              <w:spacing w:after="0"/>
              <w:rPr>
                <w:sz w:val="20"/>
                <w:szCs w:val="20"/>
                <w:color w:val="auto"/>
              </w:rPr>
            </w:pPr>
            <w:r>
              <w:rPr>
                <w:rFonts w:ascii="Arial" w:cs="Arial" w:eastAsia="Arial" w:hAnsi="Arial"/>
                <w:sz w:val="12"/>
                <w:szCs w:val="12"/>
                <w:color w:val="auto"/>
              </w:rPr>
              <w:t>8/7/2019</w:t>
            </w:r>
          </w:p>
        </w:tc>
        <w:tc>
          <w:tcPr>
            <w:tcW w:w="600" w:type="dxa"/>
            <w:vAlign w:val="bottom"/>
          </w:tcPr>
          <w:p>
            <w:pPr>
              <w:ind w:left="160"/>
              <w:spacing w:after="0"/>
              <w:rPr>
                <w:sz w:val="20"/>
                <w:szCs w:val="20"/>
                <w:color w:val="auto"/>
              </w:rPr>
            </w:pPr>
            <w:r>
              <w:rPr>
                <w:rFonts w:ascii="Arial" w:cs="Arial" w:eastAsia="Arial" w:hAnsi="Arial"/>
                <w:sz w:val="12"/>
                <w:szCs w:val="12"/>
                <w:color w:val="auto"/>
                <w:w w:val="89"/>
              </w:rPr>
              <w:t>2/3/2019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21,875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87,500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131,250</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21,875</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87,500</w:t>
            </w:r>
          </w:p>
        </w:tc>
        <w:tc>
          <w:tcPr>
            <w:tcW w:w="12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131,250</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ind w:left="580"/>
              <w:spacing w:after="0"/>
              <w:rPr>
                <w:sz w:val="20"/>
                <w:szCs w:val="20"/>
                <w:color w:val="auto"/>
              </w:rPr>
            </w:pPr>
            <w:r>
              <w:rPr>
                <w:rFonts w:ascii="Arial" w:cs="Arial" w:eastAsia="Arial" w:hAnsi="Arial"/>
                <w:sz w:val="12"/>
                <w:szCs w:val="12"/>
                <w:color w:val="auto"/>
              </w:rPr>
              <w:t>—</w:t>
            </w:r>
          </w:p>
        </w:tc>
        <w:tc>
          <w:tcPr>
            <w:tcW w:w="520" w:type="dxa"/>
            <w:vAlign w:val="bottom"/>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760" w:type="dxa"/>
            <w:vAlign w:val="bottom"/>
            <w:shd w:val="clear" w:color="auto" w:fill="CFF0FC"/>
          </w:tcPr>
          <w:p>
            <w:pPr>
              <w:spacing w:after="0"/>
              <w:rPr>
                <w:sz w:val="20"/>
                <w:szCs w:val="20"/>
                <w:color w:val="auto"/>
              </w:rPr>
            </w:pPr>
            <w:r>
              <w:rPr>
                <w:rFonts w:ascii="Arial" w:cs="Arial" w:eastAsia="Arial" w:hAnsi="Arial"/>
                <w:sz w:val="12"/>
                <w:szCs w:val="12"/>
                <w:color w:val="auto"/>
              </w:rPr>
              <w:t>James S. Davey</w:t>
            </w:r>
          </w:p>
        </w:tc>
        <w:tc>
          <w:tcPr>
            <w:tcW w:w="6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4"/>
        </w:trPr>
        <w:tc>
          <w:tcPr>
            <w:tcW w:w="27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-2019 AIP (3)</w:t>
            </w:r>
          </w:p>
        </w:tc>
        <w:tc>
          <w:tcPr>
            <w:tcW w:w="640" w:type="dxa"/>
            <w:vAlign w:val="bottom"/>
            <w:shd w:val="clear" w:color="auto" w:fill="CFF0FC"/>
          </w:tcPr>
          <w:p>
            <w:pPr>
              <w:spacing w:after="0"/>
              <w:rPr>
                <w:sz w:val="12"/>
                <w:szCs w:val="12"/>
                <w:color w:val="auto"/>
              </w:rPr>
            </w:pPr>
          </w:p>
        </w:tc>
        <w:tc>
          <w:tcPr>
            <w:tcW w:w="6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89"/>
              </w:rPr>
              <w:t>5/1/2019</w:t>
            </w:r>
          </w:p>
        </w:tc>
        <w:tc>
          <w:tcPr>
            <w:tcW w:w="220" w:type="dxa"/>
            <w:vAlign w:val="bottom"/>
            <w:gridSpan w:val="2"/>
            <w:shd w:val="clear" w:color="auto" w:fill="CFF0FC"/>
          </w:tcPr>
          <w:p>
            <w:pPr>
              <w:jc w:val="right"/>
              <w:ind w:right="39"/>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36,000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247,500</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371,250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ind w:left="5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bl>
    <w:p>
      <w:pPr>
        <w:spacing w:after="0" w:line="196" w:lineRule="exact"/>
        <w:rPr>
          <w:sz w:val="20"/>
          <w:szCs w:val="20"/>
          <w:color w:val="auto"/>
        </w:rPr>
      </w:pPr>
    </w:p>
    <w:p>
      <w:pPr>
        <w:ind w:left="740" w:right="260" w:hanging="371"/>
        <w:spacing w:after="0" w:line="286"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occur only if the performance targets are achieved. See footnote 4 below for additional information on the 2019-2021 LTIP.</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340"/>
          </w:cols>
          <w:pgMar w:left="320" w:top="434" w:right="239" w:bottom="1440" w:gutter="0" w:footer="0" w:header="0"/>
        </w:sectPr>
      </w:pPr>
    </w:p>
    <w:bookmarkStart w:id="22" w:name="page23"/>
    <w:bookmarkEnd w:id="22"/>
    <w:p>
      <w:pPr>
        <w:ind w:left="380" w:right="60" w:hanging="371"/>
        <w:spacing w:after="0" w:line="259" w:lineRule="auto"/>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connection with Mr. Kanter’s hiring, he received 240,000 RSUs that will vest ratably over four years, with the first one-fourth vesting on April 1, 2020. He also received 720,000 PSUs. The PSUs vest in installments when the following milestones are met: one-third of the PSUs vest when the trailing 90-day VWAP is $4.00, one-third of the PSUs vest when the VWAP is $6.00 and one-third when the VWAP is $8.00. All PSUs will expire on April 1, 2023 if no performance metric is achieved.</w:t>
      </w:r>
    </w:p>
    <w:p>
      <w:pPr>
        <w:spacing w:after="0" w:line="2" w:lineRule="exact"/>
        <w:rPr>
          <w:rFonts w:ascii="Arial" w:cs="Arial" w:eastAsia="Arial" w:hAnsi="Arial"/>
          <w:sz w:val="17"/>
          <w:szCs w:val="17"/>
          <w:color w:val="auto"/>
        </w:rPr>
      </w:pPr>
    </w:p>
    <w:p>
      <w:pPr>
        <w:ind w:left="380" w:right="600" w:hanging="371"/>
        <w:spacing w:after="0" w:line="289" w:lineRule="auto"/>
        <w:tabs>
          <w:tab w:leader="none" w:pos="3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threshold payout for each executive assumes the achievement of only the individual personal goals, target payout assumes 100%, and the maximum payout assumes 150% of the payout targets under the 2019 AIP, with the exception of the maximum payout for Mr. Kanter which is</w:t>
      </w:r>
    </w:p>
    <w:p>
      <w:pPr>
        <w:spacing w:after="0" w:line="1" w:lineRule="exact"/>
        <w:rPr>
          <w:rFonts w:ascii="Arial" w:cs="Arial" w:eastAsia="Arial" w:hAnsi="Arial"/>
          <w:sz w:val="15"/>
          <w:szCs w:val="15"/>
          <w:color w:val="auto"/>
        </w:rPr>
      </w:pPr>
    </w:p>
    <w:p>
      <w:pPr>
        <w:ind w:left="380" w:right="60"/>
        <w:spacing w:after="0" w:line="255" w:lineRule="auto"/>
        <w:rPr>
          <w:rFonts w:ascii="Arial" w:cs="Arial" w:eastAsia="Arial" w:hAnsi="Arial"/>
          <w:sz w:val="15"/>
          <w:szCs w:val="15"/>
          <w:color w:val="auto"/>
        </w:rPr>
      </w:pPr>
      <w:r>
        <w:rPr>
          <w:rFonts w:ascii="Arial" w:cs="Arial" w:eastAsia="Arial" w:hAnsi="Arial"/>
          <w:sz w:val="17"/>
          <w:szCs w:val="17"/>
          <w:color w:val="auto"/>
        </w:rPr>
        <w:t>200%. See “</w:t>
      </w:r>
      <w:r>
        <w:rPr>
          <w:rFonts w:ascii="Arial" w:cs="Arial" w:eastAsia="Arial" w:hAnsi="Arial"/>
          <w:sz w:val="17"/>
          <w:szCs w:val="17"/>
          <w:i w:val="1"/>
          <w:iCs w:val="1"/>
          <w:color w:val="auto"/>
        </w:rPr>
        <w:t>Compensation Components and Fiscal 2019 Compensation Decisions - Performance-based Annual Incentive Plan – 2019 AIP</w:t>
      </w:r>
      <w:r>
        <w:rPr>
          <w:rFonts w:ascii="Arial" w:cs="Arial" w:eastAsia="Arial" w:hAnsi="Arial"/>
          <w:sz w:val="17"/>
          <w:szCs w:val="17"/>
          <w:color w:val="auto"/>
        </w:rPr>
        <w:t>” for more information on the targets set under the 2019 AIP. The respective actual cash payment made to each of the Named Executive Officers under the 2019 AIP is included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for fiscal 2019.</w:t>
      </w:r>
    </w:p>
    <w:p>
      <w:pPr>
        <w:spacing w:after="0" w:line="2" w:lineRule="exact"/>
        <w:rPr>
          <w:rFonts w:ascii="Arial" w:cs="Arial" w:eastAsia="Arial" w:hAnsi="Arial"/>
          <w:sz w:val="15"/>
          <w:szCs w:val="15"/>
          <w:color w:val="auto"/>
        </w:rPr>
      </w:pPr>
    </w:p>
    <w:p>
      <w:pPr>
        <w:ind w:left="380" w:hanging="371"/>
        <w:spacing w:after="0" w:line="275"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August 7, 2019, the Compensation Committee approved the performance targets for the 2019-2021 LTIP. The performance-based awards represent 50% of the total potential payout under the 2019-2021 LTIP, of which 50% is payable in cash and 50% payable in equity. The amounts in the above table represent the dollar value of any future grant of cash and equity assuming a potential payout at threshold, target and maximum for each executive estimated based on achieving 25% (the payout of achieving the threshold of one metric), 100% and 150%, respectively, of the payout targets set by the Compensation Committee. The actual grant of equity will occur only if the performance targets are achieved. The remaining 50% represents time-based awards, which were granted 50% cash and 50% in RSUs. The above table reflects the cash award and the RSUs that were granted on August 7, 2019. The cash award and the RSUs vest in four equal tranches, with the first tranche vesting on August 7, 2020 and the remaining tranches vesting on April 1, 2021, April 1, 2022 and April 1, 2023. In connection with Mr. Reaves termination of employment, all awards granted under the 2019-2021 LTIP were forfeited. See “</w:t>
      </w:r>
      <w:r>
        <w:rPr>
          <w:rFonts w:ascii="Arial" w:cs="Arial" w:eastAsia="Arial" w:hAnsi="Arial"/>
          <w:sz w:val="16"/>
          <w:szCs w:val="16"/>
          <w:i w:val="1"/>
          <w:iCs w:val="1"/>
          <w:color w:val="auto"/>
        </w:rPr>
        <w:t>Compensation Components and Fiscal 2019 Compensation Decisions - Long-Term Incentive Program - 2019-2021</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Period</w:t>
      </w:r>
      <w:r>
        <w:rPr>
          <w:rFonts w:ascii="Arial" w:cs="Arial" w:eastAsia="Arial" w:hAnsi="Arial"/>
          <w:sz w:val="16"/>
          <w:szCs w:val="16"/>
          <w:color w:val="auto"/>
        </w:rPr>
        <w:t>” above for more information on the targets.</w:t>
      </w:r>
    </w:p>
    <w:p>
      <w:pPr>
        <w:spacing w:after="0" w:line="380"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214630</wp:posOffset>
            </wp:positionV>
            <wp:extent cx="715391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0860"/>
          </w:cols>
          <w:pgMar w:left="680" w:top="335" w:right="359" w:bottom="1440" w:gutter="0" w:footer="0" w:header="0"/>
        </w:sectPr>
      </w:pPr>
    </w:p>
    <w:bookmarkStart w:id="23" w:name="page24"/>
    <w:bookmarkEnd w:id="23"/>
    <w:p>
      <w:pPr>
        <w:ind w:right="20"/>
        <w:spacing w:after="0" w:line="286" w:lineRule="auto"/>
        <w:rPr>
          <w:sz w:val="20"/>
          <w:szCs w:val="20"/>
          <w:color w:val="auto"/>
        </w:rPr>
      </w:pPr>
      <w:r>
        <w:rPr>
          <w:rFonts w:ascii="Arial" w:cs="Arial" w:eastAsia="Arial" w:hAnsi="Arial"/>
          <w:sz w:val="17"/>
          <w:szCs w:val="17"/>
          <w:b w:val="1"/>
          <w:bCs w:val="1"/>
          <w:i w:val="1"/>
          <w:iCs w:val="1"/>
          <w:color w:val="auto"/>
        </w:rPr>
        <w:t>Outstanding Equity Awards at Fiscal Year-End</w:t>
      </w:r>
      <w:r>
        <w:rPr>
          <w:rFonts w:ascii="Arial" w:cs="Arial" w:eastAsia="Arial" w:hAnsi="Arial"/>
          <w:sz w:val="17"/>
          <w:szCs w:val="17"/>
          <w:color w:val="auto"/>
        </w:rPr>
        <w:t>. The following table sets forth certain information with respect to outstanding equity awards held by the Named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Officers at the end of fiscal 2019.</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Option Awards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4"/>
                <w:szCs w:val="14"/>
                <w:b w:val="1"/>
                <w:bCs w:val="1"/>
                <w:color w:val="auto"/>
              </w:rPr>
              <w:t>Stock Awards</w:t>
            </w: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44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Incentive</w:t>
            </w:r>
          </w:p>
        </w:tc>
        <w:tc>
          <w:tcPr>
            <w:tcW w:w="44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2"/>
              </w:rPr>
              <w:t>Incentive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Market</w:t>
            </w: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Plan</w:t>
            </w:r>
          </w:p>
        </w:tc>
        <w:tc>
          <w:tcPr>
            <w:tcW w:w="440" w:type="dxa"/>
            <w:vAlign w:val="bottom"/>
          </w:tcPr>
          <w:p>
            <w:pPr>
              <w:spacing w:after="0"/>
              <w:rPr>
                <w:sz w:val="12"/>
                <w:szCs w:val="12"/>
                <w:color w:val="auto"/>
              </w:rPr>
            </w:pPr>
          </w:p>
        </w:tc>
        <w:tc>
          <w:tcPr>
            <w:tcW w:w="72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Awards:</w:t>
            </w:r>
          </w:p>
        </w:tc>
        <w:tc>
          <w:tcPr>
            <w:tcW w:w="44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Awards: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8"/>
              </w:rPr>
              <w:t>Value of</w:t>
            </w: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1"/>
              </w:rPr>
              <w:t>Number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Shares or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5"/>
              </w:rPr>
              <w:t>Shares</w:t>
            </w: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Unearned Shares,</w:t>
            </w:r>
          </w:p>
        </w:tc>
        <w:tc>
          <w:tcPr>
            <w:tcW w:w="440" w:type="dxa"/>
            <w:vAlign w:val="bottom"/>
          </w:tcPr>
          <w:p>
            <w:pPr>
              <w:spacing w:after="0"/>
              <w:rPr>
                <w:sz w:val="12"/>
                <w:szCs w:val="12"/>
                <w:color w:val="auto"/>
              </w:rPr>
            </w:pPr>
          </w:p>
        </w:tc>
        <w:tc>
          <w:tcPr>
            <w:tcW w:w="72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Securities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3"/>
              </w:rPr>
              <w:t>Securities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Units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0"/>
              </w:rPr>
              <w:t>or Units</w:t>
            </w: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Units or</w:t>
            </w:r>
          </w:p>
        </w:tc>
        <w:tc>
          <w:tcPr>
            <w:tcW w:w="440" w:type="dxa"/>
            <w:vAlign w:val="bottom"/>
          </w:tcPr>
          <w:p>
            <w:pPr>
              <w:spacing w:after="0"/>
              <w:rPr>
                <w:sz w:val="12"/>
                <w:szCs w:val="12"/>
                <w:color w:val="auto"/>
              </w:rPr>
            </w:pPr>
          </w:p>
        </w:tc>
        <w:tc>
          <w:tcPr>
            <w:tcW w:w="72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Underlying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6"/>
              </w:rPr>
              <w:t>Securities</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2"/>
              </w:rPr>
              <w:t>Underlying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6"/>
              </w:rPr>
              <w:t>of Stock</w:t>
            </w: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Unexercised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0"/>
              </w:rPr>
              <w:t>Underlying</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Unexercised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That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4"/>
              </w:rPr>
              <w:t>That</w:t>
            </w: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Rights That</w:t>
            </w:r>
          </w:p>
        </w:tc>
        <w:tc>
          <w:tcPr>
            <w:tcW w:w="44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43"/>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Unexercised</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2"/>
              </w:rPr>
              <w:t>Unearned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6"/>
              </w:rPr>
              <w:t>Exercise</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 Expiration</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Have Not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5"/>
              </w:rPr>
              <w:t>Have</w:t>
            </w: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Have Not</w:t>
            </w:r>
          </w:p>
        </w:tc>
        <w:tc>
          <w:tcPr>
            <w:tcW w:w="440" w:type="dxa"/>
            <w:vAlign w:val="bottom"/>
          </w:tcPr>
          <w:p>
            <w:pPr>
              <w:spacing w:after="0"/>
              <w:rPr>
                <w:sz w:val="12"/>
                <w:szCs w:val="12"/>
                <w:color w:val="auto"/>
              </w:rPr>
            </w:pPr>
          </w:p>
        </w:tc>
        <w:tc>
          <w:tcPr>
            <w:tcW w:w="72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90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Options (#)</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44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Not Vested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4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Unexercisable</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1"/>
              <w:spacing w:after="0" w:line="149" w:lineRule="exact"/>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331"/>
              <w:spacing w:after="0" w:line="149" w:lineRule="exact"/>
              <w:rPr>
                <w:sz w:val="20"/>
                <w:szCs w:val="20"/>
                <w:color w:val="auto"/>
              </w:rPr>
            </w:pPr>
            <w:r>
              <w:rPr>
                <w:rFonts w:ascii="Arial" w:cs="Arial" w:eastAsia="Arial" w:hAnsi="Arial"/>
                <w:sz w:val="14"/>
                <w:szCs w:val="14"/>
                <w:b w:val="1"/>
                <w:bCs w:val="1"/>
                <w:color w:val="auto"/>
                <w:w w:val="93"/>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40" w:type="dxa"/>
            <w:vAlign w:val="bottom"/>
            <w:tcBorders>
              <w:top w:val="single" w:sz="8" w:color="auto"/>
            </w:tcBorders>
          </w:tcPr>
          <w:p>
            <w:pPr>
              <w:spacing w:after="0" w:line="144" w:lineRule="exact"/>
              <w:rPr>
                <w:sz w:val="20"/>
                <w:szCs w:val="20"/>
                <w:color w:val="auto"/>
              </w:rPr>
            </w:pPr>
            <w:r>
              <w:rPr>
                <w:rFonts w:ascii="Arial" w:cs="Arial" w:eastAsia="Arial" w:hAnsi="Arial"/>
                <w:sz w:val="14"/>
                <w:szCs w:val="14"/>
                <w:b w:val="1"/>
                <w:bCs w:val="1"/>
                <w:color w:val="auto"/>
              </w:rPr>
              <w:t>Harvey S. Kanter</w:t>
            </w: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ind w:left="680"/>
              <w:spacing w:after="0" w:line="144"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780" w:type="dxa"/>
            <w:vAlign w:val="bottom"/>
            <w:tcBorders>
              <w:top w:val="single" w:sz="8" w:color="auto"/>
            </w:tcBorders>
          </w:tcPr>
          <w:p>
            <w:pPr>
              <w:ind w:left="620"/>
              <w:spacing w:after="0" w:line="144"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color w:val="auto"/>
              </w:rPr>
              <w:t>720,000</w:t>
            </w:r>
          </w:p>
        </w:tc>
        <w:tc>
          <w:tcPr>
            <w:tcW w:w="440" w:type="dxa"/>
            <w:vAlign w:val="bottom"/>
          </w:tcPr>
          <w:p>
            <w:pPr>
              <w:jc w:val="right"/>
              <w:spacing w:after="0" w:line="144" w:lineRule="exact"/>
              <w:rPr>
                <w:sz w:val="20"/>
                <w:szCs w:val="20"/>
                <w:color w:val="auto"/>
              </w:rPr>
            </w:pPr>
            <w:r>
              <w:rPr>
                <w:rFonts w:ascii="Arial" w:cs="Arial" w:eastAsia="Arial" w:hAnsi="Arial"/>
                <w:sz w:val="14"/>
                <w:szCs w:val="14"/>
                <w:color w:val="auto"/>
              </w:rPr>
              <w:t>(2)</w:t>
            </w:r>
          </w:p>
        </w:tc>
        <w:tc>
          <w:tcPr>
            <w:tcW w:w="6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4"/>
                <w:szCs w:val="14"/>
                <w:color w:val="auto"/>
              </w:rPr>
              <w:t>799,200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240,000</w:t>
            </w: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266,400</w:t>
            </w:r>
          </w:p>
        </w:tc>
        <w:tc>
          <w:tcPr>
            <w:tcW w:w="2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72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182,675</w:t>
            </w: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202,769</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David A. Levin</w:t>
            </w:r>
          </w:p>
        </w:tc>
        <w:tc>
          <w:tcPr>
            <w:tcW w:w="9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195,942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3/31/2020</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40" w:type="dxa"/>
            <w:vAlign w:val="bottom"/>
          </w:tcPr>
          <w:p>
            <w:pPr>
              <w:spacing w:after="0" w:line="151" w:lineRule="exact"/>
              <w:rPr>
                <w:sz w:val="20"/>
                <w:szCs w:val="20"/>
                <w:color w:val="auto"/>
              </w:rPr>
            </w:pPr>
            <w:r>
              <w:rPr>
                <w:rFonts w:ascii="Arial" w:cs="Arial" w:eastAsia="Arial" w:hAnsi="Arial"/>
                <w:sz w:val="14"/>
                <w:szCs w:val="14"/>
                <w:b w:val="1"/>
                <w:bCs w:val="1"/>
                <w:color w:val="auto"/>
              </w:rPr>
              <w:t>Peter H. Stratton, Jr.</w:t>
            </w:r>
          </w:p>
        </w:tc>
        <w:tc>
          <w:tcPr>
            <w:tcW w:w="90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8,587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680"/>
              <w:spacing w:after="0" w:line="151"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4.19</w:t>
            </w:r>
          </w:p>
        </w:tc>
        <w:tc>
          <w:tcPr>
            <w:tcW w:w="220" w:type="dxa"/>
            <w:vAlign w:val="bottom"/>
          </w:tcPr>
          <w:p>
            <w:pPr>
              <w:spacing w:after="0"/>
              <w:rPr>
                <w:sz w:val="13"/>
                <w:szCs w:val="13"/>
                <w:color w:val="auto"/>
              </w:rPr>
            </w:pPr>
          </w:p>
        </w:tc>
        <w:tc>
          <w:tcPr>
            <w:tcW w:w="1100" w:type="dxa"/>
            <w:vAlign w:val="bottom"/>
          </w:tcPr>
          <w:p>
            <w:pPr>
              <w:jc w:val="center"/>
              <w:spacing w:after="0" w:line="151" w:lineRule="exact"/>
              <w:rPr>
                <w:sz w:val="20"/>
                <w:szCs w:val="20"/>
                <w:color w:val="auto"/>
              </w:rPr>
            </w:pPr>
            <w:r>
              <w:rPr>
                <w:rFonts w:ascii="Arial" w:cs="Arial" w:eastAsia="Arial" w:hAnsi="Arial"/>
                <w:sz w:val="14"/>
                <w:szCs w:val="14"/>
                <w:color w:val="auto"/>
                <w:w w:val="89"/>
              </w:rPr>
              <w:t>3/16/2021</w:t>
            </w:r>
          </w:p>
        </w:tc>
        <w:tc>
          <w:tcPr>
            <w:tcW w:w="10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line="151"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72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9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33,816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line="156"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5.04</w:t>
            </w:r>
          </w:p>
        </w:tc>
        <w:tc>
          <w:tcPr>
            <w:tcW w:w="22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4"/>
                <w:szCs w:val="14"/>
                <w:color w:val="auto"/>
                <w:w w:val="89"/>
              </w:rPr>
              <w:t>5/28/2023</w:t>
            </w:r>
          </w:p>
        </w:tc>
        <w:tc>
          <w:tcPr>
            <w:tcW w:w="1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72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21,798</w:t>
            </w: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11"/>
              <w:spacing w:after="0" w:line="156" w:lineRule="exact"/>
              <w:rPr>
                <w:sz w:val="20"/>
                <w:szCs w:val="20"/>
                <w:color w:val="auto"/>
              </w:rPr>
            </w:pPr>
            <w:r>
              <w:rPr>
                <w:rFonts w:ascii="Arial" w:cs="Arial" w:eastAsia="Arial" w:hAnsi="Arial"/>
                <w:sz w:val="14"/>
                <w:szCs w:val="14"/>
                <w:color w:val="auto"/>
              </w:rPr>
              <w:t>24,196</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35,509</w:t>
            </w: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39,415</w:t>
            </w:r>
          </w:p>
        </w:tc>
        <w:tc>
          <w:tcPr>
            <w:tcW w:w="2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72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40,423</w:t>
            </w: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44,870</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Robert S. Molloy</w:t>
            </w:r>
          </w:p>
        </w:tc>
        <w:tc>
          <w:tcPr>
            <w:tcW w:w="9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20,606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3.20</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3/19/2020</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13,955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4.19</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3/16/2021</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54,951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5/28/2023</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21,184</w:t>
            </w:r>
          </w:p>
        </w:tc>
        <w:tc>
          <w:tcPr>
            <w:tcW w:w="4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23,514</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33,711</w:t>
            </w:r>
          </w:p>
        </w:tc>
        <w:tc>
          <w:tcPr>
            <w:tcW w:w="4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37,419</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38,377</w:t>
            </w:r>
          </w:p>
        </w:tc>
        <w:tc>
          <w:tcPr>
            <w:tcW w:w="4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42,598</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40" w:type="dxa"/>
            <w:vAlign w:val="bottom"/>
          </w:tcPr>
          <w:p>
            <w:pPr>
              <w:spacing w:after="0" w:line="151" w:lineRule="exact"/>
              <w:rPr>
                <w:sz w:val="20"/>
                <w:szCs w:val="20"/>
                <w:color w:val="auto"/>
              </w:rPr>
            </w:pPr>
            <w:r>
              <w:rPr>
                <w:rFonts w:ascii="Arial" w:cs="Arial" w:eastAsia="Arial" w:hAnsi="Arial"/>
                <w:sz w:val="14"/>
                <w:szCs w:val="14"/>
                <w:b w:val="1"/>
                <w:bCs w:val="1"/>
                <w:color w:val="auto"/>
              </w:rPr>
              <w:t>Francis C. Chane</w:t>
            </w:r>
          </w:p>
        </w:tc>
        <w:tc>
          <w:tcPr>
            <w:tcW w:w="10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auto"/>
              </w:rPr>
              <w:t>38,888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680"/>
              <w:spacing w:after="0" w:line="151"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5.04</w:t>
            </w:r>
          </w:p>
        </w:tc>
        <w:tc>
          <w:tcPr>
            <w:tcW w:w="220" w:type="dxa"/>
            <w:vAlign w:val="bottom"/>
          </w:tcPr>
          <w:p>
            <w:pPr>
              <w:spacing w:after="0"/>
              <w:rPr>
                <w:sz w:val="13"/>
                <w:szCs w:val="13"/>
                <w:color w:val="auto"/>
              </w:rPr>
            </w:pPr>
          </w:p>
        </w:tc>
        <w:tc>
          <w:tcPr>
            <w:tcW w:w="1100" w:type="dxa"/>
            <w:vAlign w:val="bottom"/>
          </w:tcPr>
          <w:p>
            <w:pPr>
              <w:jc w:val="center"/>
              <w:spacing w:after="0" w:line="151" w:lineRule="exact"/>
              <w:rPr>
                <w:sz w:val="20"/>
                <w:szCs w:val="20"/>
                <w:color w:val="auto"/>
              </w:rPr>
            </w:pPr>
            <w:r>
              <w:rPr>
                <w:rFonts w:ascii="Arial" w:cs="Arial" w:eastAsia="Arial" w:hAnsi="Arial"/>
                <w:sz w:val="14"/>
                <w:szCs w:val="14"/>
                <w:color w:val="auto"/>
                <w:w w:val="89"/>
              </w:rPr>
              <w:t>5/28/2023</w:t>
            </w:r>
          </w:p>
        </w:tc>
        <w:tc>
          <w:tcPr>
            <w:tcW w:w="10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20"/>
              <w:spacing w:after="0" w:line="151"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720" w:type="dxa"/>
            <w:vAlign w:val="bottom"/>
            <w:gridSpan w:val="2"/>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15,043</w:t>
            </w: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16,698</w:t>
            </w:r>
          </w:p>
        </w:tc>
        <w:tc>
          <w:tcPr>
            <w:tcW w:w="2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72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25,620</w:t>
            </w: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28,438</w:t>
            </w:r>
          </w:p>
        </w:tc>
        <w:tc>
          <w:tcPr>
            <w:tcW w:w="22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72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29,678</w:t>
            </w: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32,943</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Anthony J. Gaeta</w:t>
            </w:r>
          </w:p>
        </w:tc>
        <w:tc>
          <w:tcPr>
            <w:tcW w:w="90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4"/>
                <w:szCs w:val="14"/>
                <w:color w:val="auto"/>
              </w:rPr>
              <w:t>18,719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jc w:val="center"/>
              <w:spacing w:after="0" w:line="156" w:lineRule="exact"/>
              <w:rPr>
                <w:sz w:val="20"/>
                <w:szCs w:val="20"/>
                <w:color w:val="auto"/>
              </w:rPr>
            </w:pPr>
            <w:r>
              <w:rPr>
                <w:rFonts w:ascii="Arial" w:cs="Arial" w:eastAsia="Arial" w:hAnsi="Arial"/>
                <w:sz w:val="14"/>
                <w:szCs w:val="14"/>
                <w:color w:val="auto"/>
                <w:w w:val="89"/>
              </w:rPr>
              <w:t>5/28/2023</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16,778</w:t>
            </w:r>
          </w:p>
        </w:tc>
        <w:tc>
          <w:tcPr>
            <w:tcW w:w="4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18,624</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25,620</w:t>
            </w:r>
          </w:p>
        </w:tc>
        <w:tc>
          <w:tcPr>
            <w:tcW w:w="4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28,438</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680"/>
              <w:spacing w:after="0" w:line="15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ind w:left="62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30,190</w:t>
            </w:r>
          </w:p>
        </w:tc>
        <w:tc>
          <w:tcPr>
            <w:tcW w:w="44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33,511</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740" w:hanging="371"/>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value of shares was calculated using the closing price of our common stock of $1.11 on January 31, 2020.</w:t>
      </w:r>
    </w:p>
    <w:p>
      <w:pPr>
        <w:spacing w:after="0" w:line="117" w:lineRule="exact"/>
        <w:rPr>
          <w:rFonts w:ascii="Arial" w:cs="Arial" w:eastAsia="Arial" w:hAnsi="Arial"/>
          <w:sz w:val="17"/>
          <w:szCs w:val="17"/>
          <w:color w:val="auto"/>
        </w:rPr>
      </w:pPr>
    </w:p>
    <w:p>
      <w:pPr>
        <w:ind w:left="740" w:right="80" w:hanging="371"/>
        <w:spacing w:after="0" w:line="266"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awards represent sign-on awards to Mr. Kanter and consists of a grant of 240,000 RSUs that will vest ratably over four years, beginning on April 1, 2020 and a grant of 720,000 PSUs that will vest in installments when the following milestones are met: one-third of the PSUs vest when the trailing 90-day VWAP is $4.00, one-third of the PSUs vest when the VWAP is $6.00 and one-third when the VWAP is $8.00. All PSUs will expire on April 1, 2023 if no performance metric is achieved.</w:t>
      </w:r>
    </w:p>
    <w:p>
      <w:pPr>
        <w:spacing w:after="0" w:line="71" w:lineRule="exact"/>
        <w:rPr>
          <w:rFonts w:ascii="Arial" w:cs="Arial" w:eastAsia="Arial" w:hAnsi="Arial"/>
          <w:sz w:val="17"/>
          <w:szCs w:val="17"/>
          <w:color w:val="auto"/>
        </w:rPr>
      </w:pPr>
    </w:p>
    <w:p>
      <w:pPr>
        <w:ind w:left="740" w:right="200" w:hanging="371"/>
        <w:spacing w:after="0" w:line="286"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awards represent the unvested portion of RSUs granted on August 7, 2019 in connection with our 2019-2021 LTIP. These awards vest in four equal installments on August 7, 2020, April 1, 2021, April 1, 2022 and April 1, 2023.</w:t>
      </w:r>
    </w:p>
    <w:p>
      <w:pPr>
        <w:spacing w:after="0" w:line="55" w:lineRule="exact"/>
        <w:rPr>
          <w:rFonts w:ascii="Arial" w:cs="Arial" w:eastAsia="Arial" w:hAnsi="Arial"/>
          <w:sz w:val="17"/>
          <w:szCs w:val="17"/>
          <w:color w:val="auto"/>
        </w:rPr>
      </w:pPr>
    </w:p>
    <w:p>
      <w:pPr>
        <w:ind w:left="740" w:right="60" w:hanging="371"/>
        <w:spacing w:after="0" w:line="286"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awards represent the unvested portion of RSUs granted on April 3, 2017 (and an incremental award on November 27, 2017 to Mr. Gaeta related to his promotion) in connection with our 2017-2018 LTIP. These awards vested on April 1, 2020.</w:t>
      </w:r>
    </w:p>
    <w:p>
      <w:pPr>
        <w:spacing w:after="0" w:line="55" w:lineRule="exact"/>
        <w:rPr>
          <w:rFonts w:ascii="Arial" w:cs="Arial" w:eastAsia="Arial" w:hAnsi="Arial"/>
          <w:sz w:val="17"/>
          <w:szCs w:val="17"/>
          <w:color w:val="auto"/>
        </w:rPr>
      </w:pPr>
    </w:p>
    <w:p>
      <w:pPr>
        <w:ind w:left="740" w:right="40" w:hanging="371"/>
        <w:spacing w:after="0" w:line="286" w:lineRule="auto"/>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awards represent the unvested portion of RSUs granted on October 24, 2018 in connection with our 2018-2020 LTIP. These awards vest in three remaining tranches on April 1, 2020, April 1, 2021 and April 1, 2022.</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4" w:name="page25"/>
    <w:bookmarkEnd w:id="24"/>
    <w:p>
      <w:pPr>
        <w:ind w:right="300"/>
        <w:spacing w:after="0" w:line="319" w:lineRule="auto"/>
        <w:rPr>
          <w:sz w:val="20"/>
          <w:szCs w:val="20"/>
          <w:color w:val="auto"/>
        </w:rPr>
      </w:pPr>
      <w:r>
        <w:rPr>
          <w:rFonts w:ascii="Arial" w:cs="Arial" w:eastAsia="Arial" w:hAnsi="Arial"/>
          <w:sz w:val="16"/>
          <w:szCs w:val="16"/>
          <w:b w:val="1"/>
          <w:bCs w:val="1"/>
          <w:i w:val="1"/>
          <w:iCs w:val="1"/>
          <w:color w:val="auto"/>
        </w:rPr>
        <w:t xml:space="preserve">Option Exercises and Stock Vested Table. </w:t>
      </w:r>
      <w:r>
        <w:rPr>
          <w:rFonts w:ascii="Arial" w:cs="Arial" w:eastAsia="Arial" w:hAnsi="Arial"/>
          <w:sz w:val="16"/>
          <w:szCs w:val="16"/>
          <w:color w:val="auto"/>
        </w:rPr>
        <w:t>The following table sets forth information for the Named Executive Officers with respect to the exercise of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and the vesting of stock awards during fiscal 2019. No options were exercised by any Named Executive Officer in fiscal 2019.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OPTION EXERCISES AND STOCK VESTED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1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6"/>
        </w:trPr>
        <w:tc>
          <w:tcPr>
            <w:tcW w:w="7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88"/>
              </w:rPr>
              <w:t>Number of shares</w:t>
            </w:r>
          </w:p>
        </w:tc>
        <w:tc>
          <w:tcPr>
            <w:tcW w:w="300" w:type="dxa"/>
            <w:vAlign w:val="bottom"/>
          </w:tcPr>
          <w:p>
            <w:pPr>
              <w:spacing w:after="0"/>
              <w:rPr>
                <w:sz w:val="11"/>
                <w:szCs w:val="11"/>
                <w:color w:val="auto"/>
              </w:rPr>
            </w:pPr>
          </w:p>
        </w:tc>
        <w:tc>
          <w:tcPr>
            <w:tcW w:w="1380" w:type="dxa"/>
            <w:vAlign w:val="bottom"/>
            <w:gridSpan w:val="2"/>
          </w:tcPr>
          <w:p>
            <w:pPr>
              <w:jc w:val="center"/>
              <w:ind w:right="420"/>
              <w:spacing w:after="0" w:line="137" w:lineRule="exact"/>
              <w:rPr>
                <w:sz w:val="20"/>
                <w:szCs w:val="20"/>
                <w:color w:val="auto"/>
              </w:rPr>
            </w:pPr>
            <w:r>
              <w:rPr>
                <w:rFonts w:ascii="Arial" w:cs="Arial" w:eastAsia="Arial" w:hAnsi="Arial"/>
                <w:sz w:val="13"/>
                <w:szCs w:val="13"/>
                <w:b w:val="1"/>
                <w:bCs w:val="1"/>
                <w:color w:val="auto"/>
                <w:w w:val="92"/>
              </w:rPr>
              <w:t>Value Realized</w:t>
            </w:r>
          </w:p>
        </w:tc>
      </w:tr>
      <w:tr>
        <w:trPr>
          <w:trHeight w:val="143"/>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86"/>
              </w:rPr>
              <w:t>Vested (1)</w:t>
            </w:r>
          </w:p>
        </w:tc>
        <w:tc>
          <w:tcPr>
            <w:tcW w:w="300" w:type="dxa"/>
            <w:vAlign w:val="bottom"/>
          </w:tcPr>
          <w:p>
            <w:pPr>
              <w:spacing w:after="0"/>
              <w:rPr>
                <w:sz w:val="12"/>
                <w:szCs w:val="12"/>
                <w:color w:val="auto"/>
              </w:rPr>
            </w:pPr>
          </w:p>
        </w:tc>
        <w:tc>
          <w:tcPr>
            <w:tcW w:w="1380" w:type="dxa"/>
            <w:vAlign w:val="bottom"/>
            <w:gridSpan w:val="2"/>
          </w:tcPr>
          <w:p>
            <w:pPr>
              <w:jc w:val="center"/>
              <w:ind w:right="440"/>
              <w:spacing w:after="0" w:line="143" w:lineRule="exact"/>
              <w:rPr>
                <w:sz w:val="20"/>
                <w:szCs w:val="20"/>
                <w:color w:val="auto"/>
              </w:rPr>
            </w:pPr>
            <w:r>
              <w:rPr>
                <w:rFonts w:ascii="Arial" w:cs="Arial" w:eastAsia="Arial" w:hAnsi="Arial"/>
                <w:sz w:val="13"/>
                <w:szCs w:val="13"/>
                <w:b w:val="1"/>
                <w:bCs w:val="1"/>
                <w:color w:val="auto"/>
                <w:w w:val="87"/>
              </w:rPr>
              <w:t>on Vesting</w:t>
            </w:r>
          </w:p>
        </w:tc>
      </w:tr>
      <w:tr>
        <w:trPr>
          <w:trHeight w:val="156"/>
        </w:trPr>
        <w:tc>
          <w:tcPr>
            <w:tcW w:w="7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3"/>
                <w:szCs w:val="13"/>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214"/>
        </w:trPr>
        <w:tc>
          <w:tcPr>
            <w:tcW w:w="7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Harvey S. Kanter</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7"/>
                <w:szCs w:val="17"/>
                <w:color w:val="auto"/>
              </w:rPr>
              <w:t>David A. Levin</w:t>
            </w:r>
          </w:p>
        </w:tc>
        <w:tc>
          <w:tcPr>
            <w:tcW w:w="1560" w:type="dxa"/>
            <w:vAlign w:val="bottom"/>
          </w:tcPr>
          <w:p>
            <w:pPr>
              <w:jc w:val="right"/>
              <w:spacing w:after="0"/>
              <w:rPr>
                <w:sz w:val="20"/>
                <w:szCs w:val="20"/>
                <w:color w:val="auto"/>
              </w:rPr>
            </w:pPr>
            <w:r>
              <w:rPr>
                <w:rFonts w:ascii="Arial" w:cs="Arial" w:eastAsia="Arial" w:hAnsi="Arial"/>
                <w:sz w:val="17"/>
                <w:szCs w:val="17"/>
                <w:color w:val="auto"/>
              </w:rPr>
              <w:t>361,573</w:t>
            </w:r>
          </w:p>
        </w:tc>
        <w:tc>
          <w:tcPr>
            <w:tcW w:w="26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601,756</w:t>
            </w:r>
          </w:p>
        </w:tc>
        <w:tc>
          <w:tcPr>
            <w:tcW w:w="120" w:type="dxa"/>
            <w:vAlign w:val="bottom"/>
          </w:tcPr>
          <w:p>
            <w:pPr>
              <w:spacing w:after="0"/>
              <w:rPr>
                <w:sz w:val="19"/>
                <w:szCs w:val="19"/>
                <w:color w:val="auto"/>
              </w:rPr>
            </w:pPr>
          </w:p>
        </w:tc>
      </w:tr>
      <w:tr>
        <w:trPr>
          <w:trHeight w:val="221"/>
        </w:trPr>
        <w:tc>
          <w:tcPr>
            <w:tcW w:w="7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Peter H. Stratton, Jr.</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58,196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120,788</w:t>
            </w:r>
          </w:p>
        </w:tc>
        <w:tc>
          <w:tcPr>
            <w:tcW w:w="120" w:type="dxa"/>
            <w:vAlign w:val="bottom"/>
            <w:shd w:val="clear" w:color="auto" w:fill="CFF0FC"/>
          </w:tcPr>
          <w:p>
            <w:pPr>
              <w:spacing w:after="0"/>
              <w:rPr>
                <w:sz w:val="19"/>
                <w:szCs w:val="19"/>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7"/>
                <w:szCs w:val="17"/>
                <w:color w:val="auto"/>
              </w:rPr>
              <w:t>Robert S. Molloy</w:t>
            </w:r>
          </w:p>
        </w:tc>
        <w:tc>
          <w:tcPr>
            <w:tcW w:w="1560" w:type="dxa"/>
            <w:vAlign w:val="bottom"/>
          </w:tcPr>
          <w:p>
            <w:pPr>
              <w:jc w:val="right"/>
              <w:spacing w:after="0"/>
              <w:rPr>
                <w:sz w:val="20"/>
                <w:szCs w:val="20"/>
                <w:color w:val="auto"/>
              </w:rPr>
            </w:pPr>
            <w:r>
              <w:rPr>
                <w:rFonts w:ascii="Arial" w:cs="Arial" w:eastAsia="Arial" w:hAnsi="Arial"/>
                <w:sz w:val="17"/>
                <w:szCs w:val="17"/>
                <w:color w:val="auto"/>
              </w:rPr>
              <w:t>56,003</w:t>
            </w:r>
          </w:p>
        </w:tc>
        <w:tc>
          <w:tcPr>
            <w:tcW w:w="26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116,331</w:t>
            </w:r>
          </w:p>
        </w:tc>
        <w:tc>
          <w:tcPr>
            <w:tcW w:w="120" w:type="dxa"/>
            <w:vAlign w:val="bottom"/>
          </w:tcPr>
          <w:p>
            <w:pPr>
              <w:spacing w:after="0"/>
              <w:rPr>
                <w:sz w:val="19"/>
                <w:szCs w:val="19"/>
                <w:color w:val="auto"/>
              </w:rPr>
            </w:pPr>
          </w:p>
        </w:tc>
      </w:tr>
      <w:tr>
        <w:trPr>
          <w:trHeight w:val="221"/>
        </w:trPr>
        <w:tc>
          <w:tcPr>
            <w:tcW w:w="7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Francis C. Chane</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40,572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83,938</w:t>
            </w:r>
          </w:p>
        </w:tc>
        <w:tc>
          <w:tcPr>
            <w:tcW w:w="120" w:type="dxa"/>
            <w:vAlign w:val="bottom"/>
            <w:shd w:val="clear" w:color="auto" w:fill="CFF0FC"/>
          </w:tcPr>
          <w:p>
            <w:pPr>
              <w:spacing w:after="0"/>
              <w:rPr>
                <w:sz w:val="19"/>
                <w:szCs w:val="19"/>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7"/>
                <w:szCs w:val="17"/>
                <w:color w:val="auto"/>
              </w:rPr>
              <w:t>Anthony J. Gaeta</w:t>
            </w:r>
          </w:p>
        </w:tc>
        <w:tc>
          <w:tcPr>
            <w:tcW w:w="1560" w:type="dxa"/>
            <w:vAlign w:val="bottom"/>
          </w:tcPr>
          <w:p>
            <w:pPr>
              <w:jc w:val="right"/>
              <w:spacing w:after="0"/>
              <w:rPr>
                <w:sz w:val="20"/>
                <w:szCs w:val="20"/>
                <w:color w:val="auto"/>
              </w:rPr>
            </w:pPr>
            <w:r>
              <w:rPr>
                <w:rFonts w:ascii="Arial" w:cs="Arial" w:eastAsia="Arial" w:hAnsi="Arial"/>
                <w:sz w:val="17"/>
                <w:szCs w:val="17"/>
                <w:color w:val="auto"/>
              </w:rPr>
              <w:t>37,157</w:t>
            </w:r>
          </w:p>
        </w:tc>
        <w:tc>
          <w:tcPr>
            <w:tcW w:w="26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76,348</w:t>
            </w:r>
          </w:p>
        </w:tc>
        <w:tc>
          <w:tcPr>
            <w:tcW w:w="120" w:type="dxa"/>
            <w:vAlign w:val="bottom"/>
          </w:tcPr>
          <w:p>
            <w:pPr>
              <w:spacing w:after="0"/>
              <w:rPr>
                <w:sz w:val="19"/>
                <w:szCs w:val="19"/>
                <w:color w:val="auto"/>
              </w:rPr>
            </w:pPr>
          </w:p>
        </w:tc>
      </w:tr>
      <w:tr>
        <w:trPr>
          <w:trHeight w:val="221"/>
        </w:trPr>
        <w:tc>
          <w:tcPr>
            <w:tcW w:w="77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Brian S. Reaves</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91,011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170,907</w:t>
            </w:r>
          </w:p>
        </w:tc>
        <w:tc>
          <w:tcPr>
            <w:tcW w:w="120" w:type="dxa"/>
            <w:vAlign w:val="bottom"/>
            <w:shd w:val="clear" w:color="auto" w:fill="CFF0FC"/>
          </w:tcPr>
          <w:p>
            <w:pPr>
              <w:spacing w:after="0"/>
              <w:rPr>
                <w:sz w:val="19"/>
                <w:szCs w:val="19"/>
                <w:color w:val="auto"/>
              </w:rPr>
            </w:pPr>
          </w:p>
        </w:tc>
      </w:tr>
      <w:tr>
        <w:trPr>
          <w:trHeight w:val="221"/>
        </w:trPr>
        <w:tc>
          <w:tcPr>
            <w:tcW w:w="7740" w:type="dxa"/>
            <w:vAlign w:val="bottom"/>
            <w:gridSpan w:val="2"/>
          </w:tcPr>
          <w:p>
            <w:pPr>
              <w:spacing w:after="0"/>
              <w:rPr>
                <w:sz w:val="20"/>
                <w:szCs w:val="20"/>
                <w:color w:val="auto"/>
              </w:rPr>
            </w:pPr>
            <w:r>
              <w:rPr>
                <w:rFonts w:ascii="Arial" w:cs="Arial" w:eastAsia="Arial" w:hAnsi="Arial"/>
                <w:sz w:val="17"/>
                <w:szCs w:val="17"/>
                <w:color w:val="auto"/>
              </w:rPr>
              <w:t>James S. Davey</w:t>
            </w:r>
          </w:p>
        </w:tc>
        <w:tc>
          <w:tcPr>
            <w:tcW w:w="1560" w:type="dxa"/>
            <w:vAlign w:val="bottom"/>
          </w:tcPr>
          <w:p>
            <w:pPr>
              <w:jc w:val="right"/>
              <w:spacing w:after="0"/>
              <w:rPr>
                <w:sz w:val="20"/>
                <w:szCs w:val="20"/>
                <w:color w:val="auto"/>
              </w:rPr>
            </w:pPr>
            <w:r>
              <w:rPr>
                <w:rFonts w:ascii="Arial" w:cs="Arial" w:eastAsia="Arial" w:hAnsi="Arial"/>
                <w:sz w:val="17"/>
                <w:szCs w:val="17"/>
                <w:color w:val="auto"/>
              </w:rPr>
              <w:t>72,307</w:t>
            </w:r>
          </w:p>
        </w:tc>
        <w:tc>
          <w:tcPr>
            <w:tcW w:w="26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150,560</w:t>
            </w:r>
          </w:p>
        </w:tc>
        <w:tc>
          <w:tcPr>
            <w:tcW w:w="120" w:type="dxa"/>
            <w:vAlign w:val="bottom"/>
          </w:tcPr>
          <w:p>
            <w:pPr>
              <w:spacing w:after="0"/>
              <w:rPr>
                <w:sz w:val="19"/>
                <w:szCs w:val="19"/>
                <w:color w:val="auto"/>
              </w:rPr>
            </w:pPr>
          </w:p>
        </w:tc>
      </w:tr>
    </w:tbl>
    <w:p>
      <w:pPr>
        <w:spacing w:after="0" w:line="300" w:lineRule="exact"/>
        <w:rPr>
          <w:sz w:val="20"/>
          <w:szCs w:val="20"/>
          <w:color w:val="auto"/>
        </w:rPr>
      </w:pPr>
    </w:p>
    <w:p>
      <w:pPr>
        <w:ind w:left="480" w:hanging="424"/>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stock awards that vested during fiscal 2019 include awards granted under the 2016-2017 LTIP, 2017-2018 LTIP and 2018-2020 LTIP.</w:t>
      </w:r>
    </w:p>
    <w:p>
      <w:pPr>
        <w:spacing w:after="0" w:line="117" w:lineRule="exact"/>
        <w:rPr>
          <w:rFonts w:ascii="Arial" w:cs="Arial" w:eastAsia="Arial" w:hAnsi="Arial"/>
          <w:sz w:val="17"/>
          <w:szCs w:val="17"/>
          <w:color w:val="auto"/>
        </w:rPr>
      </w:pPr>
    </w:p>
    <w:p>
      <w:pPr>
        <w:ind w:left="480" w:right="320" w:hanging="424"/>
        <w:spacing w:after="0" w:line="271"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Pension Benefits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 of our Named Executive Officers was a participant in any pension plan and, therefore, none has accumulated benefits.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Non-Qualified Deferred Compensation</w:t>
      </w:r>
    </w:p>
    <w:p>
      <w:pPr>
        <w:spacing w:after="0" w:line="12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401(k) Plan</w:t>
      </w:r>
    </w:p>
    <w:p>
      <w:pPr>
        <w:spacing w:after="0" w:line="12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 has one defined contribution plan, the Destination XL Group, Inc. 401(k) Savings Plan (the “401(k) Plan”).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Arial" w:cs="Arial" w:eastAsia="Arial" w:hAnsi="Arial"/>
          <w:sz w:val="16"/>
          <w:szCs w:val="16"/>
          <w:i w:val="1"/>
          <w:iCs w:val="1"/>
          <w:color w:val="auto"/>
        </w:rPr>
        <w:t>All Other Compensation</w:t>
      </w:r>
      <w:r>
        <w:rPr>
          <w:rFonts w:ascii="Arial" w:cs="Arial" w:eastAsia="Arial" w:hAnsi="Arial"/>
          <w:sz w:val="16"/>
          <w:szCs w:val="16"/>
          <w:color w:val="auto"/>
        </w:rPr>
        <w:t>” table. In May 2018, in connection with our cost reduction initiatives, employer contributions to the 401(k) Plan were suspended, effective July 1, 2018 until December 31, 2019. As a result, there were no employer contributions in fiscal 2019.</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Man Insurance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We had a key man life insurance policy on the life of Mr. Levin in the amount of $2,000,000 until January 15, 2020.</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23"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The Compensation Committee is responsible for reviewing and making recommendations to our Board with respect to the compensation paid to our non-employee directors. Pursuant to the Company’s Fourth Amended and Restated Compensation Plan (the “Non-Employee Director Compensation Plan”), non-employee directors are compensated as follows:</w:t>
      </w:r>
    </w:p>
    <w:p>
      <w:pPr>
        <w:spacing w:after="0" w:line="67" w:lineRule="exact"/>
        <w:rPr>
          <w:sz w:val="20"/>
          <w:szCs w:val="20"/>
          <w:color w:val="auto"/>
        </w:rPr>
      </w:pPr>
    </w:p>
    <w:p>
      <w:pPr>
        <w:ind w:left="800" w:hanging="366"/>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independent director receives a quarterly retainer of $30,000;</w:t>
      </w:r>
    </w:p>
    <w:p>
      <w:pPr>
        <w:spacing w:after="0" w:line="117" w:lineRule="exact"/>
        <w:rPr>
          <w:rFonts w:ascii="Arial" w:cs="Arial" w:eastAsia="Arial" w:hAnsi="Arial"/>
          <w:sz w:val="17"/>
          <w:szCs w:val="17"/>
          <w:color w:val="auto"/>
        </w:rPr>
      </w:pPr>
    </w:p>
    <w:p>
      <w:pPr>
        <w:ind w:left="800" w:hanging="366"/>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Chairman of the Board or Lead Director, as applicable, will receive a quarterly retainer of $5,000;</w:t>
      </w:r>
    </w:p>
    <w:p>
      <w:pPr>
        <w:spacing w:after="0" w:line="117" w:lineRule="exact"/>
        <w:rPr>
          <w:rFonts w:ascii="Arial" w:cs="Arial" w:eastAsia="Arial" w:hAnsi="Arial"/>
          <w:sz w:val="17"/>
          <w:szCs w:val="17"/>
          <w:color w:val="auto"/>
        </w:rPr>
      </w:pPr>
    </w:p>
    <w:p>
      <w:pPr>
        <w:ind w:left="800" w:hanging="366"/>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Chairperson of the Audit Committee will receive a quarterly retainer of $2,500; and</w:t>
      </w:r>
    </w:p>
    <w:p>
      <w:pPr>
        <w:spacing w:after="0" w:line="117" w:lineRule="exact"/>
        <w:rPr>
          <w:rFonts w:ascii="Arial" w:cs="Arial" w:eastAsia="Arial" w:hAnsi="Arial"/>
          <w:sz w:val="17"/>
          <w:szCs w:val="17"/>
          <w:color w:val="auto"/>
        </w:rPr>
      </w:pPr>
    </w:p>
    <w:p>
      <w:pPr>
        <w:ind w:left="800" w:hanging="366"/>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Chairperson of each other Board committee will receive a quarterly retainer of $1,250.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5" w:name="page26"/>
    <w:bookmarkEnd w:id="25"/>
    <w:p>
      <w:pPr>
        <w:ind w:right="60"/>
        <w:spacing w:after="0" w:line="261" w:lineRule="auto"/>
        <w:rPr>
          <w:sz w:val="20"/>
          <w:szCs w:val="20"/>
          <w:color w:val="auto"/>
        </w:rPr>
      </w:pPr>
      <w:r>
        <w:rPr>
          <w:rFonts w:ascii="Arial" w:cs="Arial" w:eastAsia="Arial" w:hAnsi="Arial"/>
          <w:sz w:val="17"/>
          <w:szCs w:val="17"/>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Non-Employee Director Compensation Plan. There are 500,000 shares authorized for issuance under this plan for the sole purpose of satisfying elections to receive shares of common stock in lieu of cash for service as a director, of which 187,897 shares remain available for future issuances at February 1, 2020.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7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Each non-employee director is required to receive 50% of his or her annual retainer in equity, in the form of stock options, stock or deferred shares. Because the Non-Employee Director Compensation Plan is not a shareholder-approved plan and the acquisition of equity must be voluntary under Nasdaq rules, we cannot utilize shares under this plan to satisfy this mandated election. Therefore, in fiscal 2019 any grants of equity to satisfy this required election were issued from the 2016 Plan. Any voluntary election of shares, above this 50% retainer requirement, was issued from the Non-Employee Director Compensation Plan. Stock options and deferred shares were issued from the 2016 Plan.</w:t>
      </w:r>
    </w:p>
    <w:p>
      <w:pPr>
        <w:spacing w:after="0" w:line="179"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3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connection with the COVID-19 pandemic, in March 2020, the non-employee directors agreed to suspend their compensation for the second quarter of fiscal 2020.</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Compensation Table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table sets forth the compensation paid to our directors during fiscal 2019. Harvey S. Kanter is not included in the following table as he is a Named Executive Officer and, accordingly, received no compensation for his services as a director. Compensation earned by Mr. Kanter is included above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DIRECTOR COMPENSATION TABLE</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Fees Earned or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3"/>
                <w:szCs w:val="13"/>
                <w:color w:val="auto"/>
              </w:rPr>
            </w:pPr>
          </w:p>
        </w:tc>
        <w:tc>
          <w:tcPr>
            <w:tcW w:w="720" w:type="dxa"/>
            <w:vAlign w:val="bottom"/>
          </w:tcPr>
          <w:p>
            <w:pPr>
              <w:jc w:val="center"/>
              <w:ind w:right="99"/>
              <w:spacing w:after="0"/>
              <w:rPr>
                <w:sz w:val="20"/>
                <w:szCs w:val="20"/>
                <w:color w:val="auto"/>
              </w:rPr>
            </w:pPr>
            <w:r>
              <w:rPr>
                <w:rFonts w:ascii="Arial" w:cs="Arial" w:eastAsia="Arial" w:hAnsi="Arial"/>
                <w:sz w:val="13"/>
                <w:szCs w:val="13"/>
                <w:b w:val="1"/>
                <w:bCs w:val="1"/>
                <w:color w:val="auto"/>
                <w:w w:val="90"/>
              </w:rPr>
              <w:t>Option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9"/>
              <w:spacing w:after="0"/>
              <w:rPr>
                <w:sz w:val="20"/>
                <w:szCs w:val="20"/>
                <w:color w:val="auto"/>
              </w:rPr>
            </w:pPr>
            <w:r>
              <w:rPr>
                <w:rFonts w:ascii="Arial" w:cs="Arial" w:eastAsia="Arial" w:hAnsi="Arial"/>
                <w:sz w:val="13"/>
                <w:szCs w:val="13"/>
                <w:b w:val="1"/>
                <w:bCs w:val="1"/>
                <w:color w:val="auto"/>
                <w:w w:val="98"/>
              </w:rPr>
              <w:t>All Other</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3"/>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36"/>
              <w:spacing w:after="0" w:line="143" w:lineRule="exact"/>
              <w:rPr>
                <w:sz w:val="20"/>
                <w:szCs w:val="20"/>
                <w:color w:val="auto"/>
              </w:rPr>
            </w:pPr>
            <w:r>
              <w:rPr>
                <w:rFonts w:ascii="Arial" w:cs="Arial" w:eastAsia="Arial" w:hAnsi="Arial"/>
                <w:sz w:val="13"/>
                <w:szCs w:val="13"/>
                <w:b w:val="1"/>
                <w:bCs w:val="1"/>
                <w:color w:val="auto"/>
              </w:rPr>
              <w:t>Paid in Cash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20"/>
              <w:spacing w:after="0" w:line="143" w:lineRule="exact"/>
              <w:rPr>
                <w:sz w:val="20"/>
                <w:szCs w:val="20"/>
                <w:color w:val="auto"/>
              </w:rPr>
            </w:pPr>
            <w:r>
              <w:rPr>
                <w:rFonts w:ascii="Arial" w:cs="Arial" w:eastAsia="Arial" w:hAnsi="Arial"/>
                <w:sz w:val="13"/>
                <w:szCs w:val="13"/>
                <w:b w:val="1"/>
                <w:bCs w:val="1"/>
                <w:color w:val="auto"/>
                <w:w w:val="89"/>
              </w:rPr>
              <w:t>Awards</w:t>
            </w:r>
          </w:p>
        </w:tc>
        <w:tc>
          <w:tcPr>
            <w:tcW w:w="160" w:type="dxa"/>
            <w:vAlign w:val="bottom"/>
          </w:tcPr>
          <w:p>
            <w:pPr>
              <w:spacing w:after="0"/>
              <w:rPr>
                <w:sz w:val="12"/>
                <w:szCs w:val="12"/>
                <w:color w:val="auto"/>
              </w:rPr>
            </w:pPr>
          </w:p>
        </w:tc>
        <w:tc>
          <w:tcPr>
            <w:tcW w:w="720" w:type="dxa"/>
            <w:vAlign w:val="bottom"/>
          </w:tcPr>
          <w:p>
            <w:pPr>
              <w:jc w:val="center"/>
              <w:ind w:right="99"/>
              <w:spacing w:after="0" w:line="143" w:lineRule="exact"/>
              <w:rPr>
                <w:sz w:val="20"/>
                <w:szCs w:val="20"/>
                <w:color w:val="auto"/>
              </w:rPr>
            </w:pPr>
            <w:r>
              <w:rPr>
                <w:rFonts w:ascii="Arial" w:cs="Arial" w:eastAsia="Arial" w:hAnsi="Arial"/>
                <w:sz w:val="13"/>
                <w:szCs w:val="13"/>
                <w:b w:val="1"/>
                <w:bCs w:val="1"/>
                <w:color w:val="auto"/>
                <w:w w:val="89"/>
              </w:rPr>
              <w:t>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9"/>
              <w:spacing w:after="0" w:line="143" w:lineRule="exact"/>
              <w:rPr>
                <w:sz w:val="20"/>
                <w:szCs w:val="20"/>
                <w:color w:val="auto"/>
              </w:rPr>
            </w:pPr>
            <w:r>
              <w:rPr>
                <w:rFonts w:ascii="Arial" w:cs="Arial" w:eastAsia="Arial" w:hAnsi="Arial"/>
                <w:sz w:val="13"/>
                <w:szCs w:val="13"/>
                <w:b w:val="1"/>
                <w:bCs w:val="1"/>
                <w:color w:val="auto"/>
                <w:w w:val="88"/>
              </w:rPr>
              <w:t>Compensation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160"/>
              <w:spacing w:after="0" w:line="143" w:lineRule="exact"/>
              <w:rPr>
                <w:sz w:val="20"/>
                <w:szCs w:val="20"/>
                <w:color w:val="auto"/>
              </w:rPr>
            </w:pPr>
            <w:r>
              <w:rPr>
                <w:rFonts w:ascii="Arial" w:cs="Arial" w:eastAsia="Arial" w:hAnsi="Arial"/>
                <w:sz w:val="13"/>
                <w:szCs w:val="13"/>
                <w:b w:val="1"/>
                <w:bCs w:val="1"/>
                <w:color w:val="auto"/>
              </w:rPr>
              <w:t>Total</w:t>
            </w:r>
          </w:p>
        </w:tc>
      </w:tr>
      <w:tr>
        <w:trPr>
          <w:trHeight w:val="156"/>
        </w:trPr>
        <w:tc>
          <w:tcPr>
            <w:tcW w:w="4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w w:val="78"/>
              </w:rPr>
              <w:t>)(1)</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94"/>
              </w:rPr>
              <w:t>($)(2)</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94"/>
              </w:rPr>
              <w:t>($)(3)</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4"/>
              </w:rPr>
              <w:t>($)(4)</w:t>
            </w:r>
          </w:p>
        </w:tc>
        <w:tc>
          <w:tcPr>
            <w:tcW w:w="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FF0FC"/>
            </w:tcBorders>
          </w:tcPr>
          <w:p>
            <w:pPr>
              <w:spacing w:after="0"/>
              <w:rPr>
                <w:sz w:val="13"/>
                <w:szCs w:val="13"/>
                <w:color w:val="auto"/>
              </w:rPr>
            </w:pPr>
          </w:p>
        </w:tc>
      </w:tr>
      <w:tr>
        <w:trPr>
          <w:trHeight w:val="214"/>
        </w:trPr>
        <w:tc>
          <w:tcPr>
            <w:tcW w:w="4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John E. Kyees, Chairman</w:t>
            </w: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72,500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72,491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144,991</w:t>
            </w:r>
          </w:p>
        </w:tc>
        <w:tc>
          <w:tcPr>
            <w:tcW w:w="120" w:type="dxa"/>
            <w:vAlign w:val="bottom"/>
            <w:shd w:val="clear" w:color="auto" w:fill="CFF0FC"/>
          </w:tcPr>
          <w:p>
            <w:pPr>
              <w:spacing w:after="0"/>
              <w:rPr>
                <w:sz w:val="18"/>
                <w:szCs w:val="18"/>
                <w:color w:val="auto"/>
              </w:rPr>
            </w:pPr>
          </w:p>
        </w:tc>
      </w:tr>
      <w:tr>
        <w:trPr>
          <w:trHeight w:val="221"/>
        </w:trPr>
        <w:tc>
          <w:tcPr>
            <w:tcW w:w="4900" w:type="dxa"/>
            <w:vAlign w:val="bottom"/>
            <w:gridSpan w:val="2"/>
          </w:tcPr>
          <w:p>
            <w:pPr>
              <w:spacing w:after="0"/>
              <w:rPr>
                <w:sz w:val="20"/>
                <w:szCs w:val="20"/>
                <w:color w:val="auto"/>
              </w:rPr>
            </w:pPr>
            <w:r>
              <w:rPr>
                <w:rFonts w:ascii="Arial" w:cs="Arial" w:eastAsia="Arial" w:hAnsi="Arial"/>
                <w:sz w:val="17"/>
                <w:szCs w:val="17"/>
                <w:color w:val="auto"/>
              </w:rPr>
              <w:t>Jack Boyle</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60,000</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59,997</w:t>
            </w:r>
          </w:p>
        </w:tc>
        <w:tc>
          <w:tcPr>
            <w:tcW w:w="24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119,997</w:t>
            </w:r>
          </w:p>
        </w:tc>
        <w:tc>
          <w:tcPr>
            <w:tcW w:w="120" w:type="dxa"/>
            <w:vAlign w:val="bottom"/>
          </w:tcPr>
          <w:p>
            <w:pPr>
              <w:spacing w:after="0"/>
              <w:rPr>
                <w:sz w:val="19"/>
                <w:szCs w:val="19"/>
                <w:color w:val="auto"/>
              </w:rPr>
            </w:pPr>
          </w:p>
        </w:tc>
      </w:tr>
      <w:tr>
        <w:trPr>
          <w:trHeight w:val="221"/>
        </w:trPr>
        <w:tc>
          <w:tcPr>
            <w:tcW w:w="4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Lionel F. Conacher</w:t>
            </w: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60,000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119,997</w:t>
            </w:r>
          </w:p>
        </w:tc>
        <w:tc>
          <w:tcPr>
            <w:tcW w:w="120" w:type="dxa"/>
            <w:vAlign w:val="bottom"/>
            <w:shd w:val="clear" w:color="auto" w:fill="CFF0FC"/>
          </w:tcPr>
          <w:p>
            <w:pPr>
              <w:spacing w:after="0"/>
              <w:rPr>
                <w:sz w:val="19"/>
                <w:szCs w:val="19"/>
                <w:color w:val="auto"/>
              </w:rPr>
            </w:pPr>
          </w:p>
        </w:tc>
      </w:tr>
      <w:tr>
        <w:trPr>
          <w:trHeight w:val="221"/>
        </w:trPr>
        <w:tc>
          <w:tcPr>
            <w:tcW w:w="4900" w:type="dxa"/>
            <w:vAlign w:val="bottom"/>
            <w:gridSpan w:val="2"/>
          </w:tcPr>
          <w:p>
            <w:pPr>
              <w:spacing w:after="0"/>
              <w:rPr>
                <w:sz w:val="20"/>
                <w:szCs w:val="20"/>
                <w:color w:val="auto"/>
              </w:rPr>
            </w:pPr>
            <w:r>
              <w:rPr>
                <w:rFonts w:ascii="Arial" w:cs="Arial" w:eastAsia="Arial" w:hAnsi="Arial"/>
                <w:sz w:val="17"/>
                <w:szCs w:val="17"/>
                <w:color w:val="auto"/>
              </w:rPr>
              <w:t>Seymour Holtzman, former Executive Chairman</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200,000</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200,000</w:t>
            </w:r>
          </w:p>
        </w:tc>
        <w:tc>
          <w:tcPr>
            <w:tcW w:w="120" w:type="dxa"/>
            <w:vAlign w:val="bottom"/>
          </w:tcPr>
          <w:p>
            <w:pPr>
              <w:spacing w:after="0"/>
              <w:rPr>
                <w:sz w:val="19"/>
                <w:szCs w:val="19"/>
                <w:color w:val="auto"/>
              </w:rPr>
            </w:pPr>
          </w:p>
        </w:tc>
      </w:tr>
      <w:tr>
        <w:trPr>
          <w:trHeight w:val="221"/>
        </w:trPr>
        <w:tc>
          <w:tcPr>
            <w:tcW w:w="4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Willem Mesdag</w:t>
            </w: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124,992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124,992</w:t>
            </w:r>
          </w:p>
        </w:tc>
        <w:tc>
          <w:tcPr>
            <w:tcW w:w="120" w:type="dxa"/>
            <w:vAlign w:val="bottom"/>
            <w:shd w:val="clear" w:color="auto" w:fill="CFF0FC"/>
          </w:tcPr>
          <w:p>
            <w:pPr>
              <w:spacing w:after="0"/>
              <w:rPr>
                <w:sz w:val="19"/>
                <w:szCs w:val="19"/>
                <w:color w:val="auto"/>
              </w:rPr>
            </w:pPr>
          </w:p>
        </w:tc>
      </w:tr>
      <w:tr>
        <w:trPr>
          <w:trHeight w:val="221"/>
        </w:trPr>
        <w:tc>
          <w:tcPr>
            <w:tcW w:w="4900" w:type="dxa"/>
            <w:vAlign w:val="bottom"/>
            <w:gridSpan w:val="2"/>
          </w:tcPr>
          <w:p>
            <w:pPr>
              <w:spacing w:after="0"/>
              <w:rPr>
                <w:sz w:val="20"/>
                <w:szCs w:val="20"/>
                <w:color w:val="auto"/>
              </w:rPr>
            </w:pPr>
            <w:r>
              <w:rPr>
                <w:rFonts w:ascii="Arial" w:cs="Arial" w:eastAsia="Arial" w:hAnsi="Arial"/>
                <w:sz w:val="17"/>
                <w:szCs w:val="17"/>
                <w:color w:val="auto"/>
              </w:rPr>
              <w:t>Ward K. Mooney</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65,000</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64,993</w:t>
            </w:r>
          </w:p>
        </w:tc>
        <w:tc>
          <w:tcPr>
            <w:tcW w:w="24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129,993</w:t>
            </w:r>
          </w:p>
        </w:tc>
        <w:tc>
          <w:tcPr>
            <w:tcW w:w="120" w:type="dxa"/>
            <w:vAlign w:val="bottom"/>
          </w:tcPr>
          <w:p>
            <w:pPr>
              <w:spacing w:after="0"/>
              <w:rPr>
                <w:sz w:val="19"/>
                <w:szCs w:val="19"/>
                <w:color w:val="auto"/>
              </w:rPr>
            </w:pPr>
          </w:p>
        </w:tc>
      </w:tr>
      <w:tr>
        <w:trPr>
          <w:trHeight w:val="221"/>
        </w:trPr>
        <w:tc>
          <w:tcPr>
            <w:tcW w:w="49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Mitchell S. Presser</w:t>
            </w: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124,992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124,992</w:t>
            </w:r>
          </w:p>
        </w:tc>
        <w:tc>
          <w:tcPr>
            <w:tcW w:w="120" w:type="dxa"/>
            <w:vAlign w:val="bottom"/>
            <w:shd w:val="clear" w:color="auto" w:fill="CFF0FC"/>
          </w:tcPr>
          <w:p>
            <w:pPr>
              <w:spacing w:after="0"/>
              <w:rPr>
                <w:sz w:val="19"/>
                <w:szCs w:val="19"/>
                <w:color w:val="auto"/>
              </w:rPr>
            </w:pPr>
          </w:p>
        </w:tc>
      </w:tr>
      <w:tr>
        <w:trPr>
          <w:trHeight w:val="221"/>
        </w:trPr>
        <w:tc>
          <w:tcPr>
            <w:tcW w:w="4900" w:type="dxa"/>
            <w:vAlign w:val="bottom"/>
            <w:gridSpan w:val="2"/>
          </w:tcPr>
          <w:p>
            <w:pPr>
              <w:spacing w:after="0"/>
              <w:rPr>
                <w:sz w:val="20"/>
                <w:szCs w:val="20"/>
                <w:color w:val="auto"/>
              </w:rPr>
            </w:pPr>
            <w:r>
              <w:rPr>
                <w:rFonts w:ascii="Arial" w:cs="Arial" w:eastAsia="Arial" w:hAnsi="Arial"/>
                <w:sz w:val="17"/>
                <w:szCs w:val="17"/>
                <w:color w:val="auto"/>
              </w:rPr>
              <w:t>Ivy Ross</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61,250</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59,997</w:t>
            </w:r>
          </w:p>
        </w:tc>
        <w:tc>
          <w:tcPr>
            <w:tcW w:w="24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121,247</w:t>
            </w:r>
          </w:p>
        </w:tc>
        <w:tc>
          <w:tcPr>
            <w:tcW w:w="120" w:type="dxa"/>
            <w:vAlign w:val="bottom"/>
          </w:tcPr>
          <w:p>
            <w:pPr>
              <w:spacing w:after="0"/>
              <w:rPr>
                <w:sz w:val="19"/>
                <w:szCs w:val="19"/>
                <w:color w:val="auto"/>
              </w:rPr>
            </w:pPr>
          </w:p>
        </w:tc>
      </w:tr>
      <w:tr>
        <w:trPr>
          <w:trHeight w:val="221"/>
        </w:trPr>
        <w:tc>
          <w:tcPr>
            <w:tcW w:w="4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bl>
    <w:p>
      <w:pPr>
        <w:spacing w:after="0" w:line="235" w:lineRule="exact"/>
        <w:rPr>
          <w:sz w:val="20"/>
          <w:szCs w:val="20"/>
          <w:color w:val="auto"/>
        </w:rPr>
      </w:pPr>
    </w:p>
    <w:p>
      <w:pPr>
        <w:ind w:left="740" w:right="20" w:hanging="371"/>
        <w:spacing w:after="0" w:line="292" w:lineRule="auto"/>
        <w:tabs>
          <w:tab w:leader="none" w:pos="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All non-employee directors are required to receive at least 50% of their annual retainer in the form of equity. For fiscal 2019, Mr. Presser elected to receive all compensation, including his retainer and chair fees, in unrestricted shares of our common stock and Mr. Mesdag elected to receive all compensation, including his retainer and chair fees, in deferred stock. Mr. Kyees elected to receive his compensation, including his retainer, Chairman of the Board and chair fees, in a combination of 50% deferred stock and 50% cash. Messrs. Boyle, Conacher, Mooney, Ms. Ross and Mr. Walsh elected to receive 50% of their retainer in unrestricted shares of our common stock and 50% in cash. With respect to chairperson fees, Ms. Ross elected cash and Mr. Mooney elected a combination of 50% cash and 50% unrestricted shares. The number of shares issued as payment for an earned director fee is determined by taking the director fee earned and dividing by the consolidated closing price of our common stock on the grant</w:t>
      </w:r>
    </w:p>
    <w:p>
      <w:pPr>
        <w:spacing w:after="0" w:line="1" w:lineRule="exact"/>
        <w:rPr>
          <w:rFonts w:ascii="Arial" w:cs="Arial" w:eastAsia="Arial" w:hAnsi="Arial"/>
          <w:sz w:val="15"/>
          <w:szCs w:val="15"/>
          <w:color w:val="auto"/>
        </w:rPr>
      </w:pPr>
    </w:p>
    <w:p>
      <w:pPr>
        <w:ind w:left="740"/>
        <w:spacing w:after="0"/>
        <w:rPr>
          <w:rFonts w:ascii="Arial" w:cs="Arial" w:eastAsia="Arial" w:hAnsi="Arial"/>
          <w:sz w:val="15"/>
          <w:szCs w:val="15"/>
          <w:color w:val="auto"/>
        </w:rPr>
      </w:pPr>
      <w:r>
        <w:rPr>
          <w:rFonts w:ascii="Arial" w:cs="Arial" w:eastAsia="Arial" w:hAnsi="Arial"/>
          <w:sz w:val="17"/>
          <w:szCs w:val="17"/>
          <w:color w:val="auto"/>
        </w:rPr>
        <w:t>date. Payments are made at the beginning of each quarter, with the grant date being the first business day of each respective quarter.</w:t>
      </w:r>
    </w:p>
    <w:p>
      <w:pPr>
        <w:spacing w:after="0" w:line="12" w:lineRule="exact"/>
        <w:rPr>
          <w:rFonts w:ascii="Arial" w:cs="Arial" w:eastAsia="Arial" w:hAnsi="Arial"/>
          <w:sz w:val="15"/>
          <w:szCs w:val="15"/>
          <w:color w:val="auto"/>
        </w:rPr>
      </w:pPr>
    </w:p>
    <w:p>
      <w:pPr>
        <w:ind w:left="740" w:hanging="371"/>
        <w:spacing w:after="0"/>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the portion of each director’s compensation that was paid in the form of equity.</w:t>
      </w:r>
    </w:p>
    <w:p>
      <w:pPr>
        <w:spacing w:after="0" w:line="12" w:lineRule="exact"/>
        <w:rPr>
          <w:rFonts w:ascii="Arial" w:cs="Arial" w:eastAsia="Arial" w:hAnsi="Arial"/>
          <w:sz w:val="17"/>
          <w:szCs w:val="17"/>
          <w:color w:val="auto"/>
        </w:rPr>
      </w:pPr>
    </w:p>
    <w:p>
      <w:pPr>
        <w:ind w:left="740" w:right="500" w:hanging="371"/>
        <w:spacing w:after="0" w:line="303"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were no stock option grants to any of the directors in fiscal 2019. Each director had the following number of stock options outstanding at February 1, 2020: Mr. Kyees: 43,648; Mr. Boyle: 15,000; Mr. Conacher: 15,000; Mr. Mesdag: 15,000; Ms. Ross: 15,000.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ind w:left="740" w:right="660" w:hanging="371"/>
        <w:spacing w:after="0" w:line="286"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Holtzman received compensation from us pursuant to the Employment and Chairman Compensation Agreement. See “</w:t>
      </w:r>
      <w:r>
        <w:rPr>
          <w:rFonts w:ascii="Arial" w:cs="Arial" w:eastAsia="Arial" w:hAnsi="Arial"/>
          <w:sz w:val="17"/>
          <w:szCs w:val="17"/>
          <w:i w:val="1"/>
          <w:iCs w:val="1"/>
          <w:color w:val="auto"/>
        </w:rPr>
        <w:t>Former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Chairman Compensation</w:t>
      </w:r>
      <w:r>
        <w:rPr>
          <w:rFonts w:ascii="Arial" w:cs="Arial" w:eastAsia="Arial" w:hAnsi="Arial"/>
          <w:sz w:val="17"/>
          <w:szCs w:val="17"/>
          <w:color w:val="auto"/>
        </w:rPr>
        <w:t>” below for additional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Former Executive Chairman Compensation</w:t>
      </w:r>
    </w:p>
    <w:p>
      <w:pPr>
        <w:spacing w:after="0" w:line="117"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Since August 7, 2014, Mr. Holtzman has been compensated for his services pursuant to an Employment and Chairman Compensation Agreement (“Compensation Agreement”). Pursuant to that agreement, Mr. Holtzman has served as both an employee of the Company, reporting to the Board, and as Executive Chairman, with the duties of the Chairman of the Board set forth in the Company’s Fourth Amended and Restated By-Laws. The initial term of the agreement was for two years and was automatically extended for additional one-year terms.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Pursuant to the agreement, initially Mr. Holtzman was entitled to receive an annual base salary of $24,000 for his employment services and an annual compensation of $372,750 for his services as Executive Chairman. The agreement was amended on May 25, 2017 to reduce his Executive Chairman compensation to $200,000. On August 9, 2018, the agreement was further amended to reduce his Executive Chairman compensation to $176,000 and to provide written notification to Mr. Holtzman that the Company would not be extending the term of the agreement and, as a result, the agreement will terminate on August 7, 2020.</w:t>
      </w:r>
    </w:p>
    <w:p>
      <w:pPr>
        <w:spacing w:after="0" w:line="179" w:lineRule="exact"/>
        <w:rPr>
          <w:sz w:val="20"/>
          <w:szCs w:val="20"/>
          <w:color w:val="auto"/>
        </w:rPr>
      </w:pPr>
    </w:p>
    <w:p>
      <w:pPr>
        <w:ind w:right="500"/>
        <w:spacing w:after="0" w:line="323" w:lineRule="auto"/>
        <w:rPr>
          <w:sz w:val="20"/>
          <w:szCs w:val="20"/>
          <w:color w:val="auto"/>
        </w:rPr>
      </w:pPr>
      <w:r>
        <w:rPr>
          <w:rFonts w:ascii="Arial" w:cs="Arial" w:eastAsia="Arial" w:hAnsi="Arial"/>
          <w:sz w:val="15"/>
          <w:szCs w:val="15"/>
          <w:color w:val="auto"/>
        </w:rPr>
        <w:t>On January 24, 2019, the Board voted to adopt an independent Board chairman structure and elected John Kyees as the Company’s new independent, non-executive Chairman, replacing Mr. Holtzman. Mr. Holtzman continues to serve as a director of the Company and will continue to receive his annual compensation of $176,000 as a director and an annual base salary of $24,000 for his services as an employee of the Company through August 7, 2020.</w:t>
      </w:r>
    </w:p>
    <w:p>
      <w:pPr>
        <w:spacing w:after="0" w:line="13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2019.</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23"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None of the members of the Compensation Committee who served on the Compensation Committee during fiscal 2019 was at any time during fiscal 2019 or at any other time an officer or employee of our Company. During fiscal 2019, none of our executive officers served as a member of the board of directors or compensation committee of any other entity that had one or more executive officers serving as a member of our Board or Compensation Committee.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7" w:name="page28"/>
    <w:bookmarkEnd w:id="27"/>
    <w:p>
      <w:pPr>
        <w:ind w:right="3340"/>
        <w:spacing w:after="0" w:line="387" w:lineRule="auto"/>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r>
        <w:rPr>
          <w:rFonts w:ascii="Arial" w:cs="Arial" w:eastAsia="Arial" w:hAnsi="Arial"/>
          <w:sz w:val="17"/>
          <w:szCs w:val="17"/>
          <w:b w:val="1"/>
          <w:bCs w:val="1"/>
          <w:color w:val="auto"/>
        </w:rPr>
        <w:t xml:space="preserve"> Security Ownership of Certain Beneficial Owners</w:t>
      </w:r>
    </w:p>
    <w:p>
      <w:pPr>
        <w:spacing w:after="0" w:line="1" w:lineRule="exact"/>
        <w:rPr>
          <w:sz w:val="20"/>
          <w:szCs w:val="20"/>
          <w:color w:val="auto"/>
        </w:rPr>
      </w:pPr>
    </w:p>
    <w:p>
      <w:pPr>
        <w:jc w:val="both"/>
        <w:ind w:right="340"/>
        <w:spacing w:after="0" w:line="295" w:lineRule="auto"/>
        <w:rPr>
          <w:sz w:val="20"/>
          <w:szCs w:val="20"/>
          <w:color w:val="auto"/>
        </w:rPr>
      </w:pPr>
      <w:r>
        <w:rPr>
          <w:rFonts w:ascii="Arial" w:cs="Arial" w:eastAsia="Arial" w:hAnsi="Arial"/>
          <w:sz w:val="15"/>
          <w:szCs w:val="15"/>
          <w:color w:val="auto"/>
        </w:rPr>
        <w:t>The following table sets forth certain information with respect to persons known to us to be the beneficial owners of more than five percent of the issued and outstanding shares of our common stock as of May 15, 2020. We were informed that, except as indicated, each person has sole voting and investment power with respect to all shares of our common stock shown as beneficially owned by such person, subject to community property laws where applicable.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5"/>
              <w:spacing w:after="0"/>
              <w:rPr>
                <w:sz w:val="20"/>
                <w:szCs w:val="20"/>
                <w:color w:val="auto"/>
              </w:rPr>
            </w:pPr>
            <w:r>
              <w:rPr>
                <w:rFonts w:ascii="Arial" w:cs="Arial" w:eastAsia="Arial" w:hAnsi="Arial"/>
                <w:sz w:val="16"/>
                <w:szCs w:val="16"/>
                <w:b w:val="1"/>
                <w:bCs w:val="1"/>
                <w:color w:val="auto"/>
                <w:w w:val="95"/>
              </w:rPr>
              <w:t>Number of Shares</w:t>
            </w:r>
          </w:p>
        </w:tc>
        <w:tc>
          <w:tcPr>
            <w:tcW w:w="480" w:type="dxa"/>
            <w:vAlign w:val="bottom"/>
          </w:tcPr>
          <w:p>
            <w:pPr>
              <w:spacing w:after="0"/>
              <w:rPr>
                <w:sz w:val="16"/>
                <w:szCs w:val="16"/>
                <w:color w:val="auto"/>
              </w:rPr>
            </w:pPr>
          </w:p>
        </w:tc>
        <w:tc>
          <w:tcPr>
            <w:tcW w:w="1360" w:type="dxa"/>
            <w:vAlign w:val="bottom"/>
            <w:gridSpan w:val="2"/>
          </w:tcPr>
          <w:p>
            <w:pPr>
              <w:jc w:val="right"/>
              <w:ind w:right="153"/>
              <w:spacing w:after="0"/>
              <w:rPr>
                <w:sz w:val="20"/>
                <w:szCs w:val="20"/>
                <w:color w:val="auto"/>
              </w:rPr>
            </w:pPr>
            <w:r>
              <w:rPr>
                <w:rFonts w:ascii="Arial" w:cs="Arial" w:eastAsia="Arial" w:hAnsi="Arial"/>
                <w:sz w:val="16"/>
                <w:szCs w:val="16"/>
                <w:b w:val="1"/>
                <w:bCs w:val="1"/>
                <w:color w:val="auto"/>
                <w:w w:val="87"/>
              </w:rPr>
              <w:t>Percent of Class</w:t>
            </w:r>
          </w:p>
        </w:tc>
      </w:tr>
      <w:tr>
        <w:trPr>
          <w:trHeight w:val="206"/>
        </w:trPr>
        <w:tc>
          <w:tcPr>
            <w:tcW w:w="7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20" w:type="dxa"/>
            <w:vAlign w:val="bottom"/>
            <w:tcBorders>
              <w:bottom w:val="single" w:sz="8" w:color="CFF0FC"/>
            </w:tcBorders>
          </w:tcPr>
          <w:p>
            <w:pPr>
              <w:spacing w:after="0"/>
              <w:rPr>
                <w:sz w:val="17"/>
                <w:szCs w:val="17"/>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2"/>
              </w:rPr>
              <w:t>Beneficially Owned</w:t>
            </w:r>
          </w:p>
        </w:tc>
        <w:tc>
          <w:tcPr>
            <w:tcW w:w="48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CFF0FC"/>
            </w:tcBorders>
          </w:tcPr>
          <w:p>
            <w:pPr>
              <w:spacing w:after="0"/>
              <w:rPr>
                <w:sz w:val="17"/>
                <w:szCs w:val="17"/>
                <w:color w:val="auto"/>
              </w:rPr>
            </w:pPr>
          </w:p>
        </w:tc>
      </w:tr>
      <w:tr>
        <w:trPr>
          <w:trHeight w:val="205"/>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Red Mountain Capital Partners, LLC</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8,668,995</w:t>
            </w:r>
          </w:p>
        </w:tc>
        <w:tc>
          <w:tcPr>
            <w:tcW w:w="48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16.9</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79"/>
              </w:rPr>
              <w:t>%</w:t>
            </w:r>
          </w:p>
        </w:tc>
      </w:tr>
      <w:tr>
        <w:trPr>
          <w:trHeight w:val="208"/>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Red Mountain Partners, L.P.</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8"/>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RMCP GP LLC</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8"/>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Red Mountain Capital Management, Inc.</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8"/>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Willem Mesdag</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8"/>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10100 Santa Monica Boulevard, Suite 925</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 Angeles, California 90067</w:t>
            </w:r>
          </w:p>
        </w:tc>
        <w:tc>
          <w:tcPr>
            <w:tcW w:w="14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08"/>
        </w:trPr>
        <w:tc>
          <w:tcPr>
            <w:tcW w:w="7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9"/>
        </w:trPr>
        <w:tc>
          <w:tcPr>
            <w:tcW w:w="7920" w:type="dxa"/>
            <w:vAlign w:val="bottom"/>
            <w:gridSpan w:val="2"/>
          </w:tcPr>
          <w:p>
            <w:pPr>
              <w:spacing w:after="0"/>
              <w:rPr>
                <w:sz w:val="20"/>
                <w:szCs w:val="20"/>
                <w:color w:val="auto"/>
              </w:rPr>
            </w:pPr>
            <w:r>
              <w:rPr>
                <w:rFonts w:ascii="Arial" w:cs="Arial" w:eastAsia="Arial" w:hAnsi="Arial"/>
                <w:sz w:val="17"/>
                <w:szCs w:val="17"/>
                <w:color w:val="auto"/>
              </w:rPr>
              <w:t>J. Carlo Cannell</w:t>
            </w:r>
          </w:p>
        </w:tc>
        <w:tc>
          <w:tcPr>
            <w:tcW w:w="1480" w:type="dxa"/>
            <w:vAlign w:val="bottom"/>
          </w:tcPr>
          <w:p>
            <w:pPr>
              <w:jc w:val="right"/>
              <w:spacing w:after="0"/>
              <w:rPr>
                <w:sz w:val="20"/>
                <w:szCs w:val="20"/>
                <w:color w:val="auto"/>
              </w:rPr>
            </w:pPr>
            <w:r>
              <w:rPr>
                <w:rFonts w:ascii="Arial" w:cs="Arial" w:eastAsia="Arial" w:hAnsi="Arial"/>
                <w:sz w:val="17"/>
                <w:szCs w:val="17"/>
                <w:color w:val="auto"/>
              </w:rPr>
              <w:t>5,413,680</w:t>
            </w:r>
          </w:p>
        </w:tc>
        <w:tc>
          <w:tcPr>
            <w:tcW w:w="480" w:type="dxa"/>
            <w:vAlign w:val="bottom"/>
          </w:tcPr>
          <w:p>
            <w:pPr>
              <w:jc w:val="right"/>
              <w:spacing w:after="0"/>
              <w:rPr>
                <w:sz w:val="20"/>
                <w:szCs w:val="20"/>
                <w:color w:val="auto"/>
              </w:rPr>
            </w:pPr>
            <w:r>
              <w:rPr>
                <w:rFonts w:ascii="Arial" w:cs="Arial" w:eastAsia="Arial" w:hAnsi="Arial"/>
                <w:sz w:val="17"/>
                <w:szCs w:val="17"/>
                <w:color w:val="auto"/>
              </w:rPr>
              <w:t>(3)</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10.6%</w:t>
            </w:r>
          </w:p>
        </w:tc>
      </w:tr>
      <w:tr>
        <w:trPr>
          <w:trHeight w:val="208"/>
        </w:trPr>
        <w:tc>
          <w:tcPr>
            <w:tcW w:w="7920" w:type="dxa"/>
            <w:vAlign w:val="bottom"/>
            <w:gridSpan w:val="2"/>
          </w:tcPr>
          <w:p>
            <w:pPr>
              <w:spacing w:after="0"/>
              <w:rPr>
                <w:sz w:val="20"/>
                <w:szCs w:val="20"/>
                <w:color w:val="auto"/>
              </w:rPr>
            </w:pPr>
            <w:r>
              <w:rPr>
                <w:rFonts w:ascii="Arial" w:cs="Arial" w:eastAsia="Arial" w:hAnsi="Arial"/>
                <w:sz w:val="17"/>
                <w:szCs w:val="17"/>
                <w:color w:val="auto"/>
              </w:rPr>
              <w:t>245 Meriwether Circle</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7"/>
                <w:szCs w:val="17"/>
                <w:color w:val="auto"/>
              </w:rPr>
              <w:t>Alta, Wyoming 83414</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8"/>
        </w:trPr>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Seymour Holtzman</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4,792,018</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9.4%</w:t>
            </w:r>
          </w:p>
        </w:tc>
      </w:tr>
      <w:tr>
        <w:trPr>
          <w:trHeight w:val="208"/>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100 N Wilkes Barre Blvd.</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Wilkes Barre, PA 18702</w:t>
            </w:r>
          </w:p>
        </w:tc>
        <w:tc>
          <w:tcPr>
            <w:tcW w:w="14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08"/>
        </w:trPr>
        <w:tc>
          <w:tcPr>
            <w:tcW w:w="7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9"/>
        </w:trPr>
        <w:tc>
          <w:tcPr>
            <w:tcW w:w="7920" w:type="dxa"/>
            <w:vAlign w:val="bottom"/>
            <w:gridSpan w:val="2"/>
          </w:tcPr>
          <w:p>
            <w:pPr>
              <w:spacing w:after="0"/>
              <w:rPr>
                <w:sz w:val="20"/>
                <w:szCs w:val="20"/>
                <w:color w:val="auto"/>
              </w:rPr>
            </w:pPr>
            <w:r>
              <w:rPr>
                <w:rFonts w:ascii="Arial" w:cs="Arial" w:eastAsia="Arial" w:hAnsi="Arial"/>
                <w:sz w:val="17"/>
                <w:szCs w:val="17"/>
                <w:color w:val="auto"/>
              </w:rPr>
              <w:t>Prescott Group Capital Management, L.L.C.</w:t>
            </w:r>
          </w:p>
        </w:tc>
        <w:tc>
          <w:tcPr>
            <w:tcW w:w="1480" w:type="dxa"/>
            <w:vAlign w:val="bottom"/>
          </w:tcPr>
          <w:p>
            <w:pPr>
              <w:jc w:val="right"/>
              <w:spacing w:after="0"/>
              <w:rPr>
                <w:sz w:val="20"/>
                <w:szCs w:val="20"/>
                <w:color w:val="auto"/>
              </w:rPr>
            </w:pPr>
            <w:r>
              <w:rPr>
                <w:rFonts w:ascii="Arial" w:cs="Arial" w:eastAsia="Arial" w:hAnsi="Arial"/>
                <w:sz w:val="17"/>
                <w:szCs w:val="17"/>
                <w:color w:val="auto"/>
              </w:rPr>
              <w:t>4,188,324</w:t>
            </w:r>
          </w:p>
        </w:tc>
        <w:tc>
          <w:tcPr>
            <w:tcW w:w="480" w:type="dxa"/>
            <w:vAlign w:val="bottom"/>
          </w:tcPr>
          <w:p>
            <w:pPr>
              <w:jc w:val="right"/>
              <w:spacing w:after="0"/>
              <w:rPr>
                <w:sz w:val="20"/>
                <w:szCs w:val="20"/>
                <w:color w:val="auto"/>
              </w:rPr>
            </w:pPr>
            <w:r>
              <w:rPr>
                <w:rFonts w:ascii="Arial" w:cs="Arial" w:eastAsia="Arial" w:hAnsi="Arial"/>
                <w:sz w:val="17"/>
                <w:szCs w:val="17"/>
                <w:color w:val="auto"/>
              </w:rPr>
              <w:t>(5)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8.2%</w:t>
            </w:r>
          </w:p>
        </w:tc>
      </w:tr>
      <w:tr>
        <w:trPr>
          <w:trHeight w:val="208"/>
        </w:trPr>
        <w:tc>
          <w:tcPr>
            <w:tcW w:w="7920" w:type="dxa"/>
            <w:vAlign w:val="bottom"/>
            <w:gridSpan w:val="2"/>
          </w:tcPr>
          <w:p>
            <w:pPr>
              <w:spacing w:after="0"/>
              <w:rPr>
                <w:sz w:val="20"/>
                <w:szCs w:val="20"/>
                <w:color w:val="auto"/>
              </w:rPr>
            </w:pPr>
            <w:r>
              <w:rPr>
                <w:rFonts w:ascii="Arial" w:cs="Arial" w:eastAsia="Arial" w:hAnsi="Arial"/>
                <w:sz w:val="17"/>
                <w:szCs w:val="17"/>
                <w:color w:val="auto"/>
              </w:rPr>
              <w:t>Prescott Group Aggressive Small Cap, L.P.</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8"/>
        </w:trPr>
        <w:tc>
          <w:tcPr>
            <w:tcW w:w="7920" w:type="dxa"/>
            <w:vAlign w:val="bottom"/>
            <w:gridSpan w:val="2"/>
          </w:tcPr>
          <w:p>
            <w:pPr>
              <w:spacing w:after="0"/>
              <w:rPr>
                <w:sz w:val="20"/>
                <w:szCs w:val="20"/>
                <w:color w:val="auto"/>
              </w:rPr>
            </w:pPr>
            <w:r>
              <w:rPr>
                <w:rFonts w:ascii="Arial" w:cs="Arial" w:eastAsia="Arial" w:hAnsi="Arial"/>
                <w:sz w:val="17"/>
                <w:szCs w:val="17"/>
                <w:color w:val="auto"/>
              </w:rPr>
              <w:t>Prescott Group Aggressive Small Cap II, L.P.</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8"/>
        </w:trPr>
        <w:tc>
          <w:tcPr>
            <w:tcW w:w="7920" w:type="dxa"/>
            <w:vAlign w:val="bottom"/>
            <w:gridSpan w:val="2"/>
          </w:tcPr>
          <w:p>
            <w:pPr>
              <w:spacing w:after="0"/>
              <w:rPr>
                <w:sz w:val="20"/>
                <w:szCs w:val="20"/>
                <w:color w:val="auto"/>
              </w:rPr>
            </w:pPr>
            <w:r>
              <w:rPr>
                <w:rFonts w:ascii="Arial" w:cs="Arial" w:eastAsia="Arial" w:hAnsi="Arial"/>
                <w:sz w:val="17"/>
                <w:szCs w:val="17"/>
                <w:color w:val="auto"/>
              </w:rPr>
              <w:t>Phil Frohlich</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8"/>
        </w:trPr>
        <w:tc>
          <w:tcPr>
            <w:tcW w:w="7920" w:type="dxa"/>
            <w:vAlign w:val="bottom"/>
            <w:gridSpan w:val="2"/>
          </w:tcPr>
          <w:p>
            <w:pPr>
              <w:spacing w:after="0"/>
              <w:rPr>
                <w:sz w:val="20"/>
                <w:szCs w:val="20"/>
                <w:color w:val="auto"/>
              </w:rPr>
            </w:pPr>
            <w:r>
              <w:rPr>
                <w:rFonts w:ascii="Arial" w:cs="Arial" w:eastAsia="Arial" w:hAnsi="Arial"/>
                <w:sz w:val="17"/>
                <w:szCs w:val="17"/>
                <w:color w:val="auto"/>
              </w:rPr>
              <w:t>1924 South Utica, Suite 1120</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7"/>
                <w:szCs w:val="17"/>
                <w:color w:val="auto"/>
              </w:rPr>
              <w:t>Tulsa, Oklahoma 74104-6529</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8"/>
        </w:trPr>
        <w:tc>
          <w:tcPr>
            <w:tcW w:w="7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Glenn J. Krevlin</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4,104,751</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8.0%</w:t>
            </w:r>
          </w:p>
        </w:tc>
      </w:tr>
      <w:tr>
        <w:trPr>
          <w:trHeight w:val="208"/>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600 Fifth Avenue, 11th Floor</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New York, New York 10020</w:t>
            </w:r>
          </w:p>
        </w:tc>
        <w:tc>
          <w:tcPr>
            <w:tcW w:w="14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08"/>
        </w:trPr>
        <w:tc>
          <w:tcPr>
            <w:tcW w:w="7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9"/>
        </w:trPr>
        <w:tc>
          <w:tcPr>
            <w:tcW w:w="7920" w:type="dxa"/>
            <w:vAlign w:val="bottom"/>
            <w:gridSpan w:val="2"/>
          </w:tcPr>
          <w:p>
            <w:pPr>
              <w:spacing w:after="0"/>
              <w:rPr>
                <w:sz w:val="20"/>
                <w:szCs w:val="20"/>
                <w:color w:val="auto"/>
              </w:rPr>
            </w:pPr>
            <w:r>
              <w:rPr>
                <w:rFonts w:ascii="Arial" w:cs="Arial" w:eastAsia="Arial" w:hAnsi="Arial"/>
                <w:sz w:val="17"/>
                <w:szCs w:val="17"/>
                <w:color w:val="auto"/>
              </w:rPr>
              <w:t>Signia Capital Management, LLC</w:t>
            </w:r>
          </w:p>
        </w:tc>
        <w:tc>
          <w:tcPr>
            <w:tcW w:w="1480" w:type="dxa"/>
            <w:vAlign w:val="bottom"/>
          </w:tcPr>
          <w:p>
            <w:pPr>
              <w:jc w:val="right"/>
              <w:spacing w:after="0"/>
              <w:rPr>
                <w:sz w:val="20"/>
                <w:szCs w:val="20"/>
                <w:color w:val="auto"/>
              </w:rPr>
            </w:pPr>
            <w:r>
              <w:rPr>
                <w:rFonts w:ascii="Arial" w:cs="Arial" w:eastAsia="Arial" w:hAnsi="Arial"/>
                <w:sz w:val="17"/>
                <w:szCs w:val="17"/>
                <w:color w:val="auto"/>
              </w:rPr>
              <w:t>2,576,230</w:t>
            </w:r>
          </w:p>
        </w:tc>
        <w:tc>
          <w:tcPr>
            <w:tcW w:w="480" w:type="dxa"/>
            <w:vAlign w:val="bottom"/>
          </w:tcPr>
          <w:p>
            <w:pPr>
              <w:jc w:val="right"/>
              <w:spacing w:after="0"/>
              <w:rPr>
                <w:sz w:val="20"/>
                <w:szCs w:val="20"/>
                <w:color w:val="auto"/>
              </w:rPr>
            </w:pPr>
            <w:r>
              <w:rPr>
                <w:rFonts w:ascii="Arial" w:cs="Arial" w:eastAsia="Arial" w:hAnsi="Arial"/>
                <w:sz w:val="17"/>
                <w:szCs w:val="17"/>
                <w:color w:val="auto"/>
              </w:rPr>
              <w:t>(7)</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5.0%</w:t>
            </w:r>
          </w:p>
        </w:tc>
      </w:tr>
      <w:tr>
        <w:trPr>
          <w:trHeight w:val="208"/>
        </w:trPr>
        <w:tc>
          <w:tcPr>
            <w:tcW w:w="7920" w:type="dxa"/>
            <w:vAlign w:val="bottom"/>
            <w:gridSpan w:val="2"/>
          </w:tcPr>
          <w:p>
            <w:pPr>
              <w:spacing w:after="0"/>
              <w:rPr>
                <w:sz w:val="20"/>
                <w:szCs w:val="20"/>
                <w:color w:val="auto"/>
              </w:rPr>
            </w:pPr>
            <w:r>
              <w:rPr>
                <w:rFonts w:ascii="Arial" w:cs="Arial" w:eastAsia="Arial" w:hAnsi="Arial"/>
                <w:sz w:val="17"/>
                <w:szCs w:val="17"/>
                <w:color w:val="auto"/>
              </w:rPr>
              <w:t>111 N. Post Street, Suite 301</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7"/>
                <w:szCs w:val="17"/>
                <w:color w:val="auto"/>
              </w:rPr>
              <w:t>Spokane, Washington 99201</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96" w:lineRule="exact"/>
        <w:rPr>
          <w:sz w:val="20"/>
          <w:szCs w:val="20"/>
          <w:color w:val="auto"/>
        </w:rPr>
      </w:pPr>
    </w:p>
    <w:p>
      <w:pPr>
        <w:ind w:left="740" w:right="120" w:hanging="371"/>
        <w:spacing w:after="0" w:line="275" w:lineRule="auto"/>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51,077,397 shares of our common stock outstanding as of May 15, 2020.</w:t>
      </w:r>
    </w:p>
    <w:p>
      <w:pPr>
        <w:ind w:left="740" w:right="40" w:hanging="371"/>
        <w:spacing w:after="0" w:line="257"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Beneficial ownership information for Red Mountain Partners, L.P. (“RMP”) and Red Mountain Capital Partners LLC (“RMCP LLC”) is based on a Form 4 dated January 17, 2020. Of the shares reflected in the table, (i) 7,522,354 shares are held directly by RMP, (ii) 862,523 shares are held directly by RMCP LLC, (iii) 15,000 shares are receivable upon exercise of options held by Mr. Mesdag and (iv) 227,418 shares are receivable upon settlement of deferred stock upon Mr. Mesdag’s separation from the Board. RMCP GP LLC (“RMCP GP”) is the general partner of RMP. RMCP LLC is the managing member of RMCP GP. Red Mountain Capital Management, Inc.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RMCP LLC, RMP and RMCP GP affirms membership in a group with each other but disclaims membership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8" w:name="page29"/>
    <w:bookmarkEnd w:id="28"/>
    <w:p>
      <w:pPr>
        <w:ind w:left="380" w:right="20"/>
        <w:spacing w:after="0" w:line="273" w:lineRule="auto"/>
        <w:rPr>
          <w:sz w:val="20"/>
          <w:szCs w:val="20"/>
          <w:color w:val="auto"/>
        </w:rPr>
      </w:pPr>
      <w:r>
        <w:rPr>
          <w:rFonts w:ascii="Arial" w:cs="Arial" w:eastAsia="Arial" w:hAnsi="Arial"/>
          <w:sz w:val="16"/>
          <w:szCs w:val="16"/>
          <w:color w:val="auto"/>
        </w:rPr>
        <w:t>in 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 purposes of Section 13(d) of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Board or a reduction in the number of shares of common stock issued and outstanding, or (ii) any assets of the Company or any subsidiary thereof or any successor to or person in control of the Company.</w:t>
      </w:r>
    </w:p>
    <w:p>
      <w:pPr>
        <w:spacing w:after="0" w:line="4" w:lineRule="exact"/>
        <w:rPr>
          <w:sz w:val="20"/>
          <w:szCs w:val="20"/>
          <w:color w:val="auto"/>
        </w:rPr>
      </w:pPr>
    </w:p>
    <w:p>
      <w:pPr>
        <w:ind w:left="380" w:hanging="371"/>
        <w:spacing w:after="0"/>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Amendment No. 7 to Schedule 13D, dated January 29, 2020. J. Carlo Cannell, is the sole managing member of Cannell Capital</w:t>
      </w:r>
    </w:p>
    <w:p>
      <w:pPr>
        <w:spacing w:after="0" w:line="12" w:lineRule="exact"/>
        <w:rPr>
          <w:rFonts w:ascii="Arial" w:cs="Arial" w:eastAsia="Arial" w:hAnsi="Arial"/>
          <w:sz w:val="17"/>
          <w:szCs w:val="17"/>
          <w:color w:val="auto"/>
        </w:rPr>
      </w:pPr>
    </w:p>
    <w:p>
      <w:pPr>
        <w:ind w:left="380" w:right="20"/>
        <w:spacing w:after="0" w:line="271" w:lineRule="auto"/>
        <w:rPr>
          <w:rFonts w:ascii="Arial" w:cs="Arial" w:eastAsia="Arial" w:hAnsi="Arial"/>
          <w:sz w:val="17"/>
          <w:szCs w:val="17"/>
          <w:color w:val="auto"/>
        </w:rPr>
      </w:pPr>
      <w:r>
        <w:rPr>
          <w:rFonts w:ascii="Arial" w:cs="Arial" w:eastAsia="Arial" w:hAnsi="Arial"/>
          <w:sz w:val="16"/>
          <w:szCs w:val="16"/>
          <w:color w:val="auto"/>
        </w:rPr>
        <w:t>LLC. Cannell Capital LLC is the investment adviser to and general partner of Tonga Partners, L.P. (“Tonga”) and Tristan Partners, L.P. (“Tristan”), an investment adviser to Tristan Offshore Fund Ltd. (“Tristan Offshore”), and an investment sub-advisor for Cuttyhunk Master Portfolio (“Cuttyhunk,” and collectively with Tonga, Tristan and Tristan Offshore, the “Investment Vehicles”). Mr. Cannell is the sole managing member of Cannell Capital LLC. As such, Mr. Cannell possesses the sole power to vote and to direct the disposition of the shares held by the Investment Vehicles.</w:t>
      </w:r>
    </w:p>
    <w:p>
      <w:pPr>
        <w:spacing w:after="0" w:line="2" w:lineRule="exact"/>
        <w:rPr>
          <w:rFonts w:ascii="Arial" w:cs="Arial" w:eastAsia="Arial" w:hAnsi="Arial"/>
          <w:sz w:val="17"/>
          <w:szCs w:val="17"/>
          <w:color w:val="auto"/>
        </w:rPr>
      </w:pPr>
    </w:p>
    <w:p>
      <w:pPr>
        <w:ind w:left="380" w:right="180" w:hanging="371"/>
        <w:spacing w:after="0" w:line="271"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a Form 4, dated January 17, 2020. Of these shares, 339,594 shares are held by Jewelcor Management, Inc. Mr. Holtzman is the chairman, chief executive officer and president and, together with his wife, indirectly, the majority shareholder of Jewelcor Management, Inc.</w:t>
      </w:r>
    </w:p>
    <w:p>
      <w:pPr>
        <w:spacing w:after="0" w:line="1" w:lineRule="exact"/>
        <w:rPr>
          <w:rFonts w:ascii="Arial" w:cs="Arial" w:eastAsia="Arial" w:hAnsi="Arial"/>
          <w:sz w:val="16"/>
          <w:szCs w:val="16"/>
          <w:color w:val="auto"/>
        </w:rPr>
      </w:pPr>
    </w:p>
    <w:p>
      <w:pPr>
        <w:ind w:left="380" w:hanging="371"/>
        <w:spacing w:after="0" w:line="289" w:lineRule="auto"/>
        <w:tabs>
          <w:tab w:leader="none" w:pos="3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Amendment No. 3 to Schedule 13G, dated January 21, 2020. Prescott Group Capital Management, L.L.C., Prescott Group Aggressive Small Cap, L.P., Prescott Group Aggressive Small Cap II L.P. and Mr. Phil Frohlich were the beneficial owners of an aggregate of 4,188,324 shares of common stock. Prescott Capital, as the general partner of the Small Cap Funds, the general partners of Prescott Master Fund, may direct the Small Cap Funds to direct the vote and disposition of the shares held by Prescott Master Fund. As the principal of Prescott Capital, Mr. Phil Frohlich may direct the vote and disposition of the shares held by Prescott Master Fund. Pursuant to a letter agreement between Prescott Group Capital Management, L.L.C. and the Company, Prescott Group Capital Management,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Prescott collectively would beneficially own, for purposes of Section 13(d) of the Exchange Act, and Rule 13d-3 thereunder, after giving effect to such acquisition, in excess of 15% of the amount of the issued and outstanding common stock of the Company or (ii) any assets of the Company or any subsidiary thereof or any successor to or person in control of the Company.</w:t>
      </w:r>
    </w:p>
    <w:p>
      <w:pPr>
        <w:spacing w:after="0" w:line="6" w:lineRule="exact"/>
        <w:rPr>
          <w:rFonts w:ascii="Arial" w:cs="Arial" w:eastAsia="Arial" w:hAnsi="Arial"/>
          <w:sz w:val="15"/>
          <w:szCs w:val="15"/>
          <w:color w:val="auto"/>
        </w:rPr>
      </w:pPr>
    </w:p>
    <w:p>
      <w:pPr>
        <w:ind w:left="380" w:hanging="371"/>
        <w:spacing w:after="0"/>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Amendment No. 14 to Schedule 13G, dated April 22, 2019.</w:t>
      </w:r>
    </w:p>
    <w:p>
      <w:pPr>
        <w:spacing w:after="0" w:line="12" w:lineRule="exact"/>
        <w:rPr>
          <w:rFonts w:ascii="Arial" w:cs="Arial" w:eastAsia="Arial" w:hAnsi="Arial"/>
          <w:sz w:val="17"/>
          <w:szCs w:val="17"/>
          <w:color w:val="auto"/>
        </w:rPr>
      </w:pPr>
    </w:p>
    <w:p>
      <w:pPr>
        <w:ind w:left="380" w:right="340" w:hanging="371"/>
        <w:spacing w:after="0" w:line="271"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Schedule 13G, dated January 9, 2020. Signia Capital Management, LLC possesses sole voting power with respect to 1,954,803 of these shares and sole dispositive power with respect to 2,576,230 of these shares.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214630</wp:posOffset>
            </wp:positionV>
            <wp:extent cx="715391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0860"/>
          </w:cols>
          <w:pgMar w:left="680" w:top="336" w:right="359" w:bottom="1440" w:gutter="0" w:footer="0" w:header="0"/>
        </w:sectPr>
      </w:pPr>
    </w:p>
    <w:bookmarkStart w:id="29" w:name="page30"/>
    <w:bookmarkEnd w:id="29"/>
    <w:p>
      <w:pPr>
        <w:ind w:left="20"/>
        <w:spacing w:after="0"/>
        <w:rPr>
          <w:sz w:val="20"/>
          <w:szCs w:val="20"/>
          <w:color w:val="auto"/>
        </w:rPr>
      </w:pPr>
      <w:r>
        <w:rPr>
          <w:rFonts w:ascii="Arial" w:cs="Arial" w:eastAsia="Arial" w:hAnsi="Arial"/>
          <w:sz w:val="17"/>
          <w:szCs w:val="17"/>
          <w:b w:val="1"/>
          <w:bCs w:val="1"/>
          <w:color w:val="auto"/>
        </w:rPr>
        <w:t>Security Ownership of Management</w:t>
      </w:r>
    </w:p>
    <w:p>
      <w:pPr>
        <w:spacing w:after="0" w:line="227"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auto"/>
        </w:rPr>
        <w:t>The following table sets forth certain information as of May 15, 2020,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4"/>
              <w:spacing w:after="0"/>
              <w:rPr>
                <w:sz w:val="20"/>
                <w:szCs w:val="20"/>
                <w:color w:val="auto"/>
              </w:rPr>
            </w:pPr>
            <w:r>
              <w:rPr>
                <w:rFonts w:ascii="Arial" w:cs="Arial" w:eastAsia="Arial" w:hAnsi="Arial"/>
                <w:sz w:val="16"/>
                <w:szCs w:val="16"/>
                <w:b w:val="1"/>
                <w:bCs w:val="1"/>
                <w:color w:val="auto"/>
                <w:w w:val="95"/>
              </w:rPr>
              <w:t>Number of Shares</w:t>
            </w:r>
          </w:p>
        </w:tc>
        <w:tc>
          <w:tcPr>
            <w:tcW w:w="48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7"/>
              </w:rPr>
              <w:t>Percent of Class</w:t>
            </w:r>
          </w:p>
        </w:tc>
      </w:tr>
      <w:tr>
        <w:trPr>
          <w:trHeight w:val="206"/>
        </w:trPr>
        <w:tc>
          <w:tcPr>
            <w:tcW w:w="7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Title</w:t>
            </w:r>
          </w:p>
        </w:tc>
        <w:tc>
          <w:tcPr>
            <w:tcW w:w="120" w:type="dxa"/>
            <w:vAlign w:val="bottom"/>
            <w:tcBorders>
              <w:bottom w:val="single" w:sz="8" w:color="CFF0FC"/>
            </w:tcBorders>
          </w:tcPr>
          <w:p>
            <w:pPr>
              <w:spacing w:after="0"/>
              <w:rPr>
                <w:sz w:val="17"/>
                <w:szCs w:val="17"/>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w w:val="92"/>
              </w:rPr>
              <w:t>Beneficially Owned</w:t>
            </w:r>
          </w:p>
        </w:tc>
        <w:tc>
          <w:tcPr>
            <w:tcW w:w="48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CFF0FC"/>
            </w:tcBorders>
          </w:tcPr>
          <w:p>
            <w:pPr>
              <w:spacing w:after="0"/>
              <w:rPr>
                <w:sz w:val="17"/>
                <w:szCs w:val="17"/>
                <w:color w:val="auto"/>
              </w:rPr>
            </w:pPr>
          </w:p>
        </w:tc>
      </w:tr>
      <w:tr>
        <w:trPr>
          <w:trHeight w:val="217"/>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John E. Kyees</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221,871</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r>
      <w:tr>
        <w:trPr>
          <w:trHeight w:val="221"/>
        </w:trPr>
        <w:tc>
          <w:tcPr>
            <w:tcW w:w="7920" w:type="dxa"/>
            <w:vAlign w:val="bottom"/>
            <w:gridSpan w:val="2"/>
          </w:tcPr>
          <w:p>
            <w:pPr>
              <w:ind w:left="120"/>
              <w:spacing w:after="0"/>
              <w:rPr>
                <w:sz w:val="20"/>
                <w:szCs w:val="20"/>
                <w:color w:val="auto"/>
              </w:rPr>
            </w:pPr>
            <w:r>
              <w:rPr>
                <w:rFonts w:ascii="Arial" w:cs="Arial" w:eastAsia="Arial" w:hAnsi="Arial"/>
                <w:sz w:val="17"/>
                <w:szCs w:val="17"/>
                <w:color w:val="auto"/>
              </w:rPr>
              <w:t>Chairman of the Board</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Harvey S. Kanter</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128,000</w:t>
            </w: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r>
      <w:tr>
        <w:trPr>
          <w:trHeight w:val="221"/>
        </w:trPr>
        <w:tc>
          <w:tcPr>
            <w:tcW w:w="7920" w:type="dxa"/>
            <w:vAlign w:val="bottom"/>
            <w:gridSpan w:val="2"/>
          </w:tcPr>
          <w:p>
            <w:pPr>
              <w:ind w:left="120"/>
              <w:spacing w:after="0"/>
              <w:rPr>
                <w:sz w:val="20"/>
                <w:szCs w:val="20"/>
                <w:color w:val="auto"/>
              </w:rPr>
            </w:pPr>
            <w:r>
              <w:rPr>
                <w:rFonts w:ascii="Arial" w:cs="Arial" w:eastAsia="Arial" w:hAnsi="Arial"/>
                <w:sz w:val="17"/>
                <w:szCs w:val="17"/>
                <w:color w:val="auto"/>
              </w:rPr>
              <w:t>President and Chief Executive Officer and Director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David A. Levin</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1,607,465</w:t>
            </w:r>
          </w:p>
        </w:tc>
        <w:tc>
          <w:tcPr>
            <w:tcW w:w="4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w:t>
            </w:r>
          </w:p>
        </w:tc>
      </w:tr>
      <w:tr>
        <w:trPr>
          <w:trHeight w:val="221"/>
        </w:trPr>
        <w:tc>
          <w:tcPr>
            <w:tcW w:w="7920" w:type="dxa"/>
            <w:vAlign w:val="bottom"/>
            <w:gridSpan w:val="2"/>
          </w:tcPr>
          <w:p>
            <w:pPr>
              <w:ind w:left="120"/>
              <w:spacing w:after="0"/>
              <w:rPr>
                <w:sz w:val="20"/>
                <w:szCs w:val="20"/>
                <w:color w:val="auto"/>
              </w:rPr>
            </w:pPr>
            <w:r>
              <w:rPr>
                <w:rFonts w:ascii="Arial" w:cs="Arial" w:eastAsia="Arial" w:hAnsi="Arial"/>
                <w:sz w:val="17"/>
                <w:szCs w:val="17"/>
                <w:color w:val="auto"/>
              </w:rPr>
              <w:t>Former President and Chief Executive Officer, former Director, former Acting CEO</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Peter H. Stratton, Jr.</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208,825</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r>
      <w:tr>
        <w:trPr>
          <w:trHeight w:val="221"/>
        </w:trPr>
        <w:tc>
          <w:tcPr>
            <w:tcW w:w="7920" w:type="dxa"/>
            <w:vAlign w:val="bottom"/>
            <w:gridSpan w:val="2"/>
          </w:tcPr>
          <w:p>
            <w:pPr>
              <w:ind w:left="120"/>
              <w:spacing w:after="0"/>
              <w:rPr>
                <w:sz w:val="20"/>
                <w:szCs w:val="20"/>
                <w:color w:val="auto"/>
              </w:rPr>
            </w:pPr>
            <w:r>
              <w:rPr>
                <w:rFonts w:ascii="Arial" w:cs="Arial" w:eastAsia="Arial" w:hAnsi="Arial"/>
                <w:sz w:val="17"/>
                <w:szCs w:val="17"/>
                <w:color w:val="auto"/>
              </w:rPr>
              <w:t>Executive Vice President, Chief Financial Officer and Treasurer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Robert S. Molloy</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309,588</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r>
      <w:tr>
        <w:trPr>
          <w:trHeight w:val="221"/>
        </w:trPr>
        <w:tc>
          <w:tcPr>
            <w:tcW w:w="7920" w:type="dxa"/>
            <w:vAlign w:val="bottom"/>
            <w:gridSpan w:val="2"/>
          </w:tcPr>
          <w:p>
            <w:pPr>
              <w:ind w:left="120"/>
              <w:spacing w:after="0"/>
              <w:rPr>
                <w:sz w:val="20"/>
                <w:szCs w:val="20"/>
                <w:color w:val="auto"/>
              </w:rPr>
            </w:pPr>
            <w:r>
              <w:rPr>
                <w:rFonts w:ascii="Arial" w:cs="Arial" w:eastAsia="Arial" w:hAnsi="Arial"/>
                <w:sz w:val="17"/>
                <w:szCs w:val="17"/>
                <w:color w:val="auto"/>
              </w:rPr>
              <w:t>Chief Administrative Officer, General Counsel and Secretary</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Francis C. Chane</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201,032</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r>
      <w:tr>
        <w:trPr>
          <w:trHeight w:val="221"/>
        </w:trPr>
        <w:tc>
          <w:tcPr>
            <w:tcW w:w="7920" w:type="dxa"/>
            <w:vAlign w:val="bottom"/>
            <w:gridSpan w:val="2"/>
          </w:tcPr>
          <w:p>
            <w:pPr>
              <w:ind w:left="120"/>
              <w:spacing w:after="0"/>
              <w:rPr>
                <w:sz w:val="20"/>
                <w:szCs w:val="20"/>
                <w:color w:val="auto"/>
              </w:rPr>
            </w:pPr>
            <w:r>
              <w:rPr>
                <w:rFonts w:ascii="Arial" w:cs="Arial" w:eastAsia="Arial" w:hAnsi="Arial"/>
                <w:sz w:val="17"/>
                <w:szCs w:val="17"/>
                <w:color w:val="auto"/>
              </w:rPr>
              <w:t>Senior Vice President,</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Anthony J. Gaeta</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119,037</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r>
      <w:tr>
        <w:trPr>
          <w:trHeight w:val="221"/>
        </w:trPr>
        <w:tc>
          <w:tcPr>
            <w:tcW w:w="7920" w:type="dxa"/>
            <w:vAlign w:val="bottom"/>
            <w:gridSpan w:val="2"/>
          </w:tcPr>
          <w:p>
            <w:pPr>
              <w:ind w:left="120"/>
              <w:spacing w:after="0"/>
              <w:rPr>
                <w:sz w:val="20"/>
                <w:szCs w:val="20"/>
                <w:color w:val="auto"/>
              </w:rPr>
            </w:pPr>
            <w:r>
              <w:rPr>
                <w:rFonts w:ascii="Arial" w:cs="Arial" w:eastAsia="Arial" w:hAnsi="Arial"/>
                <w:sz w:val="17"/>
                <w:szCs w:val="17"/>
                <w:color w:val="auto"/>
              </w:rPr>
              <w:t>Senior Vice President,</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Brian S. Reaves</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278,959</w:t>
            </w: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r>
      <w:tr>
        <w:trPr>
          <w:trHeight w:val="221"/>
        </w:trPr>
        <w:tc>
          <w:tcPr>
            <w:tcW w:w="7920" w:type="dxa"/>
            <w:vAlign w:val="bottom"/>
            <w:gridSpan w:val="2"/>
          </w:tcPr>
          <w:p>
            <w:pPr>
              <w:ind w:left="120"/>
              <w:spacing w:after="0"/>
              <w:rPr>
                <w:sz w:val="20"/>
                <w:szCs w:val="20"/>
                <w:color w:val="auto"/>
              </w:rPr>
            </w:pPr>
            <w:r>
              <w:rPr>
                <w:rFonts w:ascii="Arial" w:cs="Arial" w:eastAsia="Arial" w:hAnsi="Arial"/>
                <w:sz w:val="17"/>
                <w:szCs w:val="17"/>
                <w:color w:val="auto"/>
              </w:rPr>
              <w:t>Former Executive Vice President, Chief Operating Officer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James S. Davey</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r>
      <w:tr>
        <w:trPr>
          <w:trHeight w:val="221"/>
        </w:trPr>
        <w:tc>
          <w:tcPr>
            <w:tcW w:w="7920" w:type="dxa"/>
            <w:vAlign w:val="bottom"/>
            <w:gridSpan w:val="2"/>
          </w:tcPr>
          <w:p>
            <w:pPr>
              <w:ind w:left="180"/>
              <w:spacing w:after="0"/>
              <w:rPr>
                <w:sz w:val="20"/>
                <w:szCs w:val="20"/>
                <w:color w:val="auto"/>
              </w:rPr>
            </w:pPr>
            <w:r>
              <w:rPr>
                <w:rFonts w:ascii="Arial" w:cs="Arial" w:eastAsia="Arial" w:hAnsi="Arial"/>
                <w:sz w:val="17"/>
                <w:szCs w:val="17"/>
                <w:color w:val="auto"/>
              </w:rPr>
              <w:t>Former Executive Vice President and Chief Marketing Officer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Jack Boyle,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191,224</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7"/>
                <w:szCs w:val="17"/>
                <w:color w:val="auto"/>
              </w:rPr>
              <w:t>Lionel F. Conacher, Director</w:t>
            </w:r>
          </w:p>
        </w:tc>
        <w:tc>
          <w:tcPr>
            <w:tcW w:w="1480" w:type="dxa"/>
            <w:vAlign w:val="bottom"/>
          </w:tcPr>
          <w:p>
            <w:pPr>
              <w:jc w:val="right"/>
              <w:spacing w:after="0"/>
              <w:rPr>
                <w:sz w:val="20"/>
                <w:szCs w:val="20"/>
                <w:color w:val="auto"/>
              </w:rPr>
            </w:pPr>
            <w:r>
              <w:rPr>
                <w:rFonts w:ascii="Arial" w:cs="Arial" w:eastAsia="Arial" w:hAnsi="Arial"/>
                <w:sz w:val="17"/>
                <w:szCs w:val="17"/>
                <w:color w:val="auto"/>
              </w:rPr>
              <w:t>141,334</w:t>
            </w:r>
          </w:p>
        </w:tc>
        <w:tc>
          <w:tcPr>
            <w:tcW w:w="480" w:type="dxa"/>
            <w:vAlign w:val="bottom"/>
          </w:tcPr>
          <w:p>
            <w:pPr>
              <w:jc w:val="right"/>
              <w:spacing w:after="0"/>
              <w:rPr>
                <w:sz w:val="20"/>
                <w:szCs w:val="20"/>
                <w:color w:val="auto"/>
              </w:rPr>
            </w:pPr>
            <w:r>
              <w:rPr>
                <w:rFonts w:ascii="Arial" w:cs="Arial" w:eastAsia="Arial" w:hAnsi="Arial"/>
                <w:sz w:val="17"/>
                <w:szCs w:val="17"/>
                <w:color w:val="auto"/>
              </w:rPr>
              <w:t>(8)</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Seymour Holtzman,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4,792,018</w:t>
            </w:r>
          </w:p>
        </w:tc>
        <w:tc>
          <w:tcPr>
            <w:tcW w:w="4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9.4%</w:t>
            </w:r>
          </w:p>
        </w:tc>
      </w:tr>
      <w:tr>
        <w:trPr>
          <w:trHeight w:val="221"/>
        </w:trPr>
        <w:tc>
          <w:tcPr>
            <w:tcW w:w="7920" w:type="dxa"/>
            <w:vAlign w:val="bottom"/>
            <w:gridSpan w:val="2"/>
          </w:tcPr>
          <w:p>
            <w:pPr>
              <w:spacing w:after="0"/>
              <w:rPr>
                <w:sz w:val="20"/>
                <w:szCs w:val="20"/>
                <w:color w:val="auto"/>
              </w:rPr>
            </w:pPr>
            <w:r>
              <w:rPr>
                <w:rFonts w:ascii="Arial" w:cs="Arial" w:eastAsia="Arial" w:hAnsi="Arial"/>
                <w:sz w:val="17"/>
                <w:szCs w:val="17"/>
                <w:color w:val="auto"/>
              </w:rPr>
              <w:t>Willem Mesdag, Director</w:t>
            </w:r>
          </w:p>
        </w:tc>
        <w:tc>
          <w:tcPr>
            <w:tcW w:w="1480" w:type="dxa"/>
            <w:vAlign w:val="bottom"/>
          </w:tcPr>
          <w:p>
            <w:pPr>
              <w:jc w:val="right"/>
              <w:spacing w:after="0"/>
              <w:rPr>
                <w:sz w:val="20"/>
                <w:szCs w:val="20"/>
                <w:color w:val="auto"/>
              </w:rPr>
            </w:pPr>
            <w:r>
              <w:rPr>
                <w:rFonts w:ascii="Arial" w:cs="Arial" w:eastAsia="Arial" w:hAnsi="Arial"/>
                <w:sz w:val="17"/>
                <w:szCs w:val="17"/>
                <w:color w:val="auto"/>
              </w:rPr>
              <w:t>8,668,995</w:t>
            </w:r>
          </w:p>
        </w:tc>
        <w:tc>
          <w:tcPr>
            <w:tcW w:w="480" w:type="dxa"/>
            <w:vAlign w:val="bottom"/>
          </w:tcPr>
          <w:p>
            <w:pPr>
              <w:jc w:val="right"/>
              <w:spacing w:after="0"/>
              <w:rPr>
                <w:sz w:val="20"/>
                <w:szCs w:val="20"/>
                <w:color w:val="auto"/>
              </w:rPr>
            </w:pPr>
            <w:r>
              <w:rPr>
                <w:rFonts w:ascii="Arial" w:cs="Arial" w:eastAsia="Arial" w:hAnsi="Arial"/>
                <w:sz w:val="17"/>
                <w:szCs w:val="17"/>
                <w:color w:val="auto"/>
              </w:rPr>
              <w:t>(9)</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16.9%</w:t>
            </w: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Ward K. Mooney,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181,009</w:t>
            </w: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7"/>
                <w:szCs w:val="17"/>
                <w:color w:val="auto"/>
              </w:rPr>
              <w:t>Mitchell S. Presser, Director</w:t>
            </w:r>
          </w:p>
        </w:tc>
        <w:tc>
          <w:tcPr>
            <w:tcW w:w="1480" w:type="dxa"/>
            <w:vAlign w:val="bottom"/>
          </w:tcPr>
          <w:p>
            <w:pPr>
              <w:jc w:val="right"/>
              <w:spacing w:after="0"/>
              <w:rPr>
                <w:sz w:val="20"/>
                <w:szCs w:val="20"/>
                <w:color w:val="auto"/>
              </w:rPr>
            </w:pPr>
            <w:r>
              <w:rPr>
                <w:rFonts w:ascii="Arial" w:cs="Arial" w:eastAsia="Arial" w:hAnsi="Arial"/>
                <w:sz w:val="17"/>
                <w:szCs w:val="17"/>
                <w:color w:val="auto"/>
              </w:rPr>
              <w:t>436,089</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r>
      <w:tr>
        <w:trPr>
          <w:trHeight w:val="221"/>
        </w:trPr>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Ivy Ross,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132,149</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7"/>
                <w:szCs w:val="17"/>
                <w:color w:val="auto"/>
              </w:rPr>
              <w:t>Directors and executive officers as a group (16 persons)</w:t>
            </w:r>
          </w:p>
        </w:tc>
        <w:tc>
          <w:tcPr>
            <w:tcW w:w="1480" w:type="dxa"/>
            <w:vAlign w:val="bottom"/>
          </w:tcPr>
          <w:p>
            <w:pPr>
              <w:jc w:val="right"/>
              <w:spacing w:after="0"/>
              <w:rPr>
                <w:sz w:val="20"/>
                <w:szCs w:val="20"/>
                <w:color w:val="auto"/>
              </w:rPr>
            </w:pPr>
            <w:r>
              <w:rPr>
                <w:rFonts w:ascii="Arial" w:cs="Arial" w:eastAsia="Arial" w:hAnsi="Arial"/>
                <w:sz w:val="17"/>
                <w:szCs w:val="17"/>
                <w:color w:val="auto"/>
              </w:rPr>
              <w:t>15,931,025</w:t>
            </w: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901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241"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Less than 1%</w:t>
      </w:r>
    </w:p>
    <w:p>
      <w:pPr>
        <w:spacing w:after="0" w:line="25" w:lineRule="exact"/>
        <w:rPr>
          <w:sz w:val="20"/>
          <w:szCs w:val="20"/>
          <w:color w:val="auto"/>
        </w:rPr>
      </w:pPr>
    </w:p>
    <w:p>
      <w:pPr>
        <w:ind w:left="360" w:hanging="356"/>
        <w:spacing w:after="0" w:line="271" w:lineRule="auto"/>
        <w:tabs>
          <w:tab w:leader="none" w:pos="3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51,077,397 shares of our common stock outstanding as of May 15, 2020.</w:t>
      </w:r>
    </w:p>
    <w:p>
      <w:pPr>
        <w:spacing w:after="0" w:line="3" w:lineRule="exact"/>
        <w:rPr>
          <w:rFonts w:ascii="Arial" w:cs="Arial" w:eastAsia="Arial" w:hAnsi="Arial"/>
          <w:sz w:val="16"/>
          <w:szCs w:val="16"/>
          <w:color w:val="auto"/>
        </w:rPr>
      </w:pPr>
    </w:p>
    <w:p>
      <w:pPr>
        <w:ind w:left="360" w:hanging="356"/>
        <w:spacing w:after="0"/>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43,648 shares subject to stock options exercisable within 60 days and 107,655 shares of deferred stock.</w:t>
      </w:r>
    </w:p>
    <w:p>
      <w:pPr>
        <w:spacing w:after="0" w:line="12" w:lineRule="exact"/>
        <w:rPr>
          <w:rFonts w:ascii="Arial" w:cs="Arial" w:eastAsia="Arial" w:hAnsi="Arial"/>
          <w:sz w:val="17"/>
          <w:szCs w:val="17"/>
          <w:color w:val="auto"/>
        </w:rPr>
      </w:pPr>
    </w:p>
    <w:p>
      <w:pPr>
        <w:ind w:left="360" w:hanging="356"/>
        <w:spacing w:after="0"/>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42,403 shares subject to stock options exercisable within 60 days.</w:t>
      </w:r>
    </w:p>
    <w:p>
      <w:pPr>
        <w:spacing w:after="0" w:line="12" w:lineRule="exact"/>
        <w:rPr>
          <w:rFonts w:ascii="Arial" w:cs="Arial" w:eastAsia="Arial" w:hAnsi="Arial"/>
          <w:sz w:val="17"/>
          <w:szCs w:val="17"/>
          <w:color w:val="auto"/>
        </w:rPr>
      </w:pPr>
    </w:p>
    <w:p>
      <w:pPr>
        <w:ind w:left="360" w:hanging="356"/>
        <w:spacing w:after="0"/>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68,906 shares subject to stock options exercisable within 60 days.</w:t>
      </w:r>
    </w:p>
    <w:p>
      <w:pPr>
        <w:spacing w:after="0" w:line="12" w:lineRule="exact"/>
        <w:rPr>
          <w:rFonts w:ascii="Arial" w:cs="Arial" w:eastAsia="Arial" w:hAnsi="Arial"/>
          <w:sz w:val="17"/>
          <w:szCs w:val="17"/>
          <w:color w:val="auto"/>
        </w:rPr>
      </w:pPr>
    </w:p>
    <w:p>
      <w:pPr>
        <w:ind w:left="360" w:hanging="356"/>
        <w:spacing w:after="0"/>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38,888 shares subject to stock options exercisable within 60 days.</w:t>
      </w:r>
    </w:p>
    <w:p>
      <w:pPr>
        <w:spacing w:after="0" w:line="12" w:lineRule="exact"/>
        <w:rPr>
          <w:rFonts w:ascii="Arial" w:cs="Arial" w:eastAsia="Arial" w:hAnsi="Arial"/>
          <w:sz w:val="17"/>
          <w:szCs w:val="17"/>
          <w:color w:val="auto"/>
        </w:rPr>
      </w:pPr>
    </w:p>
    <w:p>
      <w:pPr>
        <w:ind w:left="360" w:hanging="356"/>
        <w:spacing w:after="0"/>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18,719 shares subject to stock options exercisable within 60 days.</w:t>
      </w:r>
    </w:p>
    <w:p>
      <w:pPr>
        <w:spacing w:after="0" w:line="12" w:lineRule="exact"/>
        <w:rPr>
          <w:rFonts w:ascii="Arial" w:cs="Arial" w:eastAsia="Arial" w:hAnsi="Arial"/>
          <w:sz w:val="17"/>
          <w:szCs w:val="17"/>
          <w:color w:val="auto"/>
        </w:rPr>
      </w:pPr>
    </w:p>
    <w:p>
      <w:pPr>
        <w:ind w:left="360" w:hanging="356"/>
        <w:spacing w:after="0"/>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15,000 shares subject to stock options exercisable within 60 days.</w:t>
      </w:r>
    </w:p>
    <w:p>
      <w:pPr>
        <w:spacing w:after="0" w:line="12" w:lineRule="exact"/>
        <w:rPr>
          <w:rFonts w:ascii="Arial" w:cs="Arial" w:eastAsia="Arial" w:hAnsi="Arial"/>
          <w:sz w:val="17"/>
          <w:szCs w:val="17"/>
          <w:color w:val="auto"/>
        </w:rPr>
      </w:pPr>
    </w:p>
    <w:p>
      <w:pPr>
        <w:ind w:left="360" w:hanging="356"/>
        <w:spacing w:after="0"/>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10,000 shares subject to stock options exercisable within 60 days.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ind w:left="360" w:hanging="356"/>
        <w:spacing w:after="0" w:line="274"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15,000 shares subject to stock options exercisable within 60 days and 227,418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ind w:left="360" w:hanging="356"/>
        <w:spacing w:after="0"/>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291,456 shares subject to stock options exercisable within 60 days and 335,073 shares of deferred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information with respect to our equity compensation plans as of February 1,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Number of securities</w:t>
            </w:r>
          </w:p>
        </w:tc>
        <w:tc>
          <w:tcPr>
            <w:tcW w:w="240" w:type="dxa"/>
            <w:vAlign w:val="bottom"/>
          </w:tcPr>
          <w:p>
            <w:pPr>
              <w:spacing w:after="0"/>
              <w:rPr>
                <w:sz w:val="13"/>
                <w:szCs w:val="13"/>
                <w:color w:val="auto"/>
              </w:rPr>
            </w:pPr>
          </w:p>
        </w:tc>
      </w:tr>
      <w:tr>
        <w:trPr>
          <w:trHeight w:val="143"/>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453"/>
              <w:spacing w:after="0" w:line="143" w:lineRule="exact"/>
              <w:rPr>
                <w:sz w:val="20"/>
                <w:szCs w:val="20"/>
                <w:color w:val="auto"/>
              </w:rPr>
            </w:pPr>
            <w:r>
              <w:rPr>
                <w:rFonts w:ascii="Arial" w:cs="Arial" w:eastAsia="Arial" w:hAnsi="Arial"/>
                <w:sz w:val="13"/>
                <w:szCs w:val="13"/>
                <w:b w:val="1"/>
                <w:bCs w:val="1"/>
                <w:color w:val="auto"/>
                <w:w w:val="89"/>
              </w:rPr>
              <w:t>Weighted-average</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91"/>
              </w:rPr>
              <w:t>remaining available for</w:t>
            </w:r>
          </w:p>
        </w:tc>
        <w:tc>
          <w:tcPr>
            <w:tcW w:w="240" w:type="dxa"/>
            <w:vAlign w:val="bottom"/>
          </w:tcPr>
          <w:p>
            <w:pPr>
              <w:spacing w:after="0"/>
              <w:rPr>
                <w:sz w:val="12"/>
                <w:szCs w:val="12"/>
                <w:color w:val="auto"/>
              </w:rPr>
            </w:pPr>
          </w:p>
        </w:tc>
      </w:tr>
      <w:tr>
        <w:trPr>
          <w:trHeight w:val="143"/>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Number of securities to be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453"/>
              <w:spacing w:after="0" w:line="143" w:lineRule="exact"/>
              <w:rPr>
                <w:sz w:val="20"/>
                <w:szCs w:val="20"/>
                <w:color w:val="auto"/>
              </w:rPr>
            </w:pPr>
            <w:r>
              <w:rPr>
                <w:rFonts w:ascii="Arial" w:cs="Arial" w:eastAsia="Arial" w:hAnsi="Arial"/>
                <w:sz w:val="13"/>
                <w:szCs w:val="13"/>
                <w:b w:val="1"/>
                <w:bCs w:val="1"/>
                <w:color w:val="auto"/>
                <w:w w:val="85"/>
              </w:rPr>
              <w:t>exercise price of</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89"/>
              </w:rPr>
              <w:t>future issuance under</w:t>
            </w:r>
          </w:p>
        </w:tc>
        <w:tc>
          <w:tcPr>
            <w:tcW w:w="240" w:type="dxa"/>
            <w:vAlign w:val="bottom"/>
          </w:tcPr>
          <w:p>
            <w:pPr>
              <w:spacing w:after="0"/>
              <w:rPr>
                <w:sz w:val="12"/>
                <w:szCs w:val="12"/>
                <w:color w:val="auto"/>
              </w:rPr>
            </w:pPr>
          </w:p>
        </w:tc>
      </w:tr>
      <w:tr>
        <w:trPr>
          <w:trHeight w:val="143"/>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5"/>
              </w:rPr>
              <w:t>issued upon exercise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473"/>
              <w:spacing w:after="0" w:line="143" w:lineRule="exact"/>
              <w:rPr>
                <w:sz w:val="20"/>
                <w:szCs w:val="20"/>
                <w:color w:val="auto"/>
              </w:rPr>
            </w:pPr>
            <w:r>
              <w:rPr>
                <w:rFonts w:ascii="Arial" w:cs="Arial" w:eastAsia="Arial" w:hAnsi="Arial"/>
                <w:sz w:val="13"/>
                <w:szCs w:val="13"/>
                <w:b w:val="1"/>
                <w:bCs w:val="1"/>
                <w:color w:val="auto"/>
                <w:w w:val="88"/>
              </w:rPr>
              <w:t>outstanding</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87"/>
              </w:rPr>
              <w:t>equity compensation plans</w:t>
            </w:r>
          </w:p>
        </w:tc>
        <w:tc>
          <w:tcPr>
            <w:tcW w:w="240" w:type="dxa"/>
            <w:vAlign w:val="bottom"/>
          </w:tcPr>
          <w:p>
            <w:pPr>
              <w:spacing w:after="0"/>
              <w:rPr>
                <w:sz w:val="12"/>
                <w:szCs w:val="12"/>
                <w:color w:val="auto"/>
              </w:rPr>
            </w:pPr>
          </w:p>
        </w:tc>
      </w:tr>
      <w:tr>
        <w:trPr>
          <w:trHeight w:val="143"/>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8"/>
              </w:rPr>
              <w:t>outstanding options,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473"/>
              <w:spacing w:after="0" w:line="143" w:lineRule="exact"/>
              <w:rPr>
                <w:sz w:val="20"/>
                <w:szCs w:val="20"/>
                <w:color w:val="auto"/>
              </w:rPr>
            </w:pPr>
            <w:r>
              <w:rPr>
                <w:rFonts w:ascii="Arial" w:cs="Arial" w:eastAsia="Arial" w:hAnsi="Arial"/>
                <w:sz w:val="13"/>
                <w:szCs w:val="13"/>
                <w:b w:val="1"/>
                <w:bCs w:val="1"/>
                <w:color w:val="auto"/>
                <w:w w:val="90"/>
              </w:rPr>
              <w:t>options, warrants</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88"/>
              </w:rPr>
              <w:t>(excluding securities</w:t>
            </w:r>
          </w:p>
        </w:tc>
        <w:tc>
          <w:tcPr>
            <w:tcW w:w="240" w:type="dxa"/>
            <w:vAlign w:val="bottom"/>
          </w:tcPr>
          <w:p>
            <w:pPr>
              <w:spacing w:after="0"/>
              <w:rPr>
                <w:sz w:val="12"/>
                <w:szCs w:val="12"/>
                <w:color w:val="auto"/>
              </w:rPr>
            </w:pPr>
          </w:p>
        </w:tc>
      </w:tr>
      <w:tr>
        <w:trPr>
          <w:trHeight w:val="143"/>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warrants and rights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453"/>
              <w:spacing w:after="0" w:line="143" w:lineRule="exact"/>
              <w:rPr>
                <w:sz w:val="20"/>
                <w:szCs w:val="20"/>
                <w:color w:val="auto"/>
              </w:rPr>
            </w:pPr>
            <w:r>
              <w:rPr>
                <w:rFonts w:ascii="Arial" w:cs="Arial" w:eastAsia="Arial" w:hAnsi="Arial"/>
                <w:sz w:val="13"/>
                <w:szCs w:val="13"/>
                <w:b w:val="1"/>
                <w:bCs w:val="1"/>
                <w:color w:val="auto"/>
                <w:w w:val="89"/>
              </w:rPr>
              <w:t>and rights</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90"/>
              </w:rPr>
              <w:t>reflected in column (a))</w:t>
            </w:r>
          </w:p>
        </w:tc>
        <w:tc>
          <w:tcPr>
            <w:tcW w:w="240" w:type="dxa"/>
            <w:vAlign w:val="bottom"/>
          </w:tcPr>
          <w:p>
            <w:pPr>
              <w:spacing w:after="0"/>
              <w:rPr>
                <w:sz w:val="12"/>
                <w:szCs w:val="12"/>
                <w:color w:val="auto"/>
              </w:rPr>
            </w:pPr>
          </w:p>
        </w:tc>
      </w:tr>
      <w:tr>
        <w:trPr>
          <w:trHeight w:val="156"/>
        </w:trPr>
        <w:tc>
          <w:tcPr>
            <w:tcW w:w="5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Plan category</w:t>
            </w:r>
          </w:p>
        </w:tc>
        <w:tc>
          <w:tcPr>
            <w:tcW w:w="120" w:type="dxa"/>
            <w:vAlign w:val="bottom"/>
            <w:tcBorders>
              <w:bottom w:val="single" w:sz="8" w:color="CFF0FC"/>
            </w:tcBorders>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28"/>
              <w:spacing w:after="0"/>
              <w:rPr>
                <w:sz w:val="20"/>
                <w:szCs w:val="20"/>
                <w:color w:val="auto"/>
              </w:rPr>
            </w:pPr>
            <w:r>
              <w:rPr>
                <w:rFonts w:ascii="Arial" w:cs="Arial" w:eastAsia="Arial" w:hAnsi="Arial"/>
                <w:sz w:val="13"/>
                <w:szCs w:val="13"/>
                <w:b w:val="1"/>
                <w:bCs w:val="1"/>
                <w:color w:val="auto"/>
                <w:w w:val="96"/>
              </w:rPr>
              <w:t>(b)</w:t>
            </w:r>
          </w:p>
        </w:tc>
        <w:tc>
          <w:tcPr>
            <w:tcW w:w="340" w:type="dxa"/>
            <w:vAlign w:val="bottom"/>
            <w:tcBorders>
              <w:bottom w:val="single" w:sz="8" w:color="CFF0FC"/>
            </w:tcBorders>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100" w:type="dxa"/>
            <w:vAlign w:val="bottom"/>
            <w:tcBorders>
              <w:bottom w:val="single" w:sz="8" w:color="CFF0FC"/>
            </w:tcBorders>
          </w:tcPr>
          <w:p>
            <w:pPr>
              <w:spacing w:after="0"/>
              <w:rPr>
                <w:sz w:val="13"/>
                <w:szCs w:val="13"/>
                <w:color w:val="auto"/>
              </w:rPr>
            </w:pPr>
          </w:p>
        </w:tc>
        <w:tc>
          <w:tcPr>
            <w:tcW w:w="240" w:type="dxa"/>
            <w:vAlign w:val="bottom"/>
          </w:tcPr>
          <w:p>
            <w:pPr>
              <w:spacing w:after="0"/>
              <w:rPr>
                <w:sz w:val="13"/>
                <w:szCs w:val="13"/>
                <w:color w:val="auto"/>
              </w:rPr>
            </w:pPr>
          </w:p>
        </w:tc>
      </w:tr>
      <w:tr>
        <w:trPr>
          <w:trHeight w:val="214"/>
        </w:trPr>
        <w:tc>
          <w:tcPr>
            <w:tcW w:w="54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Equity compensation plans approved by security holders </w:t>
            </w:r>
            <w:r>
              <w:rPr>
                <w:rFonts w:ascii="Arial" w:cs="Arial" w:eastAsia="Arial" w:hAnsi="Arial"/>
                <w:sz w:val="14"/>
                <w:szCs w:val="14"/>
                <w:color w:val="auto"/>
              </w:rPr>
              <w:t>(1)</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3,095,087</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3,949,513</w:t>
            </w:r>
          </w:p>
        </w:tc>
        <w:tc>
          <w:tcPr>
            <w:tcW w:w="10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r>
      <w:tr>
        <w:trPr>
          <w:trHeight w:val="221"/>
        </w:trPr>
        <w:tc>
          <w:tcPr>
            <w:tcW w:w="554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 xml:space="preserve">Equity compensation plans not approved by security holders </w:t>
            </w:r>
            <w:r>
              <w:rPr>
                <w:rFonts w:ascii="Arial" w:cs="Arial" w:eastAsia="Arial" w:hAnsi="Arial"/>
                <w:sz w:val="14"/>
                <w:szCs w:val="14"/>
                <w:color w:val="auto"/>
              </w:rPr>
              <w:t>(3)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96,153</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187,897</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r>
      <w:tr>
        <w:trPr>
          <w:trHeight w:val="214"/>
        </w:trPr>
        <w:tc>
          <w:tcPr>
            <w:tcW w:w="55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3,191,240</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w:t>
            </w:r>
          </w:p>
        </w:tc>
        <w:tc>
          <w:tcPr>
            <w:tcW w:w="3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4,137,410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0"/>
        </w:trPr>
        <w:tc>
          <w:tcPr>
            <w:tcW w:w="5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bl>
    <w:p>
      <w:pPr>
        <w:spacing w:after="0" w:line="196" w:lineRule="exact"/>
        <w:rPr>
          <w:sz w:val="20"/>
          <w:szCs w:val="20"/>
          <w:color w:val="auto"/>
        </w:rPr>
      </w:pPr>
    </w:p>
    <w:p>
      <w:pPr>
        <w:ind w:left="740" w:hanging="371"/>
        <w:spacing w:after="0"/>
        <w:tabs>
          <w:tab w:leader="none" w:pos="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754,833 outstanding stock options, 1,324,650 outstanding RSUs, 720,000 outstanding PSUs and 295,604 outstanding deferred stock awards.</w:t>
      </w:r>
    </w:p>
    <w:p>
      <w:pPr>
        <w:spacing w:after="0" w:line="244" w:lineRule="exact"/>
        <w:rPr>
          <w:rFonts w:ascii="Arial" w:cs="Arial" w:eastAsia="Arial" w:hAnsi="Arial"/>
          <w:sz w:val="15"/>
          <w:szCs w:val="15"/>
          <w:color w:val="auto"/>
        </w:rPr>
      </w:pPr>
    </w:p>
    <w:p>
      <w:pPr>
        <w:ind w:left="740" w:hanging="371"/>
        <w:spacing w:after="0"/>
        <w:tabs>
          <w:tab w:leader="none" w:pos="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weighted-average exercise price is calculated solely based upon outstanding stock options and excludes RSUs, PSUs and deferred stock awards.</w:t>
      </w:r>
    </w:p>
    <w:p>
      <w:pPr>
        <w:spacing w:after="0" w:line="140" w:lineRule="exact"/>
        <w:rPr>
          <w:rFonts w:ascii="Arial" w:cs="Arial" w:eastAsia="Arial" w:hAnsi="Arial"/>
          <w:sz w:val="15"/>
          <w:szCs w:val="15"/>
          <w:color w:val="auto"/>
        </w:rPr>
      </w:pPr>
    </w:p>
    <w:p>
      <w:pPr>
        <w:ind w:left="740" w:right="20" w:hanging="371"/>
        <w:spacing w:after="0" w:line="271"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Pursuant to the Non-Employee Director Compensation Plan, we have 500,000 shares authorized for stock issuances in lieu of cash director fees, of which 187,897 shares were available at February 1, 2020. On December 19, 2019, the Company granted 96,153 RSUs, which vested on April 1, 2020, as an inducement award.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Seymour Holtzman/Jewelcor Management, Inc. (JMI)</w:t>
      </w:r>
    </w:p>
    <w:p>
      <w:pPr>
        <w:spacing w:after="0" w:line="117" w:lineRule="exact"/>
        <w:rPr>
          <w:sz w:val="20"/>
          <w:szCs w:val="20"/>
          <w:color w:val="auto"/>
        </w:rPr>
      </w:pPr>
    </w:p>
    <w:p>
      <w:pPr>
        <w:jc w:val="both"/>
        <w:ind w:right="280"/>
        <w:spacing w:after="0" w:line="271" w:lineRule="auto"/>
        <w:rPr>
          <w:sz w:val="20"/>
          <w:szCs w:val="20"/>
          <w:color w:val="auto"/>
        </w:rPr>
      </w:pPr>
      <w:r>
        <w:rPr>
          <w:rFonts w:ascii="Arial" w:cs="Arial" w:eastAsia="Arial" w:hAnsi="Arial"/>
          <w:sz w:val="17"/>
          <w:szCs w:val="17"/>
          <w:color w:val="auto"/>
        </w:rPr>
        <w:t>Seymour Holtzman currently serves as a member of the Board. Mr. Holtzman served as the Company’s Executive Chairman of the Board from August 2014 through January 2019, and as it Chairman of the Board from April 2000 to August 2014. Mr. Holtzman is the chairman, chief executive officer and president and, together with his wife, indirectly, the majority shareholder of Jewelcor Management, Inc. (“JMI”).</w:t>
      </w:r>
    </w:p>
    <w:p>
      <w:pPr>
        <w:spacing w:after="0" w:line="171" w:lineRule="exact"/>
        <w:rPr>
          <w:sz w:val="20"/>
          <w:szCs w:val="20"/>
          <w:color w:val="auto"/>
        </w:rPr>
      </w:pPr>
    </w:p>
    <w:p>
      <w:pPr>
        <w:jc w:val="both"/>
        <w:ind w:right="20"/>
        <w:spacing w:after="0" w:line="295" w:lineRule="auto"/>
        <w:rPr>
          <w:sz w:val="20"/>
          <w:szCs w:val="20"/>
          <w:color w:val="auto"/>
        </w:rPr>
      </w:pPr>
      <w:r>
        <w:rPr>
          <w:rFonts w:ascii="Arial" w:cs="Arial" w:eastAsia="Arial" w:hAnsi="Arial"/>
          <w:sz w:val="15"/>
          <w:szCs w:val="15"/>
          <w:color w:val="auto"/>
        </w:rPr>
        <w:t>Mr. Holtzman currently receives compensation pursuant to an Employment and Chairman Compensation Agreement entered into in August 2014, most recently amended in August 2018 (as amended, the “Compensation Agreement”). Pursuant to the terms of the Compensation Agreement, Mr. Holtzman was receiving an annual compensation of $200,000 for his services as Executive Chairman and $24,000 for his services as an employee of the Company, reporting to the</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Board. Effective August 9, 2018, the Compensation Agreement was further amended to reduce his annual compensation as Executive Chairman to $176,000 and to provide written notification to Mr. Holtzman that the Company would not be extending the term of the Compensation Agreement and, as a result, the Compensation Agreement will terminate on August 7, 2020.</w:t>
      </w:r>
    </w:p>
    <w:p>
      <w:pPr>
        <w:spacing w:after="0" w:line="179" w:lineRule="exact"/>
        <w:rPr>
          <w:sz w:val="20"/>
          <w:szCs w:val="20"/>
          <w:color w:val="auto"/>
        </w:rPr>
      </w:pPr>
    </w:p>
    <w:p>
      <w:pPr>
        <w:ind w:right="480"/>
        <w:spacing w:after="0" w:line="323" w:lineRule="auto"/>
        <w:rPr>
          <w:sz w:val="20"/>
          <w:szCs w:val="20"/>
          <w:color w:val="auto"/>
        </w:rPr>
      </w:pPr>
      <w:r>
        <w:rPr>
          <w:rFonts w:ascii="Arial" w:cs="Arial" w:eastAsia="Arial" w:hAnsi="Arial"/>
          <w:sz w:val="15"/>
          <w:szCs w:val="15"/>
          <w:color w:val="auto"/>
        </w:rPr>
        <w:t>On January 24, 2019, the Board voted to adopt an independent Board chairman structure and elected John Kyees as the Company’s new independent, non-executive Chairman, replacing Mr. Holtzman. Mr. Holtzman continues to serve as a director of the Company and will continue to receive his annual compensation of $176,000 as a director and an annual base salary of $24,000 for his services as an employee of the Company through August 7, 2020.</w:t>
      </w:r>
    </w:p>
    <w:p>
      <w:pPr>
        <w:spacing w:after="0" w:line="33"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A complete summary of all compensation and consulting fees paid to Mr. Holtzman is described above under “</w:t>
      </w:r>
      <w:r>
        <w:rPr>
          <w:rFonts w:ascii="Arial" w:cs="Arial" w:eastAsia="Arial" w:hAnsi="Arial"/>
          <w:sz w:val="17"/>
          <w:szCs w:val="17"/>
          <w:i w:val="1"/>
          <w:iCs w:val="1"/>
          <w:color w:val="auto"/>
        </w:rPr>
        <w:t>Director Compensation- Former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Chairman Compensation.</w:t>
      </w:r>
      <w:r>
        <w:rPr>
          <w:rFonts w:ascii="Arial" w:cs="Arial" w:eastAsia="Arial" w:hAnsi="Arial"/>
          <w:sz w:val="17"/>
          <w:szCs w:val="17"/>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Review, Approval or Ratification of Transactions with Related Persons</w:t>
      </w:r>
    </w:p>
    <w:p>
      <w:pPr>
        <w:spacing w:after="0" w:line="2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Pursuant to its charter, the Audit Committee reviews all related party transactions on an ongoing basis and, to the extent required by the Sarbanes−Oxley Act of 2002, the SEC or Nasdaq, all such transactions must be approved by the Audit Committee except as otherwise delegated by the Audit Committee to another independent body of the Board. The Audit Committee determined that, due to the nature of Mr. Holtzman’s ownership in the Company as well as our previous consulting agreement with JMI, the review and approval of all transactions pursuant to any arrangement with Mr. Holtzman would be the primary responsibility of the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117"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Our Board is currently comprised of nine members, a majority of whom are “independent” under the rules of Nasdaq. The Board has determined that the following directors are independent: Messrs. Boyle, Kyees, Conacher, Mesdag, Mooney, Presser and Ms. Ross.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Accountant Fees and Services</w:t>
      </w: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Audit Committee engaged KPMG LLP to serve as our independent registered public accounting firm during the fiscal year ended February 1, 2020. KPMG LLP has served as the Company’s independent registered public accounting firm since June 6, 2013.</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Accounting Fees and Services</w:t>
      </w:r>
    </w:p>
    <w:p>
      <w:pPr>
        <w:spacing w:after="0" w:line="31"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color w:val="auto"/>
        </w:rPr>
        <w:t>The following table sets forth the fees accrued or paid to the Company’s independent registered accounting firm for the fiscal years ended February 1, 2020 (“fiscal 2019”) and February 2, 2019 (“fiscal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2"/>
          </w:tcPr>
          <w:p>
            <w:pPr>
              <w:ind w:left="180"/>
              <w:spacing w:after="0"/>
              <w:rPr>
                <w:sz w:val="20"/>
                <w:szCs w:val="20"/>
                <w:color w:val="auto"/>
              </w:rPr>
            </w:pPr>
            <w:r>
              <w:rPr>
                <w:rFonts w:ascii="Arial" w:cs="Arial" w:eastAsia="Arial" w:hAnsi="Arial"/>
                <w:sz w:val="13"/>
                <w:szCs w:val="13"/>
                <w:b w:val="1"/>
                <w:bCs w:val="1"/>
                <w:color w:val="auto"/>
              </w:rPr>
              <w:t>Fiscal 2019</w:t>
            </w:r>
          </w:p>
        </w:tc>
        <w:tc>
          <w:tcPr>
            <w:tcW w:w="2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b w:val="1"/>
                <w:bCs w:val="1"/>
                <w:color w:val="auto"/>
              </w:rPr>
              <w:t>Fiscal 2018</w:t>
            </w:r>
          </w:p>
        </w:tc>
      </w:tr>
      <w:tr>
        <w:trPr>
          <w:trHeight w:val="214"/>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Audit Fees (1)</w:t>
            </w:r>
          </w:p>
        </w:tc>
        <w:tc>
          <w:tcPr>
            <w:tcW w:w="280" w:type="dxa"/>
            <w:vAlign w:val="bottom"/>
            <w:tcBorders>
              <w:top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905,777</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948,727</w:t>
            </w: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7"/>
                <w:szCs w:val="17"/>
                <w:color w:val="auto"/>
              </w:rPr>
              <w:t>Audit-Related Fees</w:t>
            </w:r>
          </w:p>
        </w:tc>
        <w:tc>
          <w:tcPr>
            <w:tcW w:w="2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Tax Fees</w:t>
            </w: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77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All Other Fees (2)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1,780</w:t>
            </w:r>
          </w:p>
        </w:tc>
        <w:tc>
          <w:tcPr>
            <w:tcW w:w="120" w:type="dxa"/>
            <w:vAlign w:val="bottom"/>
            <w:tcBorders>
              <w:bottom w:val="single" w:sz="8" w:color="CFF0FC"/>
            </w:tcBorders>
          </w:tcPr>
          <w:p>
            <w:pPr>
              <w:spacing w:after="0"/>
              <w:rPr>
                <w:sz w:val="19"/>
                <w:szCs w:val="19"/>
                <w:color w:val="auto"/>
              </w:rPr>
            </w:pPr>
          </w:p>
        </w:tc>
      </w:tr>
      <w:tr>
        <w:trPr>
          <w:trHeight w:val="214"/>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Fees</w:t>
            </w: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907,557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950,507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0" w:lineRule="exact"/>
        <w:rPr>
          <w:sz w:val="20"/>
          <w:szCs w:val="20"/>
          <w:color w:val="auto"/>
        </w:rPr>
      </w:pPr>
    </w:p>
    <w:p>
      <w:pPr>
        <w:ind w:left="740" w:hanging="371"/>
        <w:spacing w:after="0" w:line="263"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Audit Fees related to professional services rendered in connection with the audits of our financial statements included in our Annual Reports on Form 10-K for fiscal 2019 and fiscal 2018, for services performed related to compliance with Section 404 of the Sarbanes-Oxley Act of 2002, and for reviews of the financial statements included in each of our Quarterly Reports on Form 10-Q. Audit Fees in fiscal 2019 and fiscal 2018 also included work performed in connection with the Company’s adoption of ASC 842 and fiscal 2019 includes </w:t>
      </w:r>
      <w:r>
        <w:rPr>
          <w:rFonts w:ascii="Arial" w:cs="Arial" w:eastAsia="Arial" w:hAnsi="Arial"/>
          <w:sz w:val="17"/>
          <w:szCs w:val="17"/>
          <w:color w:val="212121"/>
        </w:rPr>
        <w:t>services provided in connection with our registration</w:t>
      </w:r>
      <w:r>
        <w:rPr>
          <w:rFonts w:ascii="Arial" w:cs="Arial" w:eastAsia="Arial" w:hAnsi="Arial"/>
          <w:sz w:val="17"/>
          <w:szCs w:val="17"/>
          <w:color w:val="auto"/>
        </w:rPr>
        <w:t xml:space="preserve"> </w:t>
      </w:r>
      <w:r>
        <w:rPr>
          <w:rFonts w:ascii="Arial" w:cs="Arial" w:eastAsia="Arial" w:hAnsi="Arial"/>
          <w:sz w:val="17"/>
          <w:szCs w:val="17"/>
          <w:color w:val="212121"/>
        </w:rPr>
        <w:t xml:space="preserve">statements on Form </w:t>
      </w:r>
      <w:r>
        <w:rPr>
          <w:rFonts w:ascii="Arial" w:cs="Arial" w:eastAsia="Arial" w:hAnsi="Arial"/>
          <w:sz w:val="17"/>
          <w:szCs w:val="17"/>
          <w:color w:val="252525"/>
        </w:rPr>
        <w:t>S</w:t>
      </w:r>
      <w:r>
        <w:rPr>
          <w:rFonts w:ascii="Arial" w:cs="Arial" w:eastAsia="Arial" w:hAnsi="Arial"/>
          <w:sz w:val="17"/>
          <w:szCs w:val="17"/>
          <w:color w:val="212121"/>
        </w:rPr>
        <w:t>-</w:t>
      </w:r>
      <w:r>
        <w:rPr>
          <w:rFonts w:ascii="Arial" w:cs="Arial" w:eastAsia="Arial" w:hAnsi="Arial"/>
          <w:sz w:val="17"/>
          <w:szCs w:val="17"/>
          <w:color w:val="252525"/>
        </w:rPr>
        <w:t>8.</w:t>
      </w:r>
    </w:p>
    <w:p>
      <w:pPr>
        <w:spacing w:after="0" w:line="75" w:lineRule="exact"/>
        <w:rPr>
          <w:rFonts w:ascii="Arial" w:cs="Arial" w:eastAsia="Arial" w:hAnsi="Arial"/>
          <w:sz w:val="17"/>
          <w:szCs w:val="17"/>
          <w:color w:val="auto"/>
        </w:rPr>
      </w:pPr>
    </w:p>
    <w:p>
      <w:pPr>
        <w:ind w:left="740" w:hanging="371"/>
        <w:spacing w:after="0"/>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Other Fees related to an annual fee for access to an online accounting research tool.</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Pre-Approval of Services by Independent Auditors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has adopted a policy governing the provision of audit and non-audit services by our independent registered public accounting</w:t>
      </w:r>
    </w:p>
    <w:p>
      <w:pPr>
        <w:spacing w:after="0" w:line="2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All of the services provided in fiscal 2019 and fiscal 2018 under Audit Fees and All Other Fees were pre-approved by the Audit Committee.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and Financial Statement Schedules</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u w:val="single" w:color="auto"/>
          <w:color w:val="auto"/>
        </w:rPr>
        <w:t>15(a)(3) Exhibits</w:t>
      </w: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Index to Exhibits</w:t>
      </w:r>
    </w:p>
    <w:p>
      <w:pPr>
        <w:spacing w:after="0" w:line="200" w:lineRule="exact"/>
        <w:rPr>
          <w:sz w:val="20"/>
          <w:szCs w:val="20"/>
          <w:color w:val="auto"/>
        </w:rPr>
      </w:pPr>
    </w:p>
    <w:p>
      <w:pPr>
        <w:spacing w:after="0" w:line="249" w:lineRule="exact"/>
        <w:rPr>
          <w:sz w:val="20"/>
          <w:szCs w:val="20"/>
          <w:color w:val="auto"/>
        </w:rPr>
      </w:pPr>
    </w:p>
    <w:p>
      <w:pPr>
        <w:ind w:left="1740" w:right="399" w:hanging="681"/>
        <w:spacing w:after="0" w:line="286" w:lineRule="auto"/>
        <w:tabs>
          <w:tab w:leader="none" w:pos="1720" w:val="left"/>
        </w:tabs>
        <w:rPr>
          <w:rFonts w:ascii="Arial" w:cs="Arial" w:eastAsia="Arial" w:hAnsi="Arial"/>
          <w:sz w:val="17"/>
          <w:szCs w:val="17"/>
          <w:color w:val="0000EE"/>
        </w:rPr>
      </w:pPr>
      <w:r>
        <w:rPr>
          <w:rFonts w:ascii="Arial" w:cs="Arial" w:eastAsia="Arial" w:hAnsi="Arial"/>
          <w:sz w:val="17"/>
          <w:szCs w:val="17"/>
          <w:color w:val="auto"/>
        </w:rPr>
        <w:t>31.1</w:t>
      </w:r>
      <w:r>
        <w:rPr>
          <w:sz w:val="20"/>
          <w:szCs w:val="20"/>
          <w:color w:val="auto"/>
        </w:rPr>
        <w:tab/>
      </w:r>
      <w:hyperlink w:anchor="page36">
        <w:r>
          <w:rPr>
            <w:rFonts w:ascii="Arial" w:cs="Arial" w:eastAsia="Arial" w:hAnsi="Arial"/>
            <w:sz w:val="17"/>
            <w:szCs w:val="17"/>
            <w:u w:val="single" w:color="auto"/>
            <w:color w:val="0000EE"/>
          </w:rPr>
          <w:t>Certification of Chief Executive Officer of the Company pursuant to Rule 13a-14(a) under the Securities Exchange</w:t>
        </w:r>
      </w:hyperlink>
      <w:r>
        <w:rPr>
          <w:rFonts w:ascii="Arial" w:cs="Arial" w:eastAsia="Arial" w:hAnsi="Arial"/>
          <w:sz w:val="17"/>
          <w:szCs w:val="17"/>
          <w:u w:val="single" w:color="auto"/>
          <w:color w:val="0000EE"/>
        </w:rPr>
        <w:t xml:space="preserve"> </w:t>
      </w:r>
      <w:hyperlink w:anchor="page36">
        <w:r>
          <w:rPr>
            <w:rFonts w:ascii="Arial" w:cs="Arial" w:eastAsia="Arial" w:hAnsi="Arial"/>
            <w:sz w:val="17"/>
            <w:szCs w:val="17"/>
            <w:u w:val="single" w:color="auto"/>
            <w:color w:val="0000EE"/>
          </w:rPr>
          <w:t>Act of 1934</w:t>
        </w:r>
        <w:r>
          <w:rPr>
            <w:rFonts w:ascii="Arial" w:cs="Arial" w:eastAsia="Arial" w:hAnsi="Arial"/>
            <w:sz w:val="17"/>
            <w:szCs w:val="17"/>
            <w:color w:val="000000"/>
          </w:rPr>
          <w:t>.</w:t>
        </w:r>
      </w:hyperlink>
    </w:p>
    <w:p>
      <w:pPr>
        <w:spacing w:after="0" w:line="55" w:lineRule="exact"/>
        <w:rPr>
          <w:sz w:val="20"/>
          <w:szCs w:val="20"/>
          <w:color w:val="auto"/>
        </w:rPr>
      </w:pPr>
    </w:p>
    <w:p>
      <w:pPr>
        <w:ind w:left="1740" w:right="459" w:hanging="681"/>
        <w:spacing w:after="0" w:line="286" w:lineRule="auto"/>
        <w:tabs>
          <w:tab w:leader="none" w:pos="1720" w:val="left"/>
        </w:tabs>
        <w:rPr>
          <w:rFonts w:ascii="Arial" w:cs="Arial" w:eastAsia="Arial" w:hAnsi="Arial"/>
          <w:sz w:val="17"/>
          <w:szCs w:val="17"/>
          <w:u w:val="single" w:color="auto"/>
          <w:color w:val="0000EE"/>
        </w:rPr>
      </w:pPr>
      <w:r>
        <w:rPr>
          <w:rFonts w:ascii="Arial" w:cs="Arial" w:eastAsia="Arial" w:hAnsi="Arial"/>
          <w:sz w:val="17"/>
          <w:szCs w:val="17"/>
          <w:color w:val="auto"/>
        </w:rPr>
        <w:t>31.2</w:t>
      </w:r>
      <w:r>
        <w:rPr>
          <w:sz w:val="20"/>
          <w:szCs w:val="20"/>
          <w:color w:val="auto"/>
        </w:rPr>
        <w:tab/>
      </w:r>
      <w:hyperlink w:anchor="page37">
        <w:r>
          <w:rPr>
            <w:rFonts w:ascii="Arial" w:cs="Arial" w:eastAsia="Arial" w:hAnsi="Arial"/>
            <w:sz w:val="17"/>
            <w:szCs w:val="17"/>
            <w:u w:val="single" w:color="auto"/>
            <w:color w:val="0000EE"/>
          </w:rPr>
          <w:t>Certification of Chief Financial Officer of the Company pursuant to Rule 13a-14(a) under the Securities Exchange</w:t>
        </w:r>
      </w:hyperlink>
      <w:r>
        <w:rPr>
          <w:rFonts w:ascii="Arial" w:cs="Arial" w:eastAsia="Arial" w:hAnsi="Arial"/>
          <w:sz w:val="17"/>
          <w:szCs w:val="17"/>
          <w:u w:val="single" w:color="auto"/>
          <w:color w:val="0000EE"/>
        </w:rPr>
        <w:t xml:space="preserve"> </w:t>
      </w:r>
      <w:hyperlink w:anchor="page37">
        <w:r>
          <w:rPr>
            <w:rFonts w:ascii="Arial" w:cs="Arial" w:eastAsia="Arial" w:hAnsi="Arial"/>
            <w:sz w:val="17"/>
            <w:szCs w:val="17"/>
            <w:u w:val="single" w:color="auto"/>
            <w:color w:val="0000EE"/>
          </w:rPr>
          <w:t>Act of 1934</w:t>
        </w:r>
        <w:r>
          <w:rPr>
            <w:rFonts w:ascii="Arial" w:cs="Arial" w:eastAsia="Arial" w:hAnsi="Arial"/>
            <w:sz w:val="17"/>
            <w:szCs w:val="17"/>
            <w:u w:val="single" w:color="auto"/>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5391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910" cy="16510"/>
                    </a:xfrm>
                    <a:prstGeom prst="rect">
                      <a:avLst/>
                    </a:prstGeom>
                    <a:noFill/>
                  </pic:spPr>
                </pic:pic>
              </a:graphicData>
            </a:graphic>
          </wp:anchor>
        </w:drawing>
      </w:r>
    </w:p>
    <w:p>
      <w:pPr>
        <w:sectPr>
          <w:pgSz w:w="11900" w:h="16838" w:orient="portrait"/>
          <w:cols w:equalWidth="0" w:num="1">
            <w:col w:w="10139"/>
          </w:cols>
          <w:pgMar w:left="320" w:top="330" w:right="1440" w:bottom="1440" w:gutter="0" w:footer="0" w:header="0"/>
        </w:sectPr>
      </w:pPr>
    </w:p>
    <w:bookmarkStart w:id="34" w:name="page35"/>
    <w:bookmarkEnd w:id="34"/>
    <w:p>
      <w:pPr>
        <w:jc w:val="center"/>
        <w:ind w:right="-199"/>
        <w:spacing w:after="0"/>
        <w:rPr>
          <w:sz w:val="20"/>
          <w:szCs w:val="20"/>
          <w:color w:val="auto"/>
        </w:rPr>
      </w:pPr>
      <w:r>
        <w:rPr>
          <w:rFonts w:ascii="Arial" w:cs="Arial" w:eastAsia="Arial" w:hAnsi="Arial"/>
          <w:sz w:val="17"/>
          <w:szCs w:val="17"/>
          <w:b w:val="1"/>
          <w:bCs w:val="1"/>
          <w:color w:val="auto"/>
        </w:rPr>
        <w:t>SIGNATURES</w:t>
      </w:r>
    </w:p>
    <w:p>
      <w:pPr>
        <w:spacing w:after="0" w:line="175" w:lineRule="exact"/>
        <w:rPr>
          <w:sz w:val="20"/>
          <w:szCs w:val="20"/>
          <w:color w:val="auto"/>
        </w:rPr>
      </w:pPr>
    </w:p>
    <w:p>
      <w:pPr>
        <w:ind w:firstLine="515"/>
        <w:spacing w:after="0" w:line="28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380" w:type="dxa"/>
            <w:vAlign w:val="bottom"/>
            <w:gridSpan w:val="3"/>
          </w:tcPr>
          <w:p>
            <w:pPr>
              <w:ind w:left="4520"/>
              <w:spacing w:after="0"/>
              <w:rPr>
                <w:sz w:val="20"/>
                <w:szCs w:val="20"/>
                <w:color w:val="auto"/>
              </w:rPr>
            </w:pPr>
            <w:r>
              <w:rPr>
                <w:rFonts w:ascii="Arial" w:cs="Arial" w:eastAsia="Arial" w:hAnsi="Arial"/>
                <w:sz w:val="17"/>
                <w:szCs w:val="17"/>
                <w:color w:val="auto"/>
              </w:rPr>
              <w:t>D</w:t>
            </w:r>
            <w:r>
              <w:rPr>
                <w:rFonts w:ascii="Arial" w:cs="Arial" w:eastAsia="Arial" w:hAnsi="Arial"/>
                <w:sz w:val="13"/>
                <w:szCs w:val="13"/>
                <w:color w:val="auto"/>
              </w:rPr>
              <w:t>ESTINATION</w:t>
            </w:r>
            <w:r>
              <w:rPr>
                <w:rFonts w:ascii="Arial" w:cs="Arial" w:eastAsia="Arial" w:hAnsi="Arial"/>
                <w:sz w:val="17"/>
                <w:szCs w:val="17"/>
                <w:color w:val="auto"/>
              </w:rPr>
              <w:t xml:space="preserve"> XL G</w:t>
            </w:r>
            <w:r>
              <w:rPr>
                <w:rFonts w:ascii="Arial" w:cs="Arial" w:eastAsia="Arial" w:hAnsi="Arial"/>
                <w:sz w:val="13"/>
                <w:szCs w:val="13"/>
                <w:color w:val="auto"/>
              </w:rPr>
              <w:t>ROUP</w:t>
            </w:r>
            <w:r>
              <w:rPr>
                <w:rFonts w:ascii="Arial" w:cs="Arial" w:eastAsia="Arial" w:hAnsi="Arial"/>
                <w:sz w:val="17"/>
                <w:szCs w:val="17"/>
                <w:color w:val="auto"/>
              </w:rPr>
              <w:t>, I</w:t>
            </w:r>
            <w:r>
              <w:rPr>
                <w:rFonts w:ascii="Arial" w:cs="Arial" w:eastAsia="Arial" w:hAnsi="Arial"/>
                <w:sz w:val="13"/>
                <w:szCs w:val="13"/>
                <w:color w:val="auto"/>
              </w:rPr>
              <w:t>NC</w:t>
            </w:r>
            <w:r>
              <w:rPr>
                <w:rFonts w:ascii="Arial" w:cs="Arial" w:eastAsia="Arial" w:hAnsi="Arial"/>
                <w:sz w:val="17"/>
                <w:szCs w:val="17"/>
                <w:color w:val="auto"/>
              </w:rPr>
              <w:t>.</w:t>
            </w:r>
          </w:p>
        </w:tc>
      </w:tr>
      <w:tr>
        <w:trPr>
          <w:trHeight w:val="221"/>
        </w:trPr>
        <w:tc>
          <w:tcPr>
            <w:tcW w:w="5940" w:type="dxa"/>
            <w:vAlign w:val="bottom"/>
            <w:gridSpan w:val="2"/>
          </w:tcPr>
          <w:p>
            <w:pPr>
              <w:spacing w:after="0"/>
              <w:rPr>
                <w:sz w:val="20"/>
                <w:szCs w:val="20"/>
                <w:color w:val="auto"/>
              </w:rPr>
            </w:pPr>
            <w:r>
              <w:rPr>
                <w:rFonts w:ascii="Arial" w:cs="Arial" w:eastAsia="Arial" w:hAnsi="Arial"/>
                <w:sz w:val="17"/>
                <w:szCs w:val="17"/>
                <w:color w:val="auto"/>
              </w:rPr>
              <w:t>June 1, 2020</w:t>
            </w:r>
          </w:p>
        </w:tc>
        <w:tc>
          <w:tcPr>
            <w:tcW w:w="3440" w:type="dxa"/>
            <w:vAlign w:val="bottom"/>
          </w:tcPr>
          <w:p>
            <w:pPr>
              <w:spacing w:after="0"/>
              <w:rPr>
                <w:sz w:val="19"/>
                <w:szCs w:val="19"/>
                <w:color w:val="auto"/>
              </w:rPr>
            </w:pPr>
          </w:p>
        </w:tc>
      </w:tr>
      <w:tr>
        <w:trPr>
          <w:trHeight w:val="417"/>
        </w:trPr>
        <w:tc>
          <w:tcPr>
            <w:tcW w:w="5940" w:type="dxa"/>
            <w:vAlign w:val="bottom"/>
            <w:gridSpan w:val="2"/>
          </w:tcPr>
          <w:p>
            <w:pPr>
              <w:ind w:left="4520"/>
              <w:spacing w:after="0"/>
              <w:rPr>
                <w:sz w:val="20"/>
                <w:szCs w:val="20"/>
                <w:color w:val="auto"/>
              </w:rPr>
            </w:pPr>
            <w:r>
              <w:rPr>
                <w:rFonts w:ascii="Arial" w:cs="Arial" w:eastAsia="Arial" w:hAnsi="Arial"/>
                <w:sz w:val="17"/>
                <w:szCs w:val="17"/>
                <w:color w:val="auto"/>
              </w:rPr>
              <w:t>By:</w:t>
            </w:r>
          </w:p>
        </w:tc>
        <w:tc>
          <w:tcPr>
            <w:tcW w:w="3440" w:type="dxa"/>
            <w:vAlign w:val="bottom"/>
          </w:tcPr>
          <w:p>
            <w:pPr>
              <w:ind w:left="40"/>
              <w:spacing w:after="0"/>
              <w:rPr>
                <w:sz w:val="20"/>
                <w:szCs w:val="20"/>
                <w:color w:val="auto"/>
              </w:rPr>
            </w:pPr>
            <w:r>
              <w:rPr>
                <w:rFonts w:ascii="Arial" w:cs="Arial" w:eastAsia="Arial" w:hAnsi="Arial"/>
                <w:sz w:val="17"/>
                <w:szCs w:val="17"/>
                <w:color w:val="auto"/>
              </w:rPr>
              <w:t>/s/  HARVEY S. KANTER</w:t>
            </w:r>
          </w:p>
        </w:tc>
      </w:tr>
      <w:tr>
        <w:trPr>
          <w:trHeight w:val="124"/>
        </w:trPr>
        <w:tc>
          <w:tcPr>
            <w:tcW w:w="48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3440" w:type="dxa"/>
            <w:vAlign w:val="bottom"/>
            <w:tcBorders>
              <w:top w:val="single" w:sz="8" w:color="auto"/>
            </w:tcBorders>
          </w:tcPr>
          <w:p>
            <w:pPr>
              <w:jc w:val="center"/>
              <w:ind w:right="1066"/>
              <w:spacing w:after="0" w:line="124" w:lineRule="exact"/>
              <w:rPr>
                <w:sz w:val="20"/>
                <w:szCs w:val="20"/>
                <w:color w:val="auto"/>
              </w:rPr>
            </w:pPr>
            <w:r>
              <w:rPr>
                <w:rFonts w:ascii="Arial" w:cs="Arial" w:eastAsia="Arial" w:hAnsi="Arial"/>
                <w:sz w:val="13"/>
                <w:szCs w:val="13"/>
                <w:b w:val="1"/>
                <w:bCs w:val="1"/>
                <w:color w:val="auto"/>
                <w:w w:val="94"/>
              </w:rPr>
              <w:t>Harvey S. Kanter</w:t>
            </w:r>
          </w:p>
        </w:tc>
      </w:tr>
      <w:tr>
        <w:trPr>
          <w:trHeight w:val="168"/>
        </w:trPr>
        <w:tc>
          <w:tcPr>
            <w:tcW w:w="4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40" w:type="dxa"/>
            <w:vAlign w:val="bottom"/>
          </w:tcPr>
          <w:p>
            <w:pPr>
              <w:jc w:val="center"/>
              <w:ind w:right="1066"/>
              <w:spacing w:after="0"/>
              <w:rPr>
                <w:sz w:val="20"/>
                <w:szCs w:val="20"/>
                <w:color w:val="auto"/>
              </w:rPr>
            </w:pPr>
            <w:r>
              <w:rPr>
                <w:rFonts w:ascii="Arial" w:cs="Arial" w:eastAsia="Arial" w:hAnsi="Arial"/>
                <w:sz w:val="13"/>
                <w:szCs w:val="13"/>
                <w:b w:val="1"/>
                <w:bCs w:val="1"/>
                <w:color w:val="auto"/>
                <w:w w:val="90"/>
              </w:rPr>
              <w:t>President and Chief Executive Officer</w:t>
            </w:r>
          </w:p>
        </w:tc>
      </w:tr>
      <w:tr>
        <w:trPr>
          <w:trHeight w:val="405"/>
        </w:trPr>
        <w:tc>
          <w:tcPr>
            <w:tcW w:w="4800" w:type="dxa"/>
            <w:vAlign w:val="bottom"/>
          </w:tcPr>
          <w:p>
            <w:pPr>
              <w:spacing w:after="0"/>
              <w:rPr>
                <w:sz w:val="24"/>
                <w:szCs w:val="24"/>
                <w:color w:val="auto"/>
              </w:rPr>
            </w:pP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w w:val="88"/>
              </w:rPr>
              <w:t>/s/</w:t>
            </w:r>
          </w:p>
        </w:tc>
        <w:tc>
          <w:tcPr>
            <w:tcW w:w="3440" w:type="dxa"/>
            <w:vAlign w:val="bottom"/>
            <w:tcBorders>
              <w:bottom w:val="single" w:sz="8" w:color="auto"/>
            </w:tcBorders>
          </w:tcPr>
          <w:p>
            <w:pPr>
              <w:jc w:val="center"/>
              <w:ind w:right="1066"/>
              <w:spacing w:after="0"/>
              <w:rPr>
                <w:sz w:val="20"/>
                <w:szCs w:val="20"/>
                <w:color w:val="auto"/>
              </w:rPr>
            </w:pPr>
            <w:r>
              <w:rPr>
                <w:rFonts w:ascii="Arial" w:cs="Arial" w:eastAsia="Arial" w:hAnsi="Arial"/>
                <w:sz w:val="17"/>
                <w:szCs w:val="17"/>
                <w:color w:val="auto"/>
                <w:w w:val="94"/>
              </w:rPr>
              <w:t>PETER H. STRATTON, JR.</w:t>
            </w:r>
          </w:p>
        </w:tc>
      </w:tr>
      <w:tr>
        <w:trPr>
          <w:trHeight w:val="138"/>
        </w:trPr>
        <w:tc>
          <w:tcPr>
            <w:tcW w:w="4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40" w:type="dxa"/>
            <w:vAlign w:val="bottom"/>
          </w:tcPr>
          <w:p>
            <w:pPr>
              <w:jc w:val="center"/>
              <w:ind w:right="1066"/>
              <w:spacing w:after="0" w:line="138" w:lineRule="exact"/>
              <w:rPr>
                <w:sz w:val="20"/>
                <w:szCs w:val="20"/>
                <w:color w:val="auto"/>
              </w:rPr>
            </w:pPr>
            <w:r>
              <w:rPr>
                <w:rFonts w:ascii="Arial" w:cs="Arial" w:eastAsia="Arial" w:hAnsi="Arial"/>
                <w:sz w:val="13"/>
                <w:szCs w:val="13"/>
                <w:b w:val="1"/>
                <w:bCs w:val="1"/>
                <w:color w:val="auto"/>
                <w:w w:val="93"/>
              </w:rPr>
              <w:t>Peter H. Stratton, Jr.</w:t>
            </w:r>
          </w:p>
        </w:tc>
      </w:tr>
    </w:tbl>
    <w:p>
      <w:pPr>
        <w:ind w:left="5320"/>
        <w:spacing w:after="0"/>
        <w:rPr>
          <w:sz w:val="20"/>
          <w:szCs w:val="20"/>
          <w:color w:val="auto"/>
        </w:rPr>
      </w:pPr>
      <w:r>
        <w:rPr>
          <w:rFonts w:ascii="Arial" w:cs="Arial" w:eastAsia="Arial" w:hAnsi="Arial"/>
          <w:sz w:val="13"/>
          <w:szCs w:val="13"/>
          <w:b w:val="1"/>
          <w:bCs w:val="1"/>
          <w:color w:val="auto"/>
        </w:rPr>
        <w:t>Executive Vice President, Chief Financial Officer and Treasurer</w:t>
      </w: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060"/>
          </w:cols>
          <w:pgMar w:left="320" w:top="486" w:right="51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31.1</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EXECUTIVE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Harvey S. Kanter, certify that:</w:t>
      </w:r>
    </w:p>
    <w:p>
      <w:pPr>
        <w:spacing w:after="0" w:line="91" w:lineRule="exact"/>
        <w:rPr>
          <w:sz w:val="20"/>
          <w:szCs w:val="20"/>
          <w:color w:val="auto"/>
        </w:rPr>
      </w:pPr>
    </w:p>
    <w:p>
      <w:pPr>
        <w:ind w:left="600" w:hanging="596"/>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Annual Report on Form 10-K/A of Destination XL Group, Inc.;</w:t>
      </w:r>
    </w:p>
    <w:p>
      <w:pPr>
        <w:spacing w:after="0" w:line="156" w:lineRule="exact"/>
        <w:rPr>
          <w:rFonts w:ascii="Arial" w:cs="Arial" w:eastAsia="Arial" w:hAnsi="Arial"/>
          <w:sz w:val="17"/>
          <w:szCs w:val="17"/>
          <w:color w:val="auto"/>
        </w:rPr>
      </w:pPr>
    </w:p>
    <w:p>
      <w:pPr>
        <w:ind w:left="600" w:right="80" w:hanging="596"/>
        <w:spacing w:after="0" w:line="357" w:lineRule="auto"/>
        <w:tabs>
          <w:tab w:leader="none" w:pos="6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8" w:lineRule="exact"/>
        <w:rPr>
          <w:sz w:val="20"/>
          <w:szCs w:val="20"/>
          <w:color w:val="auto"/>
        </w:rPr>
      </w:pPr>
    </w:p>
    <w:p>
      <w:pPr>
        <w:spacing w:after="0"/>
        <w:tabs>
          <w:tab w:leader="none" w:pos="6720" w:val="left"/>
          <w:tab w:leader="none" w:pos="8400" w:val="left"/>
        </w:tabs>
        <w:rPr>
          <w:sz w:val="20"/>
          <w:szCs w:val="20"/>
          <w:color w:val="auto"/>
        </w:rPr>
      </w:pPr>
      <w:r>
        <w:rPr>
          <w:rFonts w:ascii="Arial" w:cs="Arial" w:eastAsia="Arial" w:hAnsi="Arial"/>
          <w:sz w:val="17"/>
          <w:szCs w:val="17"/>
          <w:color w:val="auto"/>
        </w:rPr>
        <w:t>Date:June 1,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Harvey S. Kanter</w:t>
      </w:r>
    </w:p>
    <w:p>
      <w:pPr>
        <w:spacing w:after="0" w:line="14"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-94615</wp:posOffset>
            </wp:positionV>
            <wp:extent cx="2696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jc w:val="center"/>
        <w:ind w:left="698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Exhibit 31.2</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FINANCIAL OFFICER CERTIFICATION</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 Peter H. Stratton, Jr., certify that:</w:t>
      </w:r>
    </w:p>
    <w:p>
      <w:pPr>
        <w:spacing w:after="0" w:line="91" w:lineRule="exact"/>
        <w:rPr>
          <w:sz w:val="20"/>
          <w:szCs w:val="20"/>
          <w:color w:val="auto"/>
        </w:rPr>
      </w:pPr>
    </w:p>
    <w:p>
      <w:pPr>
        <w:ind w:left="600" w:hanging="596"/>
        <w:spacing w:after="0"/>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Annual Report on Form 10-K/A of Destination XL Group, Inc.;</w:t>
      </w:r>
    </w:p>
    <w:p>
      <w:pPr>
        <w:spacing w:after="0" w:line="156" w:lineRule="exact"/>
        <w:rPr>
          <w:rFonts w:ascii="Arial" w:cs="Arial" w:eastAsia="Arial" w:hAnsi="Arial"/>
          <w:sz w:val="17"/>
          <w:szCs w:val="17"/>
          <w:color w:val="auto"/>
        </w:rPr>
      </w:pPr>
    </w:p>
    <w:p>
      <w:pPr>
        <w:ind w:left="600" w:right="60" w:hanging="596"/>
        <w:spacing w:after="0" w:line="357" w:lineRule="auto"/>
        <w:tabs>
          <w:tab w:leader="none" w:pos="6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8" w:lineRule="exact"/>
        <w:rPr>
          <w:sz w:val="20"/>
          <w:szCs w:val="20"/>
          <w:color w:val="auto"/>
        </w:rPr>
      </w:pPr>
    </w:p>
    <w:p>
      <w:pPr>
        <w:spacing w:after="0"/>
        <w:tabs>
          <w:tab w:leader="none" w:pos="6720" w:val="left"/>
          <w:tab w:leader="none" w:pos="8300" w:val="left"/>
        </w:tabs>
        <w:rPr>
          <w:sz w:val="20"/>
          <w:szCs w:val="20"/>
          <w:color w:val="auto"/>
        </w:rPr>
      </w:pPr>
      <w:r>
        <w:rPr>
          <w:rFonts w:ascii="Arial" w:cs="Arial" w:eastAsia="Arial" w:hAnsi="Arial"/>
          <w:sz w:val="17"/>
          <w:szCs w:val="17"/>
          <w:color w:val="auto"/>
        </w:rPr>
        <w:t>Date:June 1,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Peter H. Stratton, Jr.</w:t>
      </w:r>
    </w:p>
    <w:p>
      <w:pPr>
        <w:spacing w:after="0" w:line="14"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-94615</wp:posOffset>
            </wp:positionV>
            <wp:extent cx="2696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jc w:val="center"/>
        <w:ind w:left="6980"/>
        <w:spacing w:after="0"/>
        <w:rPr>
          <w:sz w:val="20"/>
          <w:szCs w:val="20"/>
          <w:color w:val="auto"/>
        </w:rPr>
      </w:pPr>
      <w:r>
        <w:rPr>
          <w:rFonts w:ascii="Arial" w:cs="Arial" w:eastAsia="Arial" w:hAnsi="Arial"/>
          <w:sz w:val="14"/>
          <w:szCs w:val="14"/>
          <w:b w:val="1"/>
          <w:bCs w:val="1"/>
          <w:color w:val="auto"/>
        </w:rPr>
        <w:t>Executive Vice President, Chief Financial Officer and Treasurer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5"/>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lvl w:ilvl="1">
      <w:lvlJc w:val="left"/>
      <w:lvlText w:val="(%2)"/>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9"/>
    </w:lvl>
  </w:abstractNum>
  <w:abstractNum w:abstractNumId="14">
    <w:nsid w:val="836C40E"/>
    <w:multiLevelType w:val="hybridMultilevel"/>
    <w:lvl w:ilvl="0">
      <w:lvlJc w:val="left"/>
      <w:lvlText w:val="•"/>
      <w:numFmt w:val="bullet"/>
      <w:start w:val="1"/>
    </w:lvl>
    <w:lvl w:ilvl="1">
      <w:lvlJc w:val="left"/>
      <w:lvlText w:val="(%2)"/>
      <w:numFmt w:val="decimal"/>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3"/>
    </w:lvl>
  </w:abstractNum>
  <w:abstractNum w:abstractNumId="18">
    <w:nsid w:val="1E7FF521"/>
    <w:multiLevelType w:val="hybridMultilevel"/>
    <w:lvl w:ilvl="0">
      <w:lvlJc w:val="left"/>
      <w:lvlText w:val="(%1)"/>
      <w:numFmt w:val="decimal"/>
      <w:start w:val="4"/>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lvl w:ilvl="1">
      <w:lvlJc w:val="left"/>
      <w:lvlText w:val="(%2)"/>
      <w:numFmt w:val="lowerRoman"/>
      <w:start w:val="2"/>
    </w:lvl>
  </w:abstractNum>
  <w:abstractNum w:abstractNumId="22">
    <w:nsid w:val="22221A70"/>
    <w:multiLevelType w:val="hybridMultilevel"/>
    <w:lvl w:ilvl="0">
      <w:lvlJc w:val="left"/>
      <w:lvlText w:val="(%1)"/>
      <w:numFmt w:val="decimal"/>
      <w:start w:val="2"/>
    </w:lvl>
    <w:lvl w:ilvl="1">
      <w:lvlJc w:val="left"/>
      <w:lvlText w:val="%2"/>
      <w:numFmt w:val="lowerRoman"/>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lowerRoman"/>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4"/>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2"/>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4"/>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3"/>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9"/>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2020-06-01T12:49:40Z</dcterms:created>
  <dcterms:modified xsi:type="dcterms:W3CDTF">2020-06-01T12:49:40Z</dcterms:modified>
</cp:coreProperties>
</file>