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1,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May 1, 2010 was 47,691,110.</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40" w:type="dxa"/>
            <w:vAlign w:val="bottom"/>
          </w:tcPr>
          <w:p>
            <w:pPr>
              <w:jc w:val="center"/>
              <w:ind w:left="141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24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tcPr>
          <w:p>
            <w:pPr>
              <w:jc w:val="center"/>
              <w:ind w:left="1432"/>
              <w:spacing w:after="0"/>
              <w:rPr>
                <w:sz w:val="20"/>
                <w:szCs w:val="20"/>
                <w:color w:val="auto"/>
              </w:rPr>
            </w:pPr>
            <w:r>
              <w:rPr>
                <w:rFonts w:ascii="Arial" w:cs="Arial" w:eastAsia="Arial" w:hAnsi="Arial"/>
                <w:sz w:val="18"/>
                <w:szCs w:val="18"/>
                <w:b w:val="1"/>
                <w:bCs w:val="1"/>
                <w:color w:val="auto"/>
                <w:w w:val="98"/>
              </w:rPr>
              <w:t>CASUAL MALE RETAIL GROUP,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tcPr>
          <w:p>
            <w:pPr>
              <w:jc w:val="center"/>
              <w:ind w:left="143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40" w:type="dxa"/>
            <w:vAlign w:val="bottom"/>
          </w:tcPr>
          <w:p>
            <w:pPr>
              <w:jc w:val="center"/>
              <w:ind w:left="1432"/>
              <w:spacing w:after="0"/>
              <w:rPr>
                <w:sz w:val="20"/>
                <w:szCs w:val="20"/>
                <w:color w:val="auto"/>
              </w:rPr>
            </w:pPr>
            <w:r>
              <w:rPr>
                <w:rFonts w:ascii="Arial" w:cs="Arial" w:eastAsia="Arial" w:hAnsi="Arial"/>
                <w:sz w:val="18"/>
                <w:szCs w:val="18"/>
                <w:b w:val="1"/>
                <w:bCs w:val="1"/>
                <w:color w:val="auto"/>
                <w:w w:val="86"/>
              </w:rPr>
              <w:t>(In thousands, except share data)</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May 1, 2010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2,411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98,693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116,563</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105,153</w:t>
            </w:r>
          </w:p>
        </w:tc>
        <w:tc>
          <w:tcPr>
            <w:tcW w:w="0" w:type="dxa"/>
            <w:vAlign w:val="bottom"/>
          </w:tcPr>
          <w:p>
            <w:pPr>
              <w:spacing w:after="0"/>
              <w:rPr>
                <w:sz w:val="1"/>
                <w:szCs w:val="1"/>
                <w:color w:val="auto"/>
              </w:rPr>
            </w:pPr>
          </w:p>
        </w:tc>
      </w:tr>
      <w:tr>
        <w:trPr>
          <w:trHeight w:val="322"/>
        </w:trPr>
        <w:tc>
          <w:tcPr>
            <w:tcW w:w="908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39,375</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41,888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6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32,681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w w:val="84"/>
              </w:rPr>
              <w:t>Total assets</w:t>
            </w:r>
          </w:p>
        </w:tc>
        <w:tc>
          <w:tcPr>
            <w:tcW w:w="8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189,830</w:t>
            </w:r>
          </w:p>
        </w:tc>
        <w:tc>
          <w:tcPr>
            <w:tcW w:w="5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4,874</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27,819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1,392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23,449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64,636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59,583</w:t>
            </w:r>
          </w:p>
        </w:tc>
        <w:tc>
          <w:tcPr>
            <w:tcW w:w="0" w:type="dxa"/>
            <w:vAlign w:val="bottom"/>
          </w:tcPr>
          <w:p>
            <w:pPr>
              <w:spacing w:after="0"/>
              <w:rPr>
                <w:sz w:val="1"/>
                <w:szCs w:val="1"/>
                <w:color w:val="auto"/>
              </w:rPr>
            </w:pPr>
          </w:p>
        </w:tc>
      </w:tr>
      <w:tr>
        <w:trPr>
          <w:trHeight w:val="322"/>
        </w:trPr>
        <w:tc>
          <w:tcPr>
            <w:tcW w:w="9080" w:type="dxa"/>
            <w:vAlign w:val="bottom"/>
            <w:gridSpan w:val="3"/>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21,615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1,484</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91,477</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87,816</w:t>
            </w:r>
          </w:p>
        </w:tc>
        <w:tc>
          <w:tcPr>
            <w:tcW w:w="0" w:type="dxa"/>
            <w:vAlign w:val="bottom"/>
          </w:tcPr>
          <w:p>
            <w:pPr>
              <w:spacing w:after="0"/>
              <w:rPr>
                <w:sz w:val="1"/>
                <w:szCs w:val="1"/>
                <w:color w:val="auto"/>
              </w:rPr>
            </w:pPr>
          </w:p>
        </w:tc>
      </w:tr>
      <w:tr>
        <w:trPr>
          <w:trHeight w:val="330"/>
        </w:trPr>
        <w:tc>
          <w:tcPr>
            <w:tcW w:w="908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Preferred stock, $0.01 par value, 1,000,000 shares authorized, none outstanding at May 1, 2010 and January 30,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w w:val="93"/>
              </w:rPr>
              <w:t>Common stock, $0.01 par value, 100,000,000 shares authorized, 58,568,549 and 58,046,235 issued at May 1, 2010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ind w:left="640"/>
              <w:spacing w:after="0"/>
              <w:rPr>
                <w:sz w:val="20"/>
                <w:szCs w:val="20"/>
                <w:color w:val="auto"/>
              </w:rPr>
            </w:pPr>
            <w:r>
              <w:rPr>
                <w:rFonts w:ascii="Arial" w:cs="Arial" w:eastAsia="Arial" w:hAnsi="Arial"/>
                <w:sz w:val="18"/>
                <w:szCs w:val="18"/>
                <w:color w:val="auto"/>
              </w:rPr>
              <w:t>and January 30, 2010, respectively</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289,176</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(99,828)</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10,877,439 shares at May 1, 2010 and January 30, 2010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(87,977)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(3,603)</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189,830</w:t>
            </w:r>
          </w:p>
        </w:tc>
        <w:tc>
          <w:tcPr>
            <w:tcW w:w="5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May 1, 2010</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8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97,561</w:t>
            </w:r>
          </w:p>
        </w:tc>
        <w:tc>
          <w:tcPr>
            <w:tcW w:w="0" w:type="dxa"/>
            <w:vAlign w:val="bottom"/>
          </w:tcPr>
          <w:p>
            <w:pPr>
              <w:spacing w:after="0"/>
              <w:rPr>
                <w:sz w:val="1"/>
                <w:szCs w:val="1"/>
                <w:color w:val="auto"/>
              </w:rPr>
            </w:pPr>
          </w:p>
        </w:tc>
      </w:tr>
      <w:tr>
        <w:trPr>
          <w:trHeight w:val="323"/>
        </w:trPr>
        <w:tc>
          <w:tcPr>
            <w:tcW w:w="668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51,416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56,003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41,558</w:t>
            </w:r>
          </w:p>
        </w:tc>
        <w:tc>
          <w:tcPr>
            <w:tcW w:w="0" w:type="dxa"/>
            <w:vAlign w:val="bottom"/>
          </w:tcPr>
          <w:p>
            <w:pPr>
              <w:spacing w:after="0"/>
              <w:rPr>
                <w:sz w:val="1"/>
                <w:szCs w:val="1"/>
                <w:color w:val="auto"/>
              </w:rPr>
            </w:pPr>
          </w:p>
        </w:tc>
      </w:tr>
      <w:tr>
        <w:trPr>
          <w:trHeight w:val="322"/>
        </w:trPr>
        <w:tc>
          <w:tcPr>
            <w:tcW w:w="6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expense, net</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323"/>
        </w:trPr>
        <w:tc>
          <w:tcPr>
            <w:tcW w:w="66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80" w:type="dxa"/>
            <w:vAlign w:val="bottom"/>
            <w:gridSpan w:val="2"/>
          </w:tcPr>
          <w:p>
            <w:pPr>
              <w:spacing w:after="0"/>
              <w:rPr>
                <w:sz w:val="20"/>
                <w:szCs w:val="20"/>
                <w:color w:val="auto"/>
              </w:rPr>
            </w:pPr>
            <w:r>
              <w:rPr>
                <w:rFonts w:ascii="Arial" w:cs="Arial" w:eastAsia="Arial" w:hAnsi="Arial"/>
                <w:sz w:val="18"/>
                <w:szCs w:val="18"/>
                <w:color w:val="auto"/>
              </w:rPr>
              <w:t>Net income per share – basic and diluted</w:t>
            </w:r>
          </w:p>
        </w:tc>
        <w:tc>
          <w:tcPr>
            <w:tcW w:w="2780" w:type="dxa"/>
            <w:vAlign w:val="bottom"/>
            <w:gridSpan w:val="2"/>
          </w:tcPr>
          <w:p>
            <w:pPr>
              <w:ind w:left="2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24"/>
                <w:szCs w:val="24"/>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 basic</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1, 2010</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May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4,154</w:t>
            </w:r>
          </w:p>
        </w:tc>
        <w:tc>
          <w:tcPr>
            <w:tcW w:w="3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(used for)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Deferred income taxes, net of valuation allowance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8,066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(4,920)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329"/>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proceeds from sale of subsidiary, LP Innovations, Inc.</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330"/>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under credit facility</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End of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5,554</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May 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5"/>
            <w:vMerge w:val="restart"/>
          </w:tcPr>
          <w:p>
            <w:pPr>
              <w:jc w:val="right"/>
              <w:ind w:right="6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Paid-in</w:t>
            </w: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Amounts</w:t>
            </w: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30, 2010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58,046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288,367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(10,877)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(103,982)</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93,223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280" w:type="dxa"/>
            <w:vAlign w:val="bottom"/>
            <w:gridSpan w:val="2"/>
          </w:tcPr>
          <w:p>
            <w:pPr>
              <w:spacing w:after="0"/>
              <w:rPr>
                <w:sz w:val="20"/>
                <w:szCs w:val="20"/>
                <w:color w:val="auto"/>
              </w:rPr>
            </w:pPr>
            <w:r>
              <w:rPr>
                <w:rFonts w:ascii="Arial" w:cs="Arial" w:eastAsia="Arial" w:hAnsi="Arial"/>
                <w:sz w:val="18"/>
                <w:szCs w:val="18"/>
                <w:color w:val="auto"/>
              </w:rPr>
              <w:t>Stock based compensation expense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523</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Exercises under option programs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277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Unrecognized loss associated with pension plan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420"/>
              <w:spacing w:after="0"/>
              <w:rPr>
                <w:sz w:val="20"/>
                <w:szCs w:val="20"/>
                <w:color w:val="auto"/>
              </w:rPr>
            </w:pPr>
            <w:r>
              <w:rPr>
                <w:rFonts w:ascii="Arial" w:cs="Arial" w:eastAsia="Arial" w:hAnsi="Arial"/>
                <w:sz w:val="18"/>
                <w:szCs w:val="18"/>
                <w:color w:val="auto"/>
              </w:rPr>
              <w:t>Foreign currency</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1, 2010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58,569</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289,176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(10,877)</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(99,828)</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30, 2010 included in the Company’s Annual Report on Form 10-K, which was filed with the Securities and Exchange Commission on March 19, 2010.</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2010 is a 52-week period ending on January 29,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2009 was a 52-week period ending on January 30, 2010.</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Standards Codification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1, 2009, the Financial Accounting Standards Board (“FASB”) released the Accounting Standards Codification (“ASC”). The ASC became the single source of authoritative nongovernmental U.S. GAAP and is effective for all interim and annual periods ending after September 15, 2009. All existing accounting standards documents were superseded and any other literature not included in the ASC is considered non-authoritative. The adoption of the ASC did not have any impact on the Company’s financial condition, results of operations and cash flows, as the ASC did not change existing U.S. GAAP. The adoption of the ASC changes the approach of referencing authoritative literature by topic (each a “Topic”) rather than by type of standard. Accordingly, references to former FASB positions, statements, interpretations, opinions, bulletins or other pronouncements in the Company’s Notes to Consolidated Financial Statements are now presented as references to the corresponding Topic in the ASC.</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three operating segments—B&amp;T Factory Direct, Casual Male XL and Rochester Clothing.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Intangibles</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Company’s trademarks are considered indefinite-lived intangible assets and must be tested annually for potential impairment. At January 30, 2010, both the Casual Male and Rochester trademarks were tested for potential impairment. Utilizing an income approach with appropriate royalty rates applied, the Company concluded that the Casual Male trademark, with a carrying value of $29.2 million, and the Rochester trademark, with a carrying value of $1.5 million, were not impaired.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All share-based payments, including grants of employee stock options,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w:t>
      </w:r>
    </w:p>
    <w:p>
      <w:pPr>
        <w:sectPr>
          <w:pgSz w:w="11900" w:h="16838" w:orient="portrait"/>
          <w:cols w:equalWidth="0" w:num="1">
            <w:col w:w="11380"/>
          </w:cols>
          <w:pgMar w:left="240" w:top="274"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For the first three months of fiscal 2010 and fiscal 2009, the Company recognized total stock-based compensation expense of $0.5 million and $0.1 million, respectively. Approximately $0.1 million of the $0.5 million of stock-based compensation expense for the first quarter of fiscal 2010 related to the expense associated with the grant of equity awards pursuant to the Company’s Long-Term Incentive Plan.</w:t>
      </w:r>
    </w:p>
    <w:p>
      <w:pPr>
        <w:spacing w:after="0" w:line="14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May 1, 2010 is approximately $1.8 million which will be expensed over a weighted average remaining life of 24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Assumptions for Stock Options and Restricted Stock</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first quarter of fiscal 2010, the Company granted 283,550 shares of restricted stock to members of management as a result of the Company achieving certain performance targets in fiscal 2009 pursuant to its Long-Term Incentive Plan. Each restricted share of common stock was assigned a fair value equal to the closing price of the Company’s common stock on the date of grant. During the first quarter of fiscal 2010, stock options to purchase 368,172 shares of common stock were granted. Of this amount, stock options to purchase 20,606 shares of common stock were issued pursuant to the Long-Term Incentive Plan for fiscal 2009. The fair value of each option granted is estimated on the date of grant using the Black-Scholes option-pricing model. The weighted-average grant date fair-value of stock options granted during the first quarter of fiscal 2010 was $1.04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or shares of restricted stock were granted in the first quarter of fiscal 2009.</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assumptions were used for grants for the first quarter of fiscal 2010. There were no assumptions for the first quarter of fiscal 2009 because there were no stock option grants.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May 1, 2010</w:t>
            </w:r>
          </w:p>
        </w:tc>
        <w:tc>
          <w:tcPr>
            <w:tcW w:w="200" w:type="dxa"/>
            <w:vAlign w:val="bottom"/>
          </w:tcPr>
          <w:p>
            <w:pPr>
              <w:spacing w:after="0"/>
              <w:rPr>
                <w:sz w:val="14"/>
                <w:szCs w:val="14"/>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1.14-1.55%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2.1 -2.5 yrs</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Dividend rate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2010, options for 235,000 shares of common stock were exercised with an intrinsic value of approximately $0.5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May 1, 2010, the Company had outstanding borrowings of $5.6 million under its credit facility, as most recently amended December 20, 2007, with Bank of America, N.A. (the “Credit Facility”). The maturity date of the Credit Facility is October 29, 2011. Outstanding standby letters of credit were $2.2 million and outstanding documentary letters of credit were $3.2 million. Average monthly borrowings outstanding under the Credit Facility during the first three months of fiscal 2010 were approximately $6.8 million, resulting in an average unused excess availability of approximately $58.6 million. Unused excess availability at May 1, 2010 was $60.0 million. The Company’s obligations under the Credit Facility are secured by a lien on all of its assets. The Company is not subject to any financial covenants pursuant to this Credit Facility.</w:t>
      </w:r>
    </w:p>
    <w:p>
      <w:pPr>
        <w:sectPr>
          <w:pgSz w:w="11900" w:h="16838" w:orient="portrait"/>
          <w:cols w:equalWidth="0" w:num="1">
            <w:col w:w="11420"/>
          </w:cols>
          <w:pgMar w:left="240" w:top="274" w:right="23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fair value of amounts outstanding under the Credit Facility approximates the carrying value at May 1, 2010. At the Company’s option, any portion of the outstanding borrowings can be converted to LIBOR-based contracts; the remainder bears interest based at prime. At May 1, 2010, the prime-based interest rate was 3.25%. The Company had approximately $5.0 million of its outstanding borrowings in LIBOR-based contracts with an interest rate of approximately 1.25%. The LIBOR-based contracts expired between May 6, 2010 and May 13,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Debt with Banc of America Leasing &amp; Capital, LLC</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Pursuant to two Equipment Security Notes with Banc of America Leasing &amp; Capital, LLC for equipment financing, the Company has $6.4 million outstanding at May 1, 2010. The secured notes are due July 20, 2011 and January 16, 2012. Both secured notes accrue interest at a per annum rate of 1.75% plus the rate of interest equal to the 30-day published LIBOR rate. Principal and interest, in arrears, are payable monthly, commencing one month after issuance of such note.</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these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92"/>
              </w:rPr>
              <w:t>For the three months ended</w:t>
            </w:r>
          </w:p>
        </w:tc>
        <w:tc>
          <w:tcPr>
            <w:tcW w:w="0" w:type="dxa"/>
            <w:vAlign w:val="bottom"/>
          </w:tcPr>
          <w:p>
            <w:pPr>
              <w:spacing w:after="0"/>
              <w:rPr>
                <w:sz w:val="1"/>
                <w:szCs w:val="1"/>
                <w:color w:val="auto"/>
              </w:rPr>
            </w:pPr>
          </w:p>
        </w:tc>
      </w:tr>
      <w:tr>
        <w:trPr>
          <w:trHeight w:val="142"/>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May 1, 2010</w:t>
            </w: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42"/>
        </w:trPr>
        <w:tc>
          <w:tcPr>
            <w:tcW w:w="59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46,659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 Stock options, restricted stock and warrants</w:t>
            </w:r>
          </w:p>
        </w:tc>
        <w:tc>
          <w:tcPr>
            <w:tcW w:w="8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9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exercise prices)</w:t>
            </w:r>
          </w:p>
        </w:tc>
        <w:tc>
          <w:tcPr>
            <w:tcW w:w="1240" w:type="dxa"/>
            <w:vAlign w:val="bottom"/>
          </w:tcPr>
          <w:p>
            <w:pPr>
              <w:spacing w:after="0"/>
              <w:rPr>
                <w:sz w:val="12"/>
                <w:szCs w:val="12"/>
                <w:color w:val="auto"/>
              </w:rPr>
            </w:pPr>
          </w:p>
        </w:tc>
        <w:tc>
          <w:tcPr>
            <w:tcW w:w="10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May 1, 2010</w:t>
            </w:r>
          </w:p>
        </w:tc>
        <w:tc>
          <w:tcPr>
            <w:tcW w:w="320" w:type="dxa"/>
            <w:vAlign w:val="bottom"/>
          </w:tcPr>
          <w:p>
            <w:pPr>
              <w:spacing w:after="0"/>
              <w:rPr>
                <w:sz w:val="12"/>
                <w:szCs w:val="12"/>
                <w:color w:val="auto"/>
              </w:rPr>
            </w:pPr>
          </w:p>
        </w:tc>
        <w:tc>
          <w:tcPr>
            <w:tcW w:w="10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May 2, 2009</w:t>
            </w:r>
          </w:p>
        </w:tc>
        <w:tc>
          <w:tcPr>
            <w:tcW w:w="0" w:type="dxa"/>
            <w:vAlign w:val="bottom"/>
          </w:tcPr>
          <w:p>
            <w:pPr>
              <w:spacing w:after="0"/>
              <w:rPr>
                <w:sz w:val="1"/>
                <w:szCs w:val="1"/>
                <w:color w:val="auto"/>
              </w:rPr>
            </w:pPr>
          </w:p>
        </w:tc>
      </w:tr>
      <w:tr>
        <w:trPr>
          <w:trHeight w:val="142"/>
        </w:trPr>
        <w:tc>
          <w:tcPr>
            <w:tcW w:w="5000" w:type="dxa"/>
            <w:vAlign w:val="bottom"/>
            <w:gridSpan w:val="2"/>
            <w:vMerge w:val="continue"/>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Warrants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$3.88 - $10.26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$ 1.16 - $10.26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May 1, 2010, expire from May 25, 2011 to August 12, 2018.</w:t>
      </w:r>
    </w:p>
    <w:p>
      <w:pPr>
        <w:sectPr>
          <w:pgSz w:w="11900" w:h="16838" w:orient="portrait"/>
          <w:cols w:equalWidth="0" w:num="1">
            <w:col w:w="11360"/>
          </w:cols>
          <w:pgMar w:left="240" w:top="274" w:right="2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May 1, 2010, the Company had total deferred tax assets of approximately $54.8 million, with a corresponding valuation allowance of $54.8 million and a total deferred tax liability of approximately $1.0 million. The deferred tax assets primarily relate to net operating loss carryforwards that expire through 2029 and to a lesser extent book/tax timing differences.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Company’s effective tax rate for the first quarter of fiscal 2010 has been reduced from the statutory rate due to the utilization of the Company’s fully reserved net operating loss carryforwards.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will recognize the benefit from a tax position only if it is more likely than not that the position would be sustained upon audit based solely on the technical merits of the tax position. At May 1, 2010, the Company had no material unrecognized tax benefits.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Company’s policy is to recognize accrued interest and penalties related to unrecognized tax benefits in its income tax provision. The Company has not accrued or paid interest or penalties which were material to its results of operations for the first quarter of fiscal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Recently Issued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2010, the FASB issued Accounting Standards Update (“ASU”) No. 2010-04—Accounting for Various Topics—Technical Corrections to Various SEC Paragraphs. This update represents technical corrections to SEC paragraphs. The adoption of ASU No. 2010-04 will not have a material impact on the Company’s financial statements.</w:t>
      </w:r>
    </w:p>
    <w:p>
      <w:pPr>
        <w:spacing w:after="0" w:line="14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 January 2010, the FASB issued ASU No. 2010-06—Fair Value Measurements and Disclosures (Topic 820)—Improving Disclosures about Fair Value Measurements. This update affects all entities that are required to make disclosures about recurring or nonrecurring fair value measurements. This update provides amendments to Subtopic 820-10 that requires new disclosures and clarifies existing disclosures. The adoption of ASU No. 2010-06 will not have a material impact on the Company’s financial statements.</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February 2010, the FASB issued ASU No. 2010-08—Technical Corrections to Various Topics. This update’s purpose is to eliminate GAAP inconsistencies, update outdated provisions and provide needed clarifications. The adoption of ASU No. 2010-08 will not have a material impact on the Company’s financial statements.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February 2010, the FASB issued ASU No. 2010-09—Subsequent Events (Topic 855)—Amendments to Certain Recognition and Disclosure Requirements. This update addresses both the interaction of the requirements of this Topic with the SEC’s reporting requirements and the intended breadth of the reissuance disclosure provision related to subsequent events (paragraph 855-10-50-4). The adoption of ASU No. 2010-09 will not have a material impact on the Company’s financial statements.</w:t>
      </w:r>
    </w:p>
    <w:p>
      <w:pPr>
        <w:sectPr>
          <w:pgSz w:w="11900" w:h="16838" w:orient="portrait"/>
          <w:cols w:equalWidth="0" w:num="1">
            <w:col w:w="11400"/>
          </w:cols>
          <w:pgMar w:left="240" w:top="274" w:right="25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January 30, 2010, filed with the Securities and Exchange Commission on March 19, 2010,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SUMMARY</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457 Casual Male XL retail and outlet stores, 19 Rochester Clothing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January 29, 2011 and January 30, 2010 as “fiscal 2010” and “fiscal 2009,”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sales varies across the retail industry and, as a result, our calculation of comparable sales is not necessarily comparable to similarly titled measures reported by other companies.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first quarter of fiscal 2010 comparable sales performance of -0.7% is an improvement in sales trends from 2009 first quarter, fourth quarter and fiscal year comparable sales of -10.7%, -8.2%, and -10.8%, respectively, and represents an expected flattening of the Company’s sales level comparisons. The first quarter sales performance was largely achieved with improved sales productivity as traffic trends have continued to decline in the high single digit level. At the same time, we improved our gross margin by 330 basis points to 45.9%, reduced our operating expenses by over 4%, and consequently raised net income to $0.09 per diluted share from last year’s first quarter of $0.01 per diluted share. Consistent with 2009, our primary focus is on improving operating income and optimizing our free cash flow, as our sales base gradually recovers over the longer term.</w:t>
      </w:r>
    </w:p>
    <w:p>
      <w:pPr>
        <w:sectPr>
          <w:pgSz w:w="11900" w:h="16838" w:orient="portrait"/>
          <w:cols w:equalWidth="0" w:num="1">
            <w:col w:w="11400"/>
          </w:cols>
          <w:pgMar w:left="240" w:top="274" w:right="259" w:bottom="1440" w:gutter="0" w:footer="0" w:header="0"/>
        </w:sectPr>
      </w:pPr>
    </w:p>
    <w:bookmarkStart w:id="10" w:name="page11"/>
    <w:bookmarkEnd w:id="1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the first quarter of fiscal 2010, we also continued to reduce our inventory levels. This aggressive approach to managing our inventory has been a key component to optimizing our merchandise margins, enabling us to avoid excessive promotional and clearance activity. In addition, our total indebtedness at May 1, 2010 is 78.2% lower than it was at May 2, 2009. Accordingly, the amount of borrowing available under our credit facility was $60.0 million at the end of the first quarter of fiscal 2010.</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believe that with this restructured operating model, our existing business can remain stable and will generate cash flow. However, we do not believe that new store growth in our current formats will produce the level of market share growth we hope to achieve. Given that, during fiscal 2009, we started to pursue new strategies to grow our business and increase our market share within the big &amp; tall market. We believe that in order to be successful and to become a growth business, we need to develop more compelling and convenient ways for our customers to shop, while attracting a largely untapped segment of the big &amp; tall market— the smaller waist customer (with sizes 42’ to 46’). We believe that we have a significant opportunity to substantially grow out market share in this area of the big &amp; tall market.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Developments</w:t>
      </w:r>
    </w:p>
    <w:p>
      <w:pPr>
        <w:spacing w:after="0" w:line="9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Our target customer group is a very diverse group, and we currently try to cater to them in individual groups through our various channels and brands, such as B&amp;T Factory Direct for our value-oriented customers, Casual Male XL for our moderate-priced customer and Rochester Clothing for our high-end customers. Our new concept will merge all of our brands under one roof, making it easier for our customers to find the merchandise they are looking for without having to shop several stores.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fiscal 2010, we will be testing our new store concept, Destination XL. Destination XL will be a supercenter, averaging 11,000 square feet, offering a full assortment from all of our core brands, including Casual Male XL, Rochester Clothing and B&amp;T Factory Direct, as well as expanded assortments of Shoes XL and Living XL. All of our brands, across all channels, will be represented in our new store utilizing a good, better, best pricing structure. Our new store will be the first of its kind in the big &amp; tall market. Our family-friendly destination store will offer our customers one-stop shopping for all of their apparel needs while providing them with a comfortable and entertaining atmosphere, complete with interactive elements. We are currently planning to open four stores during the second and third quarters of fiscal 2010. Our first store, which is scheduled to open July 2010, will be in Schaumburg, Illinois with stores in Memphis, Tennessee; Las Vegas, Nevada; and Houston, Texas to open by the end of August 2010.</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economic proposition for the Destination XL concept consists of greater efficiencies in serving the market area resulting in higher operating margins, and potentially greater sales volumes with increased market share in each market by either (a) gaining a larger share of our existing customers’ annual expenditures on apparel, or (b) increasing our market penetration with our customers whose waist size is between 42’ and 46’, or both. Accordingly, the expectation is enhanced returns on capital and operating income from each market compared to our existing locations.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conjunction with our new store concept, we will also be launching a cross-channel e-commerce site, combining all of our existing e-commerce sites into one enhanced website, with state-of-the-art features and best practices. This will enable our customers to shop across all of our brands and product extensions with ease and will bring all of our customers under one concept. Their classification as a “Rochester” customer or a “Casual Male” customer will no longer limit their ability to access our full-product assortment.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2010 Outlook</w:t>
      </w:r>
    </w:p>
    <w:p>
      <w:pPr>
        <w:spacing w:after="0" w:line="9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Although we are seeing gradual improvements throughout the retail industry, we expect in our specific market that our sales volumes for fiscal 2010 will be relatively flat to fiscal 2009 consistent with the expectation that the rebound in consumer spending in the big &amp; tall market will be over an extended period of time. Based on these sales projections for fiscal 2010, we expect to make continued improvements in gross margins of between 75 and 125 basis points and selling, general and administrative (“SG&amp;A”) costs to decline approximately 2% from 2009 levels.</w:t>
      </w:r>
    </w:p>
    <w:p>
      <w:pPr>
        <w:spacing w:after="0" w:line="11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first quarter of fiscal 2010, we exceeded our plans with respect to sales and gross margin and as a result we are raising our earnings expectations for fiscal 2010 by $0.03 per diluted share. Previously, we stated that we expected</w:t>
      </w:r>
    </w:p>
    <w:p>
      <w:pPr>
        <w:sectPr>
          <w:pgSz w:w="11900" w:h="16838" w:orient="portrait"/>
          <w:cols w:equalWidth="0" w:num="1">
            <w:col w:w="11420"/>
          </w:cols>
          <w:pgMar w:left="240" w:top="280" w:right="239" w:bottom="1440" w:gutter="0" w:footer="0" w:header="0"/>
        </w:sectPr>
      </w:pPr>
    </w:p>
    <w:bookmarkStart w:id="11" w:name="page12"/>
    <w:bookmarkEnd w:id="1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to be between $0.23 and $0.26 per diluted share. We have raised that range to $0.26 to $0.29 per diluted share. On a quarterly basis, we expect to see improvements in earnings in the third and fourth quarters of fiscal 2010, consistent with the expected 2010 annual improvement to 2009, but we are not expecting any improvement in the second quarter. Despite the sales shortfall last year, net income in the second quarter of fiscal 2009 was $0.09 per diluted share, which is the same level as the first quarter of 2010, as a result of strong gross margins and reduced SG&amp;A spending.</w:t>
      </w:r>
    </w:p>
    <w:p>
      <w:pPr>
        <w:spacing w:after="0" w:line="11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a liquidity perspective, we expect to generate free cash flow of approximately $20 million, which represents cash flow from operations of $30.0 million less budgeted capital expenditures of approximately $10.0 million. See “Presentation of Non-GAAP Measure” below for calculation and reconciliation of non-GAAP free cash flow. Our capital expenditure projects for fiscal 2010 are primarily related to our Destination XL store concept and the corresponding enhancement and launching of our cross-channel e-commerce site.</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free cash flow we generate in fiscal 2010 is expected to be used to fully reduce our existing bank debt. At the end of fiscal 2010, we expect that we will be debt-free and cash positive. We expect that the availability under our revolver, which will not expire until October 2011, will be over $60 million by the end of the fiscal year.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Presentation of Non-GAAP Measure</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generally accepted accounting principles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For the three months ended: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Projected Cash Flow</w:t>
            </w:r>
          </w:p>
        </w:tc>
      </w:tr>
      <w:tr>
        <w:trPr>
          <w:trHeight w:val="142"/>
        </w:trPr>
        <w:tc>
          <w:tcPr>
            <w:tcW w:w="518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May 1, 2010</w:t>
            </w:r>
          </w:p>
        </w:tc>
        <w:tc>
          <w:tcPr>
            <w:tcW w:w="7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May 2, 2009</w:t>
            </w:r>
          </w:p>
        </w:tc>
        <w:tc>
          <w:tcPr>
            <w:tcW w:w="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Fiscal 2010</w:t>
            </w:r>
          </w:p>
        </w:tc>
        <w:tc>
          <w:tcPr>
            <w:tcW w:w="100" w:type="dxa"/>
            <w:vAlign w:val="bottom"/>
          </w:tcPr>
          <w:p>
            <w:pPr>
              <w:spacing w:after="0"/>
              <w:rPr>
                <w:sz w:val="12"/>
                <w:szCs w:val="12"/>
                <w:color w:val="auto"/>
              </w:rPr>
            </w:pPr>
          </w:p>
        </w:tc>
      </w:tr>
      <w:tr>
        <w:trPr>
          <w:trHeight w:val="102"/>
        </w:trPr>
        <w:tc>
          <w:tcPr>
            <w:tcW w:w="51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0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(0.7)</w:t>
            </w:r>
          </w:p>
        </w:tc>
        <w:tc>
          <w:tcPr>
            <w:tcW w:w="48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w:t>
            </w: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30"/>
        </w:trPr>
        <w:tc>
          <w:tcPr>
            <w:tcW w:w="518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299"/>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0"/>
        </w:trPr>
        <w:tc>
          <w:tcPr>
            <w:tcW w:w="5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first quarter of fiscal 2010, total sales decreased by 2.6% to $95.0 million when compared to total sales of $97.6 million for the first quarter of fiscal 2009. Comparable sales for the first quarter decreased 0.7% when compared to the same period of the prior year. This decrease consisted of a 2.4% decrease in sales from our Casual Male business offset by a 4.6% increase in our Rochester business. During the fourth quarter of fiscal 2009, we started to see improvements in our Rochester business as our higher-end customers started returning.</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comparable sales decrease for the first quarter of fiscal 2010 is primarily attributable to a 7.3% decrease in store traffic. However, we continue to experience improvement in our sales conversion rate (the percentage of store guests who make a purchase) and this quarter we experienced an increase in dollars spent per transaction. Both of these metrics have contributed to mitigating the reduced traffic flow.</w:t>
      </w:r>
    </w:p>
    <w:p>
      <w:pPr>
        <w:spacing w:after="0" w:line="14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expect that sales will likely rebound very slowly, especially considering that although the overall economy has shown signs of improvement, unemployment rates, which have a direct impact on consumer spending, remain high. Accordingly, although we are seeing signs of improvement, we are planning sales volumes for fiscal 2010 to remain flat to fiscal 2009 at approximately $385.0 to $395.0 million, with comparable sales to approximate between -1% to +1%.</w:t>
      </w:r>
    </w:p>
    <w:p>
      <w:pPr>
        <w:sectPr>
          <w:pgSz w:w="11900" w:h="16838" w:orient="portrait"/>
          <w:cols w:equalWidth="0" w:num="1">
            <w:col w:w="11420"/>
          </w:cols>
          <w:pgMar w:left="240" w:top="28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Gross Profit Margin</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first quarter of fiscal 2010, our gross margin rate, inclusive of occupancy costs, was 45.9% as compared to a gross margin rate of 42.6% for the first quarter of fiscal 2009. The increase of 330 basis points was the result of increased merchandise margins for the first quarter of fiscal 2010 of 280 basis points plus an increase of 50 basis points in occupancy costs as a result of lower occupancy costs. Our merchandise margin continues to benefit from our improved inventory management and reduced markdown activity. In addition, our merchandise margin for the first quarter of fiscal 2009 was negatively impacted by some residual fourth quarter 2008 clearance merchandise. Occupancy costs for the first quarter of fiscal 2010 also improved despite the lower sales base. On a dollar basis, occupancy costs for the first quarter of fiscal 2010 decreased by $0.8 million as compared to the first quarter of fiscal 2009 as a result of our on-going rent reduction efforts with various landlords.</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fiscal 2009, we were successful in re-negotiating existing lease terms with many of our landlords, enabling us to reduce future occupancy by approximately $9.0 million, which will be recognized over the remaining lease terms of those respective leases. As a result, we expect to leverage occupancy costs by approximately 30 to 45 basis points in fiscal 2010. In addition, we expect to continue with our aggressive management of inventory levels during fiscal 2010 to ensure a healthy inventory position and, accordingly, strong merchandise margins, with improvements of 45 to 80 basis points. Therefore, for fiscal 2010, we are expecting that gross margin will improve by approximately 75 to 125 basis points, which represents an increase of 25 to 35 basis points from our previous guidance.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SG&amp;A expenses for the first quarter of fiscal 2010 were 37.5% of sales as compared to 38.1% for the first quarter of fiscal 2009. On a dollar basis, SG&amp;A expenses decreased $1.5 million, or 4.1%, for the first quarter of fiscal 2010 as compared to the first quarter of fiscal 2009.</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During the first quarter of fiscal 2010, we continued to benefit from the cost reductions that we took during the first half of fiscal 2009. Approximately two-thirds of the savings were the result of improved field productivity with the remaining cost savings resulting from reduced marketing costs.</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Similar to fiscal 2009, we plan to limit our SG&amp;A growth rates, except for certain programs to support our growth activities, unanticipated cost increases by our suppliers and unanticipated costs that are necessary to support our overall activities. For fiscal 2010, we expect our SG&amp;A costs to decrease by approximately 2% over fiscal 2009 primarily related to the annualization of our 2009 cost reduction initiatives. These savings will be partially offset by an increase in marketing and other expenditures during the latter half of fiscal 2010 to support our Destination XL concept.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Net interest expense was $0.2 million for the first quarter of fiscal 2010 as compared to $0.3 million for the first quarter of fiscal 2009. The reduction in interest costs for the first quarter of fiscal 2010 as compared to the prior year was due to an overall reduction of 78.2% in total debt as of the end of the first quarter of fiscal 2010 as compared to the end of the first quarter of fiscal 2009. The average interest rate on our average borrowings for the first three months of fiscal 2010 was approximately 4.5% compared to approximately 2.4% during the first three months of fiscal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At May 1, 2010, our total deferred tax assets were approximately $54.8 million, with a corresponding valuation allowance of $54.8 million and a deferred tax liability of approximately $1.0 million. The deferred tax assets principally relate to federal net operating loss (“NOL”) carryforwards that expire through 2029.</w:t>
      </w:r>
    </w:p>
    <w:p>
      <w:pPr>
        <w:spacing w:after="0" w:line="8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effect of the weakened economy on our retail business, especially in fiscal 2008, had a significant impact upon our revenue and profitability. Further, the conditions of the economy also negatively impacted our market value as a result of the deterioration of the capital markets and resulted in substantial impairments in fiscal 2008. Accordingly, due to our cumulative operating losses as well as our uncertainty regarding the economy and our ability to generate future taxable income to realize all of our deferred tax assets, in the fourth quarter of fiscal 2008, we established a valuation allowance against our deferred tax assets.</w:t>
      </w:r>
    </w:p>
    <w:p>
      <w:pPr>
        <w:sectPr>
          <w:pgSz w:w="11900" w:h="16838" w:orient="portrait"/>
          <w:cols w:equalWidth="0" w:num="1">
            <w:col w:w="11380"/>
          </w:cols>
          <w:pgMar w:left="240" w:top="280" w:right="279" w:bottom="1440" w:gutter="0" w:footer="0" w:header="0"/>
        </w:sectPr>
      </w:pPr>
    </w:p>
    <w:bookmarkStart w:id="13" w:name="page14"/>
    <w:bookmarkEnd w:id="1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effective tax rate for the first quarter of fiscal 2010 has been reduced from the statutory rate due to the utilization of fully reserved NOL carryforwards. Assuming an effective tax rate of approximately 41.0%, this benefit resulted in a reduction in the income tax provision of approximately $1.5 million, or $0.03 per diluted share, for the first quarter of fiscal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Income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first quarter of fiscal 2010, we had net income of $4.2 million, or $0.09 per diluted share, as compared to net income of $0.3 million, or $0.01 per diluted share, for the first quarter of fiscal 2009.</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May 1, 2010, total inventory was $98.7 million compared to $90.0 million at January 30, 2010 and $105.6 million at May 2, 2009.</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Inventory at the end of the first quarter of fiscal 2010 decreased $6.9 million, or 6.6%, as compared to May 2, 2009. We continue to make a concerted effort to manage our inventory levels and as a result our merchandise margins continue to improve. We have successfully reduced our inventory levels from year ago levels without sacrificing our broad selection of core basic merchandise and current fashion items. Because of the upcoming Father’s Day, we typically increase our inventory levels slightly when compared to year-end balances.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cash needs are for working capital (essentially inventory requirements) and capital expenditures. As discussed below, our capital expenditure program for fiscal 2010 is $10.0 million, which is greater than fiscal 2009 primarily due to the launch of our Destination XL stores as well as the upgrading of our e-commerce sites to a multi-brand format.</w:t>
      </w:r>
    </w:p>
    <w:p>
      <w:pPr>
        <w:spacing w:after="0" w:line="14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currently believe that our existing cash generated by operations together with our availability under our credit facility will be sufficient within current forecasts for us to meet our foreseeable liquidity requirements. For the first quarter of fiscal 2010, free cash flow, which we define as cash flow from operating activities, less capital expenditures and discretionary store asset acquisitions, if any, improved by $2.8 million to $(0.1) million from $(2.9) million for the first quarter of fiscal 2009. See “Presentation of Non-GAAP Measures” above regarding non-GAAP free cash flow. The primary reason for the improvement in free cash flow of $2.8 million in the first quarter of fiscal 2010, was the improvement in cash flow from operations of $2.8 million to $0.6 million as compared to $(2.2) million for the first quarter of the prior year. The improvement in cash flows from operations was primarily due to improved operating results.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cash flow from operations, our other primary source of working capital is our Credit Facility which has a total commitment of $110.0 million, although the amount that can be borrowed is limited to the borrowing base as defined by the Credit Facility, which is comprised primarily of the liquidation value of our inventory. The maturity date of the Credit Facility is October 29, 2011. At May 1, 2010, our borrowing base under our Credit Facility was $70.9 million.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had outstanding borrowings under the Credit Facility at May 1, 2010 of $5.6 million. Outstanding standby letters of credit were $2.2 million and outstanding documentary letters of credit were $3.2 million. Average monthly borrowings</w:t>
      </w:r>
    </w:p>
    <w:p>
      <w:pPr>
        <w:sectPr>
          <w:pgSz w:w="11900" w:h="16838" w:orient="portrait"/>
          <w:cols w:equalWidth="0" w:num="1">
            <w:col w:w="11400"/>
          </w:cols>
          <w:pgMar w:left="240" w:top="280" w:right="259" w:bottom="1440" w:gutter="0" w:footer="0" w:header="0"/>
        </w:sectPr>
      </w:pPr>
    </w:p>
    <w:bookmarkStart w:id="14" w:name="page15"/>
    <w:bookmarkEnd w:id="14"/>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under this facility during the first quarter of fiscal 2010 were approximately $6.8 million, resulting in an average unused excess availability of approximately $58.6 million. Unused excess availability at May 1, 2010 was $60.0 million. Our obligations under the Credit Facility are secured by a lien on all of our assets.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May 1, 2010, we have reduced our total debt, including our long-term debt, by $43.0 million, or 78.2%, to $12.0 million from $55.0 million at May 2, 2009.</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May 1, 2010 and May 2, 2009, respectively:</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180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9"/>
              </w:rPr>
              <w:t>At May 1, 2010</w:t>
            </w:r>
          </w:p>
        </w:tc>
        <w:tc>
          <w:tcPr>
            <w:tcW w:w="9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89"/>
              </w:rPr>
              <w:t>At May 2, 2009</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1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Number of Stores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760" w:type="dxa"/>
            <w:vAlign w:val="bottom"/>
          </w:tcPr>
          <w:p>
            <w:pPr>
              <w:spacing w:after="0"/>
              <w:rPr>
                <w:sz w:val="12"/>
                <w:szCs w:val="12"/>
                <w:color w:val="auto"/>
              </w:rPr>
            </w:pPr>
          </w:p>
        </w:tc>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 of Stores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9"/>
              </w:rPr>
              <w:t>(square footage</w:t>
            </w:r>
          </w:p>
        </w:tc>
        <w:tc>
          <w:tcPr>
            <w:tcW w:w="34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1,642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Rochester Clothing</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7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1,797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Total cash outlays for capital expenditures for both the first quarter of fiscal 2010 and fiscal 2009 were $0.7 million.</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For fiscal 2010, our capital expenditures are expected to be approximately $10.0 million. The budget includes approximately $3.4 million related to the opening of our 4 new Destination XL concept stores and approximately $5.0 million for continued information technology projects, including the launch of our enhanced cross-channel e-commerce site, with the remainder for general overhead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30, 2010: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Rochester</w:t>
            </w:r>
          </w:p>
        </w:tc>
        <w:tc>
          <w:tcPr>
            <w:tcW w:w="680" w:type="dxa"/>
            <w:vAlign w:val="bottom"/>
          </w:tcPr>
          <w:p>
            <w:pPr>
              <w:spacing w:after="0"/>
              <w:rPr>
                <w:sz w:val="14"/>
                <w:szCs w:val="14"/>
                <w:color w:val="auto"/>
              </w:rPr>
            </w:pPr>
          </w:p>
        </w:tc>
      </w:tr>
      <w:tr>
        <w:trPr>
          <w:trHeight w:val="161"/>
        </w:trPr>
        <w:tc>
          <w:tcPr>
            <w:tcW w:w="62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Casual Male</w:t>
            </w:r>
          </w:p>
        </w:tc>
        <w:tc>
          <w:tcPr>
            <w:tcW w:w="6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Clothing</w:t>
            </w:r>
          </w:p>
        </w:tc>
        <w:tc>
          <w:tcPr>
            <w:tcW w:w="66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0"/>
              </w:rPr>
              <w:t>Total stores</w:t>
            </w: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 January 30, 2010</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460</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479</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New outlet stores</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New retail stores</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Closed stores</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ind w:left="600"/>
              <w:spacing w:after="0"/>
              <w:rPr>
                <w:sz w:val="20"/>
                <w:szCs w:val="20"/>
                <w:color w:val="auto"/>
              </w:rPr>
            </w:pPr>
            <w:r>
              <w:rPr>
                <w:rFonts w:ascii="Arial" w:cs="Arial" w:eastAsia="Arial" w:hAnsi="Arial"/>
                <w:sz w:val="15"/>
                <w:szCs w:val="15"/>
                <w:color w:val="auto"/>
                <w:w w:val="71"/>
              </w:rPr>
              <w:t>3</w:t>
            </w:r>
          </w:p>
        </w:tc>
      </w:tr>
      <w:tr>
        <w:trPr>
          <w:trHeight w:val="27"/>
        </w:trPr>
        <w:tc>
          <w:tcPr>
            <w:tcW w:w="6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At May 1, 2010</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457</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476</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30, 2010 filed with the SEC on March 19, 2010.</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2011, bear interest at variable rates based on Bank of America’s prime rate or LIBOR. At May 1, 2010, the interest rate on our prime based borrowings was 3.25%. Approximately $5.0 million of our outstanding borrowings were in LIBOR contracts with an interest rate of approximately 1.25%. Based upon a sensitivity analysis as of May 1, 2010, assuming average outstanding borrowing during the first quarter of fiscal 2010 of $6.8 million, a 50 basis point increase in interest rates would have resulted in a potential increase in interest expense of approximately $34,000 on an annualized basis.</w:t>
      </w:r>
    </w:p>
    <w:p>
      <w:pPr>
        <w:sectPr>
          <w:pgSz w:w="11900" w:h="16838" w:orient="portrait"/>
          <w:cols w:equalWidth="0" w:num="1">
            <w:col w:w="11420"/>
          </w:cols>
          <w:pgMar w:left="240" w:top="280" w:right="239" w:bottom="144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w:t>
      </w:r>
    </w:p>
    <w:p>
      <w:pPr>
        <w:spacing w:after="0" w:line="9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conduct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May 1, 2010,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1, 2010.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1, 2010, our disclosure controls and procedures were effective.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May 1, 2010 that has materially affected, or is reasonably likely to materially affect, our internal control over financial reporting.</w:t>
      </w:r>
    </w:p>
    <w:p>
      <w:pPr>
        <w:sectPr>
          <w:pgSz w:w="11900" w:h="16838" w:orient="portrait"/>
          <w:cols w:equalWidth="0" w:num="1">
            <w:col w:w="11380"/>
          </w:cols>
          <w:pgMar w:left="240" w:top="280" w:right="279" w:bottom="1440" w:gutter="0" w:footer="0" w:header="0"/>
        </w:sectPr>
      </w:pPr>
    </w:p>
    <w:bookmarkStart w:id="16" w:name="page17"/>
    <w:bookmarkEnd w:id="1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30, 2010 filed with the SEC on March 19, 2010.</w:t>
      </w:r>
    </w:p>
    <w:p>
      <w:pPr>
        <w:sectPr>
          <w:pgSz w:w="11900" w:h="16838" w:orient="portrait"/>
          <w:cols w:equalWidth="0" w:num="1">
            <w:col w:w="11340"/>
          </w:cols>
          <w:pgMar w:left="240" w:top="274" w:right="31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30" w:lineRule="exact"/>
        <w:rPr>
          <w:sz w:val="20"/>
          <w:szCs w:val="20"/>
          <w:color w:val="auto"/>
        </w:rPr>
      </w:pPr>
    </w:p>
    <w:p>
      <w:pPr>
        <w:sectPr>
          <w:pgSz w:w="11900" w:h="16838" w:orient="portrait"/>
          <w:cols w:equalWidth="0" w:num="2">
            <w:col w:w="540" w:space="500"/>
            <w:col w:w="10300"/>
          </w:cols>
          <w:pgMar w:left="240" w:top="274" w:right="3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40"/>
          </w:cols>
          <w:pgMar w:left="240" w:top="274" w:right="31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130" w:lineRule="exact"/>
        <w:rPr>
          <w:sz w:val="20"/>
          <w:szCs w:val="20"/>
          <w:color w:val="auto"/>
        </w:rPr>
      </w:pPr>
    </w:p>
    <w:p>
      <w:pPr>
        <w:sectPr>
          <w:pgSz w:w="11900" w:h="16838" w:orient="portrait"/>
          <w:cols w:equalWidth="0" w:num="2">
            <w:col w:w="540" w:space="500"/>
            <w:col w:w="10300"/>
          </w:cols>
          <w:pgMar w:left="240" w:top="274" w:right="3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40"/>
          </w:cols>
          <w:pgMar w:left="240" w:top="274" w:right="31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300"/>
          </w:cols>
          <w:pgMar w:left="240" w:top="274" w:right="31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None.</w:t>
      </w:r>
    </w:p>
    <w:p>
      <w:pPr>
        <w:sectPr>
          <w:pgSz w:w="11900" w:h="16838" w:orient="portrait"/>
          <w:cols w:equalWidth="0" w:num="1">
            <w:col w:w="11340"/>
          </w:cols>
          <w:pgMar w:left="240" w:top="274" w:right="31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30" w:lineRule="exact"/>
        <w:rPr>
          <w:sz w:val="20"/>
          <w:szCs w:val="20"/>
          <w:color w:val="auto"/>
        </w:rPr>
      </w:pPr>
    </w:p>
    <w:p>
      <w:pPr>
        <w:sectPr>
          <w:pgSz w:w="11900" w:h="16838" w:orient="portrait"/>
          <w:cols w:equalWidth="0" w:num="2">
            <w:col w:w="540" w:space="500"/>
            <w:col w:w="10300"/>
          </w:cols>
          <w:pgMar w:left="240" w:top="274" w:right="319" w:bottom="1440" w:gutter="0" w:footer="0" w:header="0"/>
          <w:type w:val="continuous"/>
        </w:sect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Brian Reaves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340"/>
          </w:cols>
          <w:pgMar w:left="240" w:top="274" w:right="319" w:bottom="1440" w:gutter="0" w:footer="0" w:header="0"/>
          <w:type w:val="continuous"/>
        </w:sectPr>
      </w:pPr>
    </w:p>
    <w:bookmarkStart w:id="17" w:name="page18"/>
    <w:bookmarkEnd w:id="17"/>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 w:leader="none" w:pos="7420" w:val="left"/>
          <w:tab w:leader="none" w:pos="7780" w:val="left"/>
        </w:tabs>
        <w:rPr>
          <w:sz w:val="20"/>
          <w:szCs w:val="20"/>
          <w:color w:val="auto"/>
        </w:rPr>
      </w:pPr>
      <w:r>
        <w:rPr>
          <w:rFonts w:ascii="Arial" w:cs="Arial" w:eastAsia="Arial" w:hAnsi="Arial"/>
          <w:sz w:val="18"/>
          <w:szCs w:val="18"/>
          <w:color w:val="auto"/>
        </w:rPr>
        <w:t>Date: May 21,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ETER</w:t>
      </w:r>
      <w:r>
        <w:rPr>
          <w:rFonts w:ascii="Arial" w:cs="Arial" w:eastAsia="Arial" w:hAnsi="Arial"/>
          <w:sz w:val="16"/>
          <w:szCs w:val="16"/>
          <w:color w:val="auto"/>
        </w:rPr>
        <w:t xml:space="preserve"> H. S</w:t>
      </w:r>
      <w:r>
        <w:rPr>
          <w:rFonts w:ascii="Arial" w:cs="Arial" w:eastAsia="Arial" w:hAnsi="Arial"/>
          <w:sz w:val="13"/>
          <w:szCs w:val="13"/>
          <w:color w:val="auto"/>
        </w:rPr>
        <w:t>TRATTON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Peter H. Stratton, Jr.</w:t>
      </w:r>
    </w:p>
    <w:p>
      <w:pPr>
        <w:jc w:val="center"/>
        <w:ind w:left="5960"/>
        <w:spacing w:after="0" w:line="221" w:lineRule="auto"/>
        <w:rPr>
          <w:sz w:val="20"/>
          <w:szCs w:val="20"/>
          <w:color w:val="auto"/>
        </w:rPr>
      </w:pPr>
      <w:r>
        <w:rPr>
          <w:rFonts w:ascii="Arial" w:cs="Arial" w:eastAsia="Arial" w:hAnsi="Arial"/>
          <w:sz w:val="14"/>
          <w:szCs w:val="14"/>
          <w:b w:val="1"/>
          <w:bCs w:val="1"/>
          <w:color w:val="auto"/>
        </w:rPr>
        <w:t>Senior Vice President of Finance, Corporate Controller and</w:t>
      </w:r>
    </w:p>
    <w:p>
      <w:pPr>
        <w:jc w:val="center"/>
        <w:ind w:left="5960"/>
        <w:spacing w:after="0"/>
        <w:rPr>
          <w:sz w:val="20"/>
          <w:szCs w:val="20"/>
          <w:color w:val="auto"/>
        </w:rPr>
      </w:pPr>
      <w:r>
        <w:rPr>
          <w:rFonts w:ascii="Arial" w:cs="Arial" w:eastAsia="Arial" w:hAnsi="Arial"/>
          <w:sz w:val="14"/>
          <w:szCs w:val="14"/>
          <w:b w:val="1"/>
          <w:bCs w:val="1"/>
          <w:color w:val="auto"/>
        </w:rPr>
        <w:t>Chief Accounting Officer</w:t>
      </w:r>
    </w:p>
    <w:p>
      <w:pPr>
        <w:sectPr>
          <w:pgSz w:w="11900" w:h="16838" w:orient="portrait"/>
          <w:cols w:equalWidth="0" w:num="1">
            <w:col w:w="11000"/>
          </w:cols>
          <w:pgMar w:left="240" w:top="274" w:right="65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This Employment Agreement (“Agreement”) is made as of May 24, 2010 between CASUAL MALE RETAIL GROUP, INC., a Delaware corporation with an office at 555 Turnpike Street, Canton, Massachusetts, 02021 (the “Company” which term includes any affiliates and subsidiaries), and Brian Reaves (the “Executive”) having an address at 875 Saints Drive, Marietta, Georgia 3000.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Store Sales and Operations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13" w:lineRule="exact"/>
        <w:rPr>
          <w:sz w:val="20"/>
          <w:szCs w:val="20"/>
          <w:color w:val="auto"/>
        </w:rPr>
      </w:pPr>
    </w:p>
    <w:p>
      <w:pPr>
        <w:ind w:left="1100" w:hanging="179"/>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Store Sales and Operations.</w:t>
      </w:r>
    </w:p>
    <w:p>
      <w:pPr>
        <w:spacing w:after="0" w:line="246" w:lineRule="exact"/>
        <w:rPr>
          <w:sz w:val="20"/>
          <w:szCs w:val="20"/>
          <w:color w:val="auto"/>
        </w:rPr>
      </w:pPr>
    </w:p>
    <w:p>
      <w:pPr>
        <w:ind w:left="1100" w:hanging="179"/>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13" w:lineRule="exact"/>
        <w:rPr>
          <w:sz w:val="20"/>
          <w:szCs w:val="20"/>
          <w:color w:val="auto"/>
        </w:rPr>
      </w:pPr>
    </w:p>
    <w:p>
      <w:pPr>
        <w:ind w:left="1100" w:hanging="179"/>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sz w:val="20"/>
          <w:szCs w:val="20"/>
          <w:color w:val="auto"/>
        </w:rPr>
      </w:pPr>
    </w:p>
    <w:p>
      <w:pPr>
        <w:ind w:right="200" w:firstLine="921"/>
        <w:spacing w:after="0" w:line="255" w:lineRule="auto"/>
        <w:tabs>
          <w:tab w:leader="none" w:pos="1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Seventy-Five Thousand Dollars and 00/100 Cents ($275,000.00)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ind w:firstLine="921"/>
        <w:spacing w:after="0" w:line="306" w:lineRule="auto"/>
        <w:tabs>
          <w:tab w:leader="none" w:pos="116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w:t>
      </w:r>
    </w:p>
    <w:p>
      <w:pPr>
        <w:sectPr>
          <w:pgSz w:w="11900" w:h="16838" w:orient="portrait"/>
          <w:cols w:equalWidth="0" w:num="1">
            <w:col w:w="11420"/>
          </w:cols>
          <w:pgMar w:left="240" w:top="125" w:right="239" w:bottom="1440" w:gutter="0" w:footer="0" w:header="0"/>
        </w:sectPr>
      </w:pPr>
    </w:p>
    <w:bookmarkStart w:id="19" w:name="page20"/>
    <w:bookmarkEnd w:id="1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individual and Company performance conditions are met) shall be 35% of Executive’s actual 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43" w:lineRule="exact"/>
        <w:rPr>
          <w:sz w:val="20"/>
          <w:szCs w:val="20"/>
          <w:color w:val="auto"/>
        </w:rPr>
      </w:pPr>
    </w:p>
    <w:p>
      <w:pPr>
        <w:ind w:right="20" w:firstLine="921"/>
        <w:spacing w:after="0" w:line="255"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 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224" w:lineRule="exact"/>
        <w:rPr>
          <w:sz w:val="20"/>
          <w:szCs w:val="20"/>
          <w:color w:val="auto"/>
        </w:rPr>
      </w:pPr>
    </w:p>
    <w:p>
      <w:pPr>
        <w:ind w:left="1100" w:hanging="179"/>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94" w:lineRule="exact"/>
        <w:rPr>
          <w:sz w:val="20"/>
          <w:szCs w:val="20"/>
          <w:color w:val="auto"/>
        </w:rPr>
      </w:pPr>
    </w:p>
    <w:p>
      <w:pPr>
        <w:ind w:left="1100" w:hanging="179"/>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sz w:val="20"/>
          <w:szCs w:val="20"/>
          <w:color w:val="auto"/>
        </w:rPr>
      </w:pPr>
    </w:p>
    <w:p>
      <w:pPr>
        <w:ind w:right="280" w:firstLine="921"/>
        <w:spacing w:after="0" w:line="298" w:lineRule="auto"/>
        <w:tabs>
          <w:tab w:leader="none" w:pos="1152"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right="40" w:firstLine="921"/>
        <w:spacing w:after="0" w:line="298" w:lineRule="auto"/>
        <w:tabs>
          <w:tab w:leader="none" w:pos="11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5680" w:right="3460" w:hanging="4759"/>
        <w:spacing w:after="0" w:line="440" w:lineRule="auto"/>
        <w:tabs>
          <w:tab w:leader="none" w:pos="1179"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2</w:t>
      </w:r>
    </w:p>
    <w:p>
      <w:pPr>
        <w:sectPr>
          <w:pgSz w:w="11900" w:h="16838" w:orient="portrait"/>
          <w:cols w:equalWidth="0" w:num="1">
            <w:col w:w="11420"/>
          </w:cols>
          <w:pgMar w:left="240" w:top="280" w:right="239" w:bottom="1440" w:gutter="0" w:footer="0" w:header="0"/>
        </w:sectPr>
      </w:pPr>
    </w:p>
    <w:bookmarkStart w:id="20" w:name="page21"/>
    <w:bookmarkEnd w:id="20"/>
    <w:p>
      <w:pPr>
        <w:ind w:left="1060" w:hanging="179"/>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DUTIES</w:t>
      </w:r>
    </w:p>
    <w:p>
      <w:pPr>
        <w:spacing w:after="0" w:line="90" w:lineRule="exact"/>
        <w:rPr>
          <w:sz w:val="20"/>
          <w:szCs w:val="20"/>
          <w:color w:val="auto"/>
        </w:rPr>
      </w:pPr>
    </w:p>
    <w:p>
      <w:pPr>
        <w:ind w:left="-40" w:firstLine="921"/>
        <w:spacing w:after="0" w:line="259"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Store Sales and Operations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40" w:right="140" w:firstLine="921"/>
        <w:spacing w:after="0" w:line="298" w:lineRule="auto"/>
        <w:tabs>
          <w:tab w:leader="none" w:pos="11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40" w:right="20" w:firstLine="921"/>
        <w:spacing w:after="0" w:line="335" w:lineRule="auto"/>
        <w:tabs>
          <w:tab w:leader="none" w:pos="1112"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169" w:lineRule="exact"/>
        <w:rPr>
          <w:sz w:val="20"/>
          <w:szCs w:val="20"/>
          <w:color w:val="auto"/>
        </w:rPr>
      </w:pPr>
    </w:p>
    <w:p>
      <w:pPr>
        <w:ind w:left="1060" w:hanging="179"/>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sz w:val="20"/>
          <w:szCs w:val="20"/>
          <w:color w:val="auto"/>
        </w:rPr>
      </w:pPr>
    </w:p>
    <w:p>
      <w:pPr>
        <w:ind w:left="1120" w:hanging="23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jc w:val="both"/>
        <w:ind w:left="-40" w:right="140" w:firstLine="1492"/>
        <w:spacing w:after="0" w:line="259" w:lineRule="auto"/>
        <w:tabs>
          <w:tab w:leader="none" w:pos="16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171" w:lineRule="exact"/>
        <w:rPr>
          <w:rFonts w:ascii="Arial" w:cs="Arial" w:eastAsia="Arial" w:hAnsi="Arial"/>
          <w:sz w:val="18"/>
          <w:szCs w:val="18"/>
          <w:color w:val="auto"/>
        </w:rPr>
      </w:pPr>
    </w:p>
    <w:p>
      <w:pPr>
        <w:ind w:left="1660" w:hanging="208"/>
        <w:spacing w:after="0"/>
        <w:tabs>
          <w:tab w:leader="none" w:pos="1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40" w:right="260" w:firstLine="1492"/>
        <w:spacing w:after="0" w:line="268" w:lineRule="auto"/>
        <w:tabs>
          <w:tab w:leader="none" w:pos="170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131" w:lineRule="exact"/>
        <w:rPr>
          <w:rFonts w:ascii="Arial" w:cs="Arial" w:eastAsia="Arial" w:hAnsi="Arial"/>
          <w:sz w:val="18"/>
          <w:szCs w:val="18"/>
          <w:color w:val="auto"/>
        </w:rPr>
      </w:pPr>
    </w:p>
    <w:p>
      <w:pPr>
        <w:ind w:left="1760" w:hanging="308"/>
        <w:spacing w:after="0"/>
        <w:tabs>
          <w:tab w:leader="none" w:pos="1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1" w:name="page22"/>
    <w:bookmarkEnd w:id="21"/>
    <w:p>
      <w:pPr>
        <w:ind w:left="-80" w:right="20" w:firstLine="921"/>
        <w:spacing w:after="0" w:line="259" w:lineRule="auto"/>
        <w:tabs>
          <w:tab w:leader="none" w:pos="1072"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80" w:right="20" w:firstLine="921"/>
        <w:spacing w:after="0" w:line="287" w:lineRule="auto"/>
        <w:tabs>
          <w:tab w:leader="none" w:pos="10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80" w:firstLine="921"/>
        <w:spacing w:after="0" w:line="289" w:lineRule="auto"/>
        <w:tabs>
          <w:tab w:leader="none" w:pos="10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18" w:lineRule="exact"/>
        <w:rPr>
          <w:rFonts w:ascii="Arial" w:cs="Arial" w:eastAsia="Arial" w:hAnsi="Arial"/>
          <w:sz w:val="16"/>
          <w:szCs w:val="16"/>
          <w:color w:val="auto"/>
        </w:rPr>
      </w:pPr>
    </w:p>
    <w:p>
      <w:pPr>
        <w:ind w:left="-80" w:right="180" w:firstLine="921"/>
        <w:spacing w:after="0" w:line="259" w:lineRule="auto"/>
        <w:tabs>
          <w:tab w:leader="none" w:pos="10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left="-80" w:right="160" w:firstLine="921"/>
        <w:spacing w:after="0" w:line="335" w:lineRule="auto"/>
        <w:tabs>
          <w:tab w:leader="none" w:pos="10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320" w:top="280" w:right="299" w:bottom="1440" w:gutter="0" w:footer="0" w:header="0"/>
        </w:sectPr>
      </w:pPr>
    </w:p>
    <w:bookmarkStart w:id="22" w:name="page23"/>
    <w:bookmarkEnd w:id="22"/>
    <w:p>
      <w:pPr>
        <w:ind w:left="-40" w:right="80" w:firstLine="921"/>
        <w:spacing w:after="0" w:line="335" w:lineRule="auto"/>
        <w:tabs>
          <w:tab w:leader="none" w:pos="1122" w:val="left"/>
        </w:tabs>
        <w:numPr>
          <w:ilvl w:val="0"/>
          <w:numId w:val="1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left="-40" w:firstLine="921"/>
        <w:spacing w:after="0" w:line="285" w:lineRule="auto"/>
        <w:tabs>
          <w:tab w:leader="none" w:pos="10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6"/>
          <w:szCs w:val="16"/>
          <w:i w:val="1"/>
          <w:iCs w:val="1"/>
          <w:color w:val="auto"/>
        </w:rPr>
        <w:t>Good Reason”</w:t>
      </w:r>
      <w:r>
        <w:rPr>
          <w:rFonts w:ascii="Arial" w:cs="Arial" w:eastAsia="Arial" w:hAnsi="Arial"/>
          <w:sz w:val="16"/>
          <w:szCs w:val="16"/>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26" w:lineRule="exact"/>
        <w:rPr>
          <w:rFonts w:ascii="Arial" w:cs="Arial" w:eastAsia="Arial" w:hAnsi="Arial"/>
          <w:sz w:val="16"/>
          <w:szCs w:val="16"/>
          <w:color w:val="auto"/>
        </w:rPr>
      </w:pPr>
    </w:p>
    <w:p>
      <w:pPr>
        <w:ind w:left="-40" w:right="80" w:firstLine="921"/>
        <w:spacing w:after="0" w:line="268" w:lineRule="auto"/>
        <w:tabs>
          <w:tab w:leader="none" w:pos="10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2" w:lineRule="exact"/>
        <w:rPr>
          <w:sz w:val="20"/>
          <w:szCs w:val="20"/>
          <w:color w:val="auto"/>
        </w:rPr>
      </w:pPr>
    </w:p>
    <w:p>
      <w:pPr>
        <w:ind w:left="-40" w:right="140" w:firstLine="1492"/>
        <w:spacing w:after="0" w:line="256" w:lineRule="auto"/>
        <w:tabs>
          <w:tab w:leader="none" w:pos="165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23" w:name="page24"/>
    <w:bookmarkEnd w:id="23"/>
    <w:p>
      <w:pPr>
        <w:ind w:right="220" w:firstLine="1492"/>
        <w:spacing w:after="0" w:line="306" w:lineRule="auto"/>
        <w:tabs>
          <w:tab w:leader="none" w:pos="1742" w:val="left"/>
        </w:tabs>
        <w:numPr>
          <w:ilvl w:val="1"/>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1948"/>
        <w:spacing w:after="0" w:line="318" w:lineRule="auto"/>
        <w:tabs>
          <w:tab w:leader="none" w:pos="2228" w:val="left"/>
        </w:tabs>
        <w:numPr>
          <w:ilvl w:val="2"/>
          <w:numId w:val="17"/>
        </w:numPr>
        <w:rPr>
          <w:rFonts w:ascii="Arial" w:cs="Arial" w:eastAsia="Arial" w:hAnsi="Arial"/>
          <w:sz w:val="15"/>
          <w:szCs w:val="15"/>
          <w:color w:val="auto"/>
        </w:rPr>
      </w:pPr>
      <w:r>
        <w:rPr>
          <w:rFonts w:ascii="Arial" w:cs="Arial" w:eastAsia="Arial" w:hAnsi="Arial"/>
          <w:sz w:val="15"/>
          <w:szCs w:val="15"/>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99" w:lineRule="exact"/>
        <w:rPr>
          <w:rFonts w:ascii="Arial" w:cs="Arial" w:eastAsia="Arial" w:hAnsi="Arial"/>
          <w:sz w:val="15"/>
          <w:szCs w:val="15"/>
          <w:color w:val="auto"/>
        </w:rPr>
      </w:pPr>
    </w:p>
    <w:p>
      <w:pPr>
        <w:ind w:left="2220" w:hanging="272"/>
        <w:spacing w:after="0"/>
        <w:tabs>
          <w:tab w:leader="none" w:pos="2220" w:val="left"/>
        </w:tabs>
        <w:numPr>
          <w:ilvl w:val="2"/>
          <w:numId w:val="17"/>
        </w:numPr>
        <w:rPr>
          <w:rFonts w:ascii="Arial" w:cs="Arial" w:eastAsia="Arial" w:hAnsi="Arial"/>
          <w:sz w:val="15"/>
          <w:szCs w:val="15"/>
          <w:color w:val="auto"/>
        </w:rPr>
      </w:pPr>
      <w:r>
        <w:rPr>
          <w:rFonts w:ascii="Arial" w:cs="Arial" w:eastAsia="Arial" w:hAnsi="Arial"/>
          <w:sz w:val="15"/>
          <w:szCs w:val="15"/>
          <w:color w:val="auto"/>
        </w:rPr>
        <w:t>all vested and unvested Awards (as that term is defined in the 2006 Incentive Compensation Plan) then held by the Executive shall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immediately expire; and</w:t>
      </w:r>
    </w:p>
    <w:p>
      <w:pPr>
        <w:spacing w:after="0" w:line="164" w:lineRule="exact"/>
        <w:rPr>
          <w:rFonts w:ascii="Arial" w:cs="Arial" w:eastAsia="Arial" w:hAnsi="Arial"/>
          <w:sz w:val="15"/>
          <w:szCs w:val="15"/>
          <w:color w:val="auto"/>
        </w:rPr>
      </w:pPr>
    </w:p>
    <w:p>
      <w:pPr>
        <w:ind w:firstLine="1948"/>
        <w:spacing w:after="0" w:line="289" w:lineRule="auto"/>
        <w:tabs>
          <w:tab w:leader="none" w:pos="2218"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18" w:lineRule="exact"/>
        <w:rPr>
          <w:rFonts w:ascii="Arial" w:cs="Arial" w:eastAsia="Arial" w:hAnsi="Arial"/>
          <w:sz w:val="16"/>
          <w:szCs w:val="16"/>
          <w:color w:val="auto"/>
        </w:rPr>
      </w:pPr>
    </w:p>
    <w:p>
      <w:pPr>
        <w:ind w:right="460" w:firstLine="921"/>
        <w:spacing w:after="0" w:line="268"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213" w:lineRule="exact"/>
        <w:rPr>
          <w:sz w:val="20"/>
          <w:szCs w:val="20"/>
          <w:color w:val="auto"/>
        </w:rPr>
      </w:pPr>
    </w:p>
    <w:p>
      <w:pPr>
        <w:ind w:left="1100" w:hanging="179"/>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90" w:lineRule="exact"/>
        <w:rPr>
          <w:sz w:val="20"/>
          <w:szCs w:val="20"/>
          <w:color w:val="auto"/>
        </w:rPr>
      </w:pPr>
    </w:p>
    <w:p>
      <w:pPr>
        <w:ind w:right="140" w:firstLine="921"/>
        <w:spacing w:after="0" w:line="268" w:lineRule="auto"/>
        <w:tabs>
          <w:tab w:leader="none" w:pos="11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4" w:name="page25"/>
    <w:bookmarkEnd w:id="24"/>
    <w:p>
      <w:pPr>
        <w:ind w:right="3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13" w:lineRule="exact"/>
        <w:rPr>
          <w:sz w:val="20"/>
          <w:szCs w:val="20"/>
          <w:color w:val="auto"/>
        </w:rPr>
      </w:pPr>
    </w:p>
    <w:p>
      <w:pPr>
        <w:jc w:val="both"/>
        <w:ind w:right="6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right="20" w:firstLine="1492"/>
        <w:spacing w:after="0" w:line="289" w:lineRule="auto"/>
        <w:tabs>
          <w:tab w:leader="none" w:pos="16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firstLine="1492"/>
        <w:spacing w:after="0" w:line="256" w:lineRule="auto"/>
        <w:tabs>
          <w:tab w:leader="none" w:pos="1742"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right="80" w:firstLine="921"/>
        <w:spacing w:after="0" w:line="306" w:lineRule="auto"/>
        <w:tabs>
          <w:tab w:leader="none" w:pos="11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5" w:name="page26"/>
    <w:bookmarkEnd w:id="25"/>
    <w:p>
      <w:pPr>
        <w:ind w:left="1140" w:hanging="219"/>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Taxable Reimbursements.</w:t>
      </w:r>
    </w:p>
    <w:p>
      <w:pPr>
        <w:spacing w:after="0" w:line="171" w:lineRule="exact"/>
        <w:rPr>
          <w:rFonts w:ascii="Arial" w:cs="Arial" w:eastAsia="Arial" w:hAnsi="Arial"/>
          <w:sz w:val="18"/>
          <w:szCs w:val="18"/>
          <w:color w:val="auto"/>
        </w:rPr>
      </w:pPr>
    </w:p>
    <w:p>
      <w:pPr>
        <w:ind w:right="140" w:firstLine="1492"/>
        <w:spacing w:after="0" w:line="306" w:lineRule="auto"/>
        <w:tabs>
          <w:tab w:leader="none" w:pos="169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06" w:lineRule="exact"/>
        <w:rPr>
          <w:rFonts w:ascii="Arial" w:cs="Arial" w:eastAsia="Arial" w:hAnsi="Arial"/>
          <w:sz w:val="16"/>
          <w:szCs w:val="16"/>
          <w:color w:val="auto"/>
        </w:rPr>
      </w:pPr>
    </w:p>
    <w:p>
      <w:pPr>
        <w:ind w:right="20" w:firstLine="1492"/>
        <w:spacing w:after="0" w:line="268" w:lineRule="auto"/>
        <w:tabs>
          <w:tab w:leader="none" w:pos="174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52" w:lineRule="exact"/>
        <w:rPr>
          <w:sz w:val="20"/>
          <w:szCs w:val="20"/>
          <w:color w:val="auto"/>
        </w:rPr>
      </w:pPr>
    </w:p>
    <w:p>
      <w:pPr>
        <w:ind w:left="1100" w:hanging="179"/>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sz w:val="20"/>
          <w:szCs w:val="20"/>
          <w:color w:val="auto"/>
        </w:rPr>
      </w:pPr>
    </w:p>
    <w:p>
      <w:pPr>
        <w:jc w:val="both"/>
        <w:ind w:right="140" w:firstLine="921"/>
        <w:spacing w:after="0" w:line="370" w:lineRule="auto"/>
        <w:tabs>
          <w:tab w:leader="none" w:pos="1152"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6" w:name="page27"/>
    <w:bookmarkEnd w:id="2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NON-COMPETITION</w:t>
      </w:r>
    </w:p>
    <w:p>
      <w:pPr>
        <w:spacing w:after="0" w:line="90" w:lineRule="exact"/>
        <w:rPr>
          <w:sz w:val="20"/>
          <w:szCs w:val="20"/>
          <w:color w:val="auto"/>
        </w:rPr>
      </w:pPr>
    </w:p>
    <w:p>
      <w:pPr>
        <w:ind w:left="-20" w:firstLine="921"/>
        <w:spacing w:after="0" w:line="286" w:lineRule="auto"/>
        <w:tabs>
          <w:tab w:leader="none" w:pos="11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left="-20" w:right="160" w:firstLine="921"/>
        <w:spacing w:after="0" w:line="255" w:lineRule="auto"/>
        <w:tabs>
          <w:tab w:leader="none" w:pos="11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right="20" w:firstLine="921"/>
        <w:spacing w:after="0" w:line="294" w:lineRule="auto"/>
        <w:tabs>
          <w:tab w:leader="none" w:pos="1132"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40" w:firstLine="921"/>
        <w:spacing w:after="0" w:line="256" w:lineRule="auto"/>
        <w:tabs>
          <w:tab w:leader="none" w:pos="11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27" w:name="page28"/>
    <w:bookmarkEnd w:id="27"/>
    <w:p>
      <w:pPr>
        <w:ind w:left="1180" w:hanging="259"/>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99" w:lineRule="exact"/>
        <w:rPr>
          <w:sz w:val="20"/>
          <w:szCs w:val="20"/>
          <w:color w:val="auto"/>
        </w:rPr>
      </w:pPr>
    </w:p>
    <w:p>
      <w:pPr>
        <w:ind w:left="1180" w:hanging="259"/>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firstLine="921"/>
        <w:spacing w:after="0" w:line="287" w:lineRule="auto"/>
        <w:tabs>
          <w:tab w:leader="none" w:pos="11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8" w:name="page29"/>
    <w:bookmarkEnd w:id="2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16" w:lineRule="exact"/>
        <w:rPr>
          <w:sz w:val="20"/>
          <w:szCs w:val="20"/>
          <w:color w:val="auto"/>
        </w:rPr>
      </w:pPr>
    </w:p>
    <w:p>
      <w:pPr>
        <w:ind w:right="20" w:firstLine="921"/>
        <w:spacing w:after="0" w:line="298"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94" w:lineRule="exact"/>
        <w:rPr>
          <w:sz w:val="20"/>
          <w:szCs w:val="20"/>
          <w:color w:val="auto"/>
        </w:rPr>
      </w:pPr>
    </w:p>
    <w:p>
      <w:pPr>
        <w:ind w:left="1180" w:hanging="259"/>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89" w:lineRule="exact"/>
        <w:rPr>
          <w:sz w:val="20"/>
          <w:szCs w:val="20"/>
          <w:color w:val="auto"/>
        </w:rPr>
      </w:pPr>
    </w:p>
    <w:p>
      <w:pPr>
        <w:ind w:left="1180" w:hanging="259"/>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jc w:val="center"/>
        <w:ind w:left="320" w:right="840"/>
        <w:spacing w:after="0" w:line="440" w:lineRule="auto"/>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 11</w:t>
      </w:r>
    </w:p>
    <w:p>
      <w:pPr>
        <w:sectPr>
          <w:pgSz w:w="11900" w:h="16838" w:orient="portrait"/>
          <w:cols w:equalWidth="0" w:num="1">
            <w:col w:w="11420"/>
          </w:cols>
          <w:pgMar w:left="240" w:top="280" w:right="239" w:bottom="1440" w:gutter="0" w:footer="0" w:header="0"/>
        </w:sectPr>
      </w:pPr>
    </w:p>
    <w:bookmarkStart w:id="29" w:name="page30"/>
    <w:bookmarkEnd w:id="29"/>
    <w:p>
      <w:pPr>
        <w:ind w:left="1180" w:hanging="259"/>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p>
    <w:p>
      <w:pPr>
        <w:spacing w:after="0" w:line="9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13" w:lineRule="exact"/>
        <w:rPr>
          <w:sz w:val="20"/>
          <w:szCs w:val="20"/>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13" w:lineRule="exact"/>
        <w:rPr>
          <w:sz w:val="20"/>
          <w:szCs w:val="20"/>
          <w:color w:val="auto"/>
        </w:rPr>
      </w:pPr>
    </w:p>
    <w:p>
      <w:pPr>
        <w:ind w:left="1180" w:hanging="259"/>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221" w:lineRule="exact"/>
        <w:rPr>
          <w:sz w:val="20"/>
          <w:szCs w:val="20"/>
          <w:color w:val="auto"/>
        </w:rPr>
      </w:pPr>
    </w:p>
    <w:p>
      <w:pPr>
        <w:ind w:left="1180" w:hanging="259"/>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213" w:lineRule="exact"/>
        <w:rPr>
          <w:sz w:val="20"/>
          <w:szCs w:val="20"/>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99" w:lineRule="exact"/>
        <w:rPr>
          <w:sz w:val="20"/>
          <w:szCs w:val="20"/>
          <w:color w:val="auto"/>
        </w:rPr>
      </w:pPr>
    </w:p>
    <w:p>
      <w:pPr>
        <w:ind w:left="1180" w:hanging="259"/>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0" w:name="page31"/>
    <w:bookmarkEnd w:id="30"/>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94" w:lineRule="exact"/>
        <w:rPr>
          <w:sz w:val="20"/>
          <w:szCs w:val="20"/>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90"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21" w:lineRule="exact"/>
        <w:rPr>
          <w:sz w:val="20"/>
          <w:szCs w:val="20"/>
          <w:color w:val="auto"/>
        </w:rPr>
      </w:pPr>
    </w:p>
    <w:p>
      <w:pPr>
        <w:ind w:left="1180" w:hanging="259"/>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13" w:lineRule="exact"/>
        <w:rPr>
          <w:sz w:val="20"/>
          <w:szCs w:val="20"/>
          <w:color w:val="auto"/>
        </w:rPr>
      </w:pPr>
    </w:p>
    <w:p>
      <w:pPr>
        <w:ind w:right="7580" w:firstLine="921"/>
        <w:spacing w:after="0" w:line="362" w:lineRule="auto"/>
        <w:tabs>
          <w:tab w:leader="none" w:pos="117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spacing w:after="0" w:line="50" w:lineRule="exact"/>
        <w:rPr>
          <w:rFonts w:ascii="Arial" w:cs="Arial" w:eastAsia="Arial" w:hAnsi="Arial"/>
          <w:sz w:val="18"/>
          <w:szCs w:val="18"/>
          <w:color w:val="auto"/>
        </w:rPr>
      </w:pPr>
    </w:p>
    <w:p>
      <w:pPr>
        <w:ind w:right="360" w:firstLine="1492"/>
        <w:spacing w:after="0" w:line="259" w:lineRule="auto"/>
        <w:tabs>
          <w:tab w:leader="none" w:pos="172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firstLine="1492"/>
        <w:spacing w:after="0" w:line="256" w:lineRule="auto"/>
        <w:tabs>
          <w:tab w:leader="none" w:pos="1732"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31" w:name="page32"/>
    <w:bookmarkEnd w:id="31"/>
    <w:p>
      <w:pPr>
        <w:ind w:left="1180" w:hanging="259"/>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p>
    <w:p>
      <w:pPr>
        <w:spacing w:after="0" w:line="9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213" w:lineRule="exact"/>
        <w:rPr>
          <w:sz w:val="20"/>
          <w:szCs w:val="20"/>
          <w:color w:val="auto"/>
        </w:rPr>
      </w:pPr>
    </w:p>
    <w:p>
      <w:pPr>
        <w:ind w:left="1180" w:hanging="259"/>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972"/>
              <w:spacing w:after="0"/>
              <w:rPr>
                <w:sz w:val="20"/>
                <w:szCs w:val="20"/>
                <w:color w:val="auto"/>
              </w:rPr>
            </w:pPr>
            <w:r>
              <w:rPr>
                <w:rFonts w:ascii="Arial" w:cs="Arial" w:eastAsia="Arial" w:hAnsi="Arial"/>
                <w:sz w:val="18"/>
                <w:szCs w:val="18"/>
                <w:color w:val="auto"/>
                <w:w w:val="87"/>
              </w:rPr>
              <w:t>5/20/2010</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David A. Levin</w:t>
            </w:r>
          </w:p>
        </w:tc>
        <w:tc>
          <w:tcPr>
            <w:tcW w:w="12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2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972"/>
              <w:spacing w:after="0"/>
              <w:rPr>
                <w:sz w:val="20"/>
                <w:szCs w:val="20"/>
                <w:color w:val="auto"/>
              </w:rPr>
            </w:pPr>
            <w:r>
              <w:rPr>
                <w:rFonts w:ascii="Arial" w:cs="Arial" w:eastAsia="Arial" w:hAnsi="Arial"/>
                <w:sz w:val="18"/>
                <w:szCs w:val="18"/>
                <w:color w:val="auto"/>
                <w:w w:val="87"/>
              </w:rPr>
              <w:t>5/20/2010</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Dennis R. Hernreich</w:t>
            </w:r>
          </w:p>
        </w:tc>
        <w:tc>
          <w:tcPr>
            <w:tcW w:w="122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Executive VP, COO, CFO</w:t>
            </w:r>
          </w:p>
        </w:tc>
        <w:tc>
          <w:tcPr>
            <w:tcW w:w="12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3"/>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Reaves</w:t>
            </w:r>
          </w:p>
        </w:tc>
        <w:tc>
          <w:tcPr>
            <w:tcW w:w="1220" w:type="dxa"/>
            <w:vAlign w:val="bottom"/>
          </w:tcPr>
          <w:p>
            <w:pPr>
              <w:ind w:left="66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972"/>
              <w:spacing w:after="0"/>
              <w:rPr>
                <w:sz w:val="20"/>
                <w:szCs w:val="20"/>
                <w:color w:val="auto"/>
              </w:rPr>
            </w:pPr>
            <w:r>
              <w:rPr>
                <w:rFonts w:ascii="Arial" w:cs="Arial" w:eastAsia="Arial" w:hAnsi="Arial"/>
                <w:sz w:val="18"/>
                <w:szCs w:val="18"/>
                <w:color w:val="auto"/>
                <w:w w:val="87"/>
              </w:rPr>
              <w:t>5/17/2010</w:t>
            </w: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Brian Reaves</w:t>
            </w:r>
          </w:p>
        </w:tc>
        <w:tc>
          <w:tcPr>
            <w:tcW w:w="122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5"/>
        </w:trPr>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20" w:type="dxa"/>
            <w:vAlign w:val="bottom"/>
          </w:tcPr>
          <w:p>
            <w:pPr>
              <w:jc w:val="right"/>
              <w:ind w:right="752"/>
              <w:spacing w:after="0"/>
              <w:rPr>
                <w:sz w:val="20"/>
                <w:szCs w:val="20"/>
                <w:color w:val="auto"/>
              </w:rPr>
            </w:pPr>
            <w:r>
              <w:rPr>
                <w:rFonts w:ascii="Arial" w:cs="Arial" w:eastAsia="Arial" w:hAnsi="Arial"/>
                <w:sz w:val="18"/>
                <w:szCs w:val="18"/>
                <w:color w:val="auto"/>
              </w:rPr>
              <w:t>14</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40" w:firstLine="921"/>
        <w:spacing w:after="0" w:line="284" w:lineRule="auto"/>
        <w:tabs>
          <w:tab w:leader="none" w:pos="10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Brian Reaves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Casual Male Retail Group, Inc. (the “</w:t>
      </w:r>
      <w:r>
        <w:rPr>
          <w:rFonts w:ascii="Arial" w:cs="Arial" w:eastAsia="Arial" w:hAnsi="Arial"/>
          <w:sz w:val="16"/>
          <w:szCs w:val="16"/>
          <w:u w:val="single" w:color="auto"/>
          <w:color w:val="auto"/>
        </w:rPr>
        <w:t>Company</w:t>
      </w:r>
      <w:r>
        <w:rPr>
          <w:rFonts w:ascii="Arial" w:cs="Arial" w:eastAsia="Arial" w:hAnsi="Arial"/>
          <w:sz w:val="16"/>
          <w:szCs w:val="16"/>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80" w:right="259" w:bottom="1440" w:gutter="0" w:footer="0" w:header="0"/>
        </w:sectPr>
      </w:pPr>
    </w:p>
    <w:bookmarkStart w:id="33" w:name="page34"/>
    <w:bookmarkEnd w:id="33"/>
    <w:p>
      <w:pPr>
        <w:jc w:val="both"/>
        <w:ind w:left="-20" w:firstLine="921"/>
        <w:spacing w:after="0" w:line="294" w:lineRule="auto"/>
        <w:tabs>
          <w:tab w:leader="none" w:pos="1068"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20" w:firstLine="921"/>
        <w:spacing w:after="0" w:line="256"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180" w:firstLine="921"/>
        <w:spacing w:after="0" w:line="259"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480" w:firstLine="921"/>
        <w:spacing w:after="0" w:line="268" w:lineRule="auto"/>
        <w:tabs>
          <w:tab w:leader="none" w:pos="10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252095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Brian Reaves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21,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1, 2010,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21, 2010</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1, 2010,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May 21, 2010</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2"/>
    </w:lvl>
  </w:abstractNum>
  <w:abstractNum w:abstractNumId="2">
    <w:nsid w:val="189A769B"/>
    <w:multiLevelType w:val="hybridMultilevel"/>
    <w:lvl w:ilvl="0">
      <w:lvlJc w:val="left"/>
      <w:lvlText w:val="%1."/>
      <w:numFmt w:val="decimal"/>
      <w:start w:val="3"/>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lowerLetter"/>
      <w:start w:val="3"/>
    </w:lvl>
  </w:abstractNum>
  <w:abstractNum w:abstractNumId="5">
    <w:nsid w:val="2CA88611"/>
    <w:multiLevelType w:val="hybridMultilevel"/>
    <w:lvl w:ilvl="0">
      <w:lvlJc w:val="left"/>
      <w:lvlText w:val="%1."/>
      <w:numFmt w:val="decimal"/>
      <w:start w:val="4"/>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lowerLetter"/>
      <w:start w:val="2"/>
    </w:lvl>
  </w:abstractNum>
  <w:abstractNum w:abstractNumId="9">
    <w:nsid w:val="8138641"/>
    <w:multiLevelType w:val="hybridMultilevel"/>
    <w:lvl w:ilvl="0">
      <w:lvlJc w:val="left"/>
      <w:lvlText w:val="%1."/>
      <w:numFmt w:val="decimal"/>
      <w:start w:val="6"/>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decimal"/>
      <w:start w:val="7"/>
    </w:lvl>
  </w:abstractNum>
  <w:abstractNum w:abstractNumId="12">
    <w:nsid w:val="737B8DDC"/>
    <w:multiLevelType w:val="hybridMultilevel"/>
    <w:lvl w:ilvl="0">
      <w:lvlJc w:val="left"/>
      <w:lvlText w:val="(%1)"/>
      <w:numFmt w:val="lowerLetter"/>
      <w:start w:val="1"/>
    </w:lvl>
    <w:lvl w:ilvl="1">
      <w:lvlJc w:val="left"/>
      <w:lvlText w:val="(%2)"/>
      <w:numFmt w:val="lowerRoman"/>
      <w:start w:val="1"/>
    </w:lvl>
  </w:abstractNum>
  <w:abstractNum w:abstractNumId="13">
    <w:nsid w:val="6CEAF087"/>
    <w:multiLevelType w:val="hybridMultilevel"/>
    <w:lvl w:ilvl="0">
      <w:lvlJc w:val="left"/>
      <w:lvlText w:val="(%1)"/>
      <w:numFmt w:val="lowerLetter"/>
      <w:start w:val="3"/>
    </w:lvl>
  </w:abstractNum>
  <w:abstractNum w:abstractNumId="14">
    <w:nsid w:val="22221A70"/>
    <w:multiLevelType w:val="hybridMultilevel"/>
    <w:lvl w:ilvl="0">
      <w:lvlJc w:val="left"/>
      <w:lvlText w:val="(%1)"/>
      <w:numFmt w:val="lowerLetter"/>
      <w:start w:val="8"/>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7">
    <w:nsid w:val="614FD4A1"/>
    <w:multiLevelType w:val="hybridMultilevel"/>
    <w:lvl w:ilvl="0">
      <w:lvlJc w:val="left"/>
      <w:lvlText w:val="(%1)"/>
      <w:numFmt w:val="lowerLetter"/>
      <w:start w:val="11"/>
    </w:lvl>
    <w:lvl w:ilvl="1">
      <w:lvlJc w:val="left"/>
      <w:lvlText w:val="%2"/>
      <w:numFmt w:val="lowerLetter"/>
      <w:start w:val="1"/>
    </w:lvl>
    <w:lvl w:ilvl="2">
      <w:lvlJc w:val="left"/>
      <w:lvlText w:val="%3"/>
      <w:numFmt w:val="upperLetter"/>
      <w:start w:val="1"/>
    </w:lvl>
  </w:abstractNum>
  <w:abstractNum w:abstractNumId="18">
    <w:nsid w:val="419AC241"/>
    <w:multiLevelType w:val="hybridMultilevel"/>
    <w:lvl w:ilvl="0">
      <w:lvlJc w:val="left"/>
      <w:lvlText w:val="%1."/>
      <w:numFmt w:val="decimal"/>
      <w:start w:val="8"/>
    </w:lvl>
  </w:abstractNum>
  <w:abstractNum w:abstractNumId="19">
    <w:nsid w:val="5577F8E1"/>
    <w:multiLevelType w:val="hybridMultilevel"/>
    <w:lvl w:ilvl="0">
      <w:lvlJc w:val="left"/>
      <w:lvlText w:val="(%1)"/>
      <w:numFmt w:val="lowerLetter"/>
      <w:start w:val="1"/>
    </w:lvl>
  </w:abstractNum>
  <w:abstractNum w:abstractNumId="20">
    <w:nsid w:val="440BADFC"/>
    <w:multiLevelType w:val="hybridMultilevel"/>
    <w:lvl w:ilvl="0">
      <w:lvlJc w:val="left"/>
      <w:lvlText w:val="(%1)"/>
      <w:numFmt w:val="lowerLetter"/>
      <w:start w:val="2"/>
    </w:lvl>
    <w:lvl w:ilvl="1">
      <w:lvlJc w:val="left"/>
      <w:lvlText w:val="(%2)"/>
      <w:numFmt w:val="lowerRoman"/>
      <w:start w:val="1"/>
    </w:lvl>
  </w:abstractNum>
  <w:abstractNum w:abstractNumId="21">
    <w:nsid w:val="5072367"/>
    <w:multiLevelType w:val="hybridMultilevel"/>
    <w:lvl w:ilvl="0">
      <w:lvlJc w:val="left"/>
      <w:lvlText w:val="(%1)"/>
      <w:numFmt w:val="lowerLetter"/>
      <w:start w:val="6"/>
    </w:lvl>
    <w:lvl w:ilvl="1">
      <w:lvlJc w:val="left"/>
      <w:lvlText w:val="(%2)"/>
      <w:numFmt w:val="lowerRoman"/>
      <w:start w:val="1"/>
    </w:lvl>
  </w:abstractNum>
  <w:abstractNum w:abstractNumId="22">
    <w:nsid w:val="3804823E"/>
    <w:multiLevelType w:val="hybridMultilevel"/>
    <w:lvl w:ilvl="0">
      <w:lvlJc w:val="left"/>
      <w:lvlText w:val="%1."/>
      <w:numFmt w:val="decimal"/>
      <w:start w:val="9"/>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1)"/>
      <w:numFmt w:val="lowerLetter"/>
      <w:start w:val="1"/>
    </w:lvl>
  </w:abstractNum>
  <w:abstractNum w:abstractNumId="25">
    <w:nsid w:val="5C482A97"/>
    <w:multiLevelType w:val="hybridMultilevel"/>
    <w:lvl w:ilvl="0">
      <w:lvlJc w:val="left"/>
      <w:lvlText w:val="%1."/>
      <w:numFmt w:val="decimal"/>
      <w:start w:val="1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decimal"/>
      <w:start w:val="12"/>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decimal"/>
      <w:start w:val="13"/>
    </w:lvl>
  </w:abstractNum>
  <w:abstractNum w:abstractNumId="31">
    <w:nsid w:val="153EA438"/>
    <w:multiLevelType w:val="hybridMultilevel"/>
    <w:lvl w:ilvl="0">
      <w:lvlJc w:val="left"/>
      <w:lvlText w:val="%1."/>
      <w:numFmt w:val="decimal"/>
      <w:start w:val="14"/>
    </w:lvl>
  </w:abstractNum>
  <w:abstractNum w:abstractNumId="32">
    <w:nsid w:val="3855585C"/>
    <w:multiLevelType w:val="hybridMultilevel"/>
    <w:lvl w:ilvl="0">
      <w:lvlJc w:val="left"/>
      <w:lvlText w:val="%1."/>
      <w:numFmt w:val="decimal"/>
      <w:start w:val="15"/>
    </w:lvl>
  </w:abstractNum>
  <w:abstractNum w:abstractNumId="33">
    <w:nsid w:val="70A64E2A"/>
    <w:multiLevelType w:val="hybridMultilevel"/>
    <w:lvl w:ilvl="0">
      <w:lvlJc w:val="left"/>
      <w:lvlText w:val="%1."/>
      <w:numFmt w:val="decimal"/>
      <w:start w:val="16"/>
    </w:lvl>
  </w:abstractNum>
  <w:abstractNum w:abstractNumId="34">
    <w:nsid w:val="6A2342EC"/>
    <w:multiLevelType w:val="hybridMultilevel"/>
    <w:lvl w:ilvl="0">
      <w:lvlJc w:val="left"/>
      <w:lvlText w:val="%1."/>
      <w:numFmt w:val="decimal"/>
      <w:start w:val="17"/>
    </w:lvl>
  </w:abstractNum>
  <w:abstractNum w:abstractNumId="35">
    <w:nsid w:val="2A487CB0"/>
    <w:multiLevelType w:val="hybridMultilevel"/>
    <w:lvl w:ilvl="0">
      <w:lvlJc w:val="left"/>
      <w:lvlText w:val="%1."/>
      <w:numFmt w:val="decimal"/>
      <w:start w:val="18"/>
    </w:lvl>
  </w:abstractNum>
  <w:abstractNum w:abstractNumId="36">
    <w:nsid w:val="1D4ED43B"/>
    <w:multiLevelType w:val="hybridMultilevel"/>
    <w:lvl w:ilvl="0">
      <w:lvlJc w:val="left"/>
      <w:lvlText w:val="%1."/>
      <w:numFmt w:val="decimal"/>
      <w:start w:val="19"/>
    </w:lvl>
  </w:abstractNum>
  <w:abstractNum w:abstractNumId="37">
    <w:nsid w:val="725A06FB"/>
    <w:multiLevelType w:val="hybridMultilevel"/>
    <w:lvl w:ilvl="0">
      <w:lvlJc w:val="left"/>
      <w:lvlText w:val="%1."/>
      <w:numFmt w:val="decimal"/>
      <w:start w:val="20"/>
    </w:lvl>
  </w:abstractNum>
  <w:abstractNum w:abstractNumId="38">
    <w:nsid w:val="2CD89A32"/>
    <w:multiLevelType w:val="hybridMultilevel"/>
    <w:lvl w:ilvl="0">
      <w:lvlJc w:val="left"/>
      <w:lvlText w:val="%1."/>
      <w:numFmt w:val="decimal"/>
      <w:start w:val="21"/>
    </w:lvl>
  </w:abstractNum>
  <w:abstractNum w:abstractNumId="39">
    <w:nsid w:val="57E4CCAF"/>
    <w:multiLevelType w:val="hybridMultilevel"/>
    <w:lvl w:ilvl="0">
      <w:lvlJc w:val="left"/>
      <w:lvlText w:val="%1."/>
      <w:numFmt w:val="decimal"/>
      <w:start w:val="22"/>
    </w:lvl>
  </w:abstractNum>
  <w:abstractNum w:abstractNumId="40">
    <w:nsid w:val="7A6D8D3C"/>
    <w:multiLevelType w:val="hybridMultilevel"/>
    <w:lvl w:ilvl="0">
      <w:lvlJc w:val="left"/>
      <w:lvlText w:val="%1."/>
      <w:numFmt w:val="decimal"/>
      <w:start w:val="23"/>
    </w:lvl>
  </w:abstractNum>
  <w:abstractNum w:abstractNumId="41">
    <w:nsid w:val="4B588F54"/>
    <w:multiLevelType w:val="hybridMultilevel"/>
    <w:lvl w:ilvl="0">
      <w:lvlJc w:val="left"/>
      <w:lvlText w:val="%1."/>
      <w:numFmt w:val="decimal"/>
      <w:start w:val="24"/>
    </w:lvl>
    <w:lvl w:ilvl="1">
      <w:lvlJc w:val="left"/>
      <w:lvlText w:val="(%2)"/>
      <w:numFmt w:val="lowerLetter"/>
      <w:start w:val="1"/>
    </w:lvl>
  </w:abstractNum>
  <w:abstractNum w:abstractNumId="42">
    <w:nsid w:val="542289EC"/>
    <w:multiLevelType w:val="hybridMultilevel"/>
    <w:lvl w:ilvl="0">
      <w:lvlJc w:val="left"/>
      <w:lvlText w:val="%1."/>
      <w:numFmt w:val="decimal"/>
      <w:start w:val="25"/>
    </w:lvl>
  </w:abstractNum>
  <w:abstractNum w:abstractNumId="43">
    <w:nsid w:val="6DE91B18"/>
    <w:multiLevelType w:val="hybridMultilevel"/>
    <w:lvl w:ilvl="0">
      <w:lvlJc w:val="left"/>
      <w:lvlText w:val="%1."/>
      <w:numFmt w:val="decimal"/>
      <w:start w:val="26"/>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2"/>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2019-12-10T06:59:49Z</dcterms:created>
  <dcterms:modified xsi:type="dcterms:W3CDTF">2019-12-10T06:59:49Z</dcterms:modified>
</cp:coreProperties>
</file>