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ind w:left="3060"/>
        <w:spacing w:after="0" w:line="238" w:lineRule="auto"/>
        <w:rPr>
          <w:sz w:val="20"/>
          <w:szCs w:val="20"/>
          <w:color w:val="auto"/>
        </w:rPr>
      </w:pPr>
      <w:r>
        <w:rPr>
          <w:rFonts w:ascii="Courier New" w:cs="Courier New" w:eastAsia="Courier New" w:hAnsi="Courier New"/>
          <w:sz w:val="18"/>
          <w:szCs w:val="18"/>
          <w:color w:val="auto"/>
        </w:rPr>
        <w:t>Exchange Act of 1934</w:t>
      </w:r>
    </w:p>
    <w:p>
      <w:pPr>
        <w:spacing w:after="0" w:line="202"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FILED BY THE REGISTRANT</w:t>
      </w:r>
      <w:r>
        <w:rPr>
          <w:sz w:val="20"/>
          <w:szCs w:val="20"/>
          <w:color w:val="auto"/>
        </w:rPr>
        <w:tab/>
      </w:r>
      <w:r>
        <w:rPr>
          <w:rFonts w:ascii="Courier New" w:cs="Courier New" w:eastAsia="Courier New" w:hAnsi="Courier New"/>
          <w:sz w:val="16"/>
          <w:szCs w:val="16"/>
          <w:color w:val="auto"/>
        </w:rPr>
        <w:t>[x]</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Preliminary Proxy Statement</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w:t>
      </w:r>
    </w:p>
    <w:p>
      <w:pPr>
        <w:ind w:left="640"/>
        <w:spacing w:after="0"/>
        <w:rPr>
          <w:sz w:val="20"/>
          <w:szCs w:val="20"/>
          <w:color w:val="auto"/>
        </w:rPr>
      </w:pPr>
      <w:r>
        <w:rPr>
          <w:rFonts w:ascii="Courier New" w:cs="Courier New" w:eastAsia="Courier New" w:hAnsi="Courier New"/>
          <w:sz w:val="18"/>
          <w:szCs w:val="18"/>
          <w:color w:val="auto"/>
        </w:rPr>
        <w:t>(as permitted by Rule 14a-6(e)(2))</w:t>
      </w:r>
    </w:p>
    <w:p>
      <w:pPr>
        <w:ind w:left="420" w:hanging="412"/>
        <w:spacing w:after="0" w:line="23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Proxy Statement</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under Rule 14a-12</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ind w:left="1800"/>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Fee computed on table below per Exchange Act Rules 14a-6(i)(4)and 0-11.</w:t>
      </w:r>
    </w:p>
    <w:p>
      <w:pPr>
        <w:spacing w:after="0" w:line="200" w:lineRule="exact"/>
        <w:rPr>
          <w:rFonts w:ascii="Courier New" w:cs="Courier New" w:eastAsia="Courier New" w:hAnsi="Courier New"/>
          <w:sz w:val="18"/>
          <w:szCs w:val="18"/>
          <w:color w:val="auto"/>
        </w:rPr>
      </w:pPr>
    </w:p>
    <w:p>
      <w:pPr>
        <w:ind w:left="860" w:hanging="536"/>
        <w:spacing w:after="0"/>
        <w:tabs>
          <w:tab w:leader="none" w:pos="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4"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860" w:hanging="536"/>
        <w:spacing w:after="0" w:line="238" w:lineRule="auto"/>
        <w:tabs>
          <w:tab w:leader="none" w:pos="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4"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640" w:right="1879" w:hanging="316"/>
        <w:spacing w:after="0" w:line="236" w:lineRule="auto"/>
        <w:tabs>
          <w:tab w:leader="none" w:pos="6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6"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640" w:hanging="316"/>
        <w:spacing w:after="0" w:line="238" w:lineRule="auto"/>
        <w:tabs>
          <w:tab w:leader="none" w:pos="6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ind w:left="640"/>
        <w:spacing w:after="0"/>
        <w:rPr>
          <w:sz w:val="20"/>
          <w:szCs w:val="20"/>
          <w:color w:val="auto"/>
        </w:rPr>
      </w:pPr>
      <w:r>
        <w:rPr>
          <w:rFonts w:ascii="Courier New" w:cs="Courier New" w:eastAsia="Courier New" w:hAnsi="Courier New"/>
          <w:sz w:val="18"/>
          <w:szCs w:val="18"/>
          <w:color w:val="auto"/>
        </w:rPr>
        <w:t>$______________________________________________________________________</w:t>
      </w:r>
    </w:p>
    <w:p>
      <w:pPr>
        <w:ind w:left="640" w:hanging="632"/>
        <w:spacing w:after="0" w:line="23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w:t>
      </w:r>
    </w:p>
    <w:p>
      <w:pPr>
        <w:spacing w:after="0" w:line="202" w:lineRule="exact"/>
        <w:rPr>
          <w:sz w:val="24"/>
          <w:szCs w:val="24"/>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paid previously with preliminary materials.</w:t>
      </w:r>
    </w:p>
    <w:p>
      <w:pPr>
        <w:spacing w:after="0" w:line="4" w:lineRule="exact"/>
        <w:rPr>
          <w:sz w:val="24"/>
          <w:szCs w:val="24"/>
          <w:color w:val="auto"/>
        </w:rPr>
      </w:pPr>
    </w:p>
    <w:p>
      <w:pPr>
        <w:ind w:left="640" w:right="1999" w:hanging="632"/>
        <w:spacing w:after="0" w:line="237" w:lineRule="auto"/>
        <w:tabs>
          <w:tab w:leader="none" w:pos="4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ind w:left="860" w:hanging="852"/>
        <w:spacing w:after="0" w:line="238"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ind w:left="860" w:hanging="852"/>
        <w:spacing w:after="0" w:line="238"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ind w:left="860" w:hanging="852"/>
        <w:spacing w:after="0" w:line="238"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sz w:val="24"/>
          <w:szCs w:val="24"/>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Board of Directors of Casual Male Retail Group, Inc. (the "Company") has established a Nominating Committee. The committee consists of Alan S. Bernikow and Jesse Choper, each of whom is an independent, non-employee director. Mr. Choper serves as Chairman of the committee. The Board has also voted to amend the Company's 1992 Stock Incentive Plan to eliminate the Board's authority, without stockholder approval, to reduce the exercise price of, or substitute, any stock options issued pursuant to the 1992 Stock Incentive Plan.</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upperLetter"/>
      <w:start w:val="24"/>
    </w:lvl>
  </w:abstractNum>
  <w:abstractNum w:abstractNumId="5">
    <w:nsid w:val="7545E146"/>
    <w:multiLevelType w:val="hybridMultilevel"/>
    <w:lvl w:ilvl="0">
      <w:lvlJc w:val="left"/>
      <w:lvlText w:val="["/>
      <w:numFmt w:val="bullet"/>
      <w:start w:val="1"/>
    </w:lvl>
    <w:lvl w:ilvl="1">
      <w:lvlJc w:val="left"/>
      <w:lvlText w:val="%2)"/>
      <w:numFmt w:val="decimal"/>
      <w:start w:val="1"/>
    </w:lvl>
  </w:abstractNum>
  <w:abstractNum w:abstractNumId="6">
    <w:nsid w:val="515F007C"/>
    <w:multiLevelType w:val="hybridMultilevel"/>
    <w:lvl w:ilvl="0">
      <w:lvlJc w:val="left"/>
      <w:lvlText w:val="%1)"/>
      <w:numFmt w:val="decimal"/>
      <w:start w:val="5"/>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2019-12-19T22:11:50Z</dcterms:created>
  <dcterms:modified xsi:type="dcterms:W3CDTF">2019-12-19T22:11:50Z</dcterms:modified>
</cp:coreProperties>
</file>