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03/16/2023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03/16/2023</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26,677</w:t>
            </w:r>
            <w:r>
              <w:rPr>
                <w:rFonts w:ascii="Times New Roman" w:cs="Times New Roman" w:eastAsia="Times New Roman" w:hAnsi="Times New Roman"/>
                <w:sz w:val="22"/>
                <w:szCs w:val="22"/>
                <w:color w:val="008000"/>
                <w:vertAlign w:val="superscript"/>
              </w:rPr>
              <w:t>(2)(3)</w:t>
            </w:r>
            <w:r>
              <w:rPr>
                <w:rFonts w:ascii="Times New Roman" w:cs="Times New Roman" w:eastAsia="Times New Roman" w:hAnsi="Times New Roman"/>
                <w:sz w:val="17"/>
                <w:szCs w:val="17"/>
                <w:color w:val="0000FF"/>
              </w:rPr>
              <w:t xml:space="preserve">    D</w:t>
            </w:r>
          </w:p>
        </w:tc>
        <w:tc>
          <w:tcPr>
            <w:tcW w:w="8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6.1939</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9,399,297</w:t>
            </w:r>
            <w:r>
              <w:rPr>
                <w:rFonts w:ascii="Times New Roman" w:cs="Times New Roman" w:eastAsia="Times New Roman" w:hAnsi="Times New Roman"/>
                <w:sz w:val="22"/>
                <w:szCs w:val="22"/>
                <w:color w:val="008000"/>
                <w:w w:val="99"/>
                <w:vertAlign w:val="superscript"/>
              </w:rPr>
              <w:t>(2)(3)</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(2)(3)</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Partnerships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5,729,930 shares of Common Stock of the Issuer (the Shares) held by SSFQP, 1,799,797 Shares held by Cay and 1,869,570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2023-03-17T17:01:56Z</dcterms:created>
  <dcterms:modified xsi:type="dcterms:W3CDTF">2023-03-17T17:01:56Z</dcterms:modified>
</cp:coreProperties>
</file>