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220"/>
        <w:spacing w:after="0"/>
        <w:tabs>
          <w:tab w:leader="none" w:pos="55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17, 2002</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(Commission File Number)</w:t>
      </w:r>
    </w:p>
    <w:p>
      <w:pPr>
        <w:ind w:left="2540"/>
        <w:spacing w:after="0"/>
        <w:rPr>
          <w:sz w:val="20"/>
          <w:szCs w:val="20"/>
          <w:color w:val="auto"/>
        </w:rPr>
      </w:pPr>
      <w:r>
        <w:rPr>
          <w:rFonts w:ascii="Courier New" w:cs="Courier New" w:eastAsia="Courier New" w:hAnsi="Courier New"/>
          <w:sz w:val="18"/>
          <w:szCs w:val="18"/>
          <w:color w:val="auto"/>
        </w:rPr>
        <w:t>______________________________</w:t>
      </w:r>
    </w:p>
    <w:p>
      <w:pPr>
        <w:spacing w:after="0" w:line="37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23" w:right="1440" w:bottom="0" w:gutter="0" w:footer="0" w:header="0"/>
        </w:sectPr>
      </w:pPr>
    </w:p>
    <w:p>
      <w:pPr>
        <w:spacing w:after="0" w:line="37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04-2623104</w:t>
      </w:r>
    </w:p>
    <w:p>
      <w:pPr>
        <w:spacing w:after="0" w:line="5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2">
            <w:col w:w="4340" w:space="720"/>
            <w:col w:w="5159"/>
          </w:cols>
          <w:pgMar w:left="240" w:top="623" w:right="1440" w:bottom="0" w:gutter="0" w:footer="0" w:header="0"/>
          <w:type w:val="continuous"/>
        </w:sectPr>
      </w:pPr>
    </w:p>
    <w:p>
      <w:pPr>
        <w:spacing w:after="0" w:line="172" w:lineRule="exact"/>
        <w:rPr>
          <w:sz w:val="24"/>
          <w:szCs w:val="24"/>
          <w:color w:val="auto"/>
        </w:rPr>
      </w:pPr>
    </w:p>
    <w:p>
      <w:pPr>
        <w:ind w:left="1280" w:right="3479" w:firstLine="211"/>
        <w:spacing w:after="0" w:line="420" w:lineRule="auto"/>
        <w:rPr>
          <w:sz w:val="20"/>
          <w:szCs w:val="20"/>
          <w:color w:val="auto"/>
        </w:rPr>
      </w:pPr>
      <w:r>
        <w:rPr>
          <w:rFonts w:ascii="Courier New" w:cs="Courier New" w:eastAsia="Courier New" w:hAnsi="Courier New"/>
          <w:sz w:val="16"/>
          <w:szCs w:val="16"/>
          <w:color w:val="auto"/>
        </w:rPr>
        <w:t>555 Turnpike Street, Canton, Massachusetts 02021 (Address of registrant's principal executive office)</w:t>
      </w:r>
    </w:p>
    <w:p>
      <w:pPr>
        <w:spacing w:after="0" w:line="176" w:lineRule="exact"/>
        <w:rPr>
          <w:sz w:val="24"/>
          <w:szCs w:val="24"/>
          <w:color w:val="auto"/>
        </w:rPr>
      </w:pPr>
    </w:p>
    <w:p>
      <w:pPr>
        <w:ind w:left="3480" w:hanging="628"/>
        <w:spacing w:after="0"/>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32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Description</w:t>
            </w:r>
          </w:p>
        </w:tc>
        <w:tc>
          <w:tcPr>
            <w:tcW w:w="13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99.1</w:t>
            </w:r>
          </w:p>
        </w:tc>
        <w:tc>
          <w:tcPr>
            <w:tcW w:w="1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Certification</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of the Chief Executive Officer of the Company</w:t>
            </w:r>
          </w:p>
        </w:tc>
      </w:tr>
      <w:tr>
        <w:trPr>
          <w:trHeight w:val="203"/>
        </w:trPr>
        <w:tc>
          <w:tcPr>
            <w:tcW w:w="148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pursuant to</w:t>
            </w: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18 U.S.C. Section 1350, as adopted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pursuant to</w:t>
            </w:r>
          </w:p>
        </w:tc>
      </w:tr>
      <w:tr>
        <w:trPr>
          <w:trHeight w:val="296"/>
        </w:trPr>
        <w:tc>
          <w:tcPr>
            <w:tcW w:w="148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Section 906</w:t>
            </w: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of the Sarbanes-Oxley Act of 2002.</w:t>
            </w:r>
          </w:p>
        </w:tc>
        <w:tc>
          <w:tcPr>
            <w:tcW w:w="132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53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8"/>
              </w:rPr>
              <w:t>Certification of the Chief Financial Officer 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the Company</w:t>
            </w:r>
          </w:p>
        </w:tc>
      </w:tr>
      <w:tr>
        <w:trPr>
          <w:trHeight w:val="203"/>
        </w:trPr>
        <w:tc>
          <w:tcPr>
            <w:tcW w:w="1480" w:type="dxa"/>
            <w:vAlign w:val="bottom"/>
          </w:tcPr>
          <w:p>
            <w:pPr>
              <w:spacing w:after="0"/>
              <w:rPr>
                <w:sz w:val="17"/>
                <w:szCs w:val="17"/>
                <w:color w:val="auto"/>
              </w:rPr>
            </w:pPr>
          </w:p>
        </w:tc>
        <w:tc>
          <w:tcPr>
            <w:tcW w:w="1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pursuant to 18</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U.S.C. Section 1350, as adopted pursuant to</w:t>
            </w:r>
          </w:p>
        </w:tc>
      </w:tr>
      <w:tr>
        <w:trPr>
          <w:trHeight w:val="296"/>
        </w:trPr>
        <w:tc>
          <w:tcPr>
            <w:tcW w:w="148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Section 906 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the Sarbanes-Oxley Act of 2002.</w:t>
            </w:r>
          </w:p>
        </w:tc>
        <w:tc>
          <w:tcPr>
            <w:tcW w:w="1320" w:type="dxa"/>
            <w:vAlign w:val="bottom"/>
          </w:tcPr>
          <w:p>
            <w:pPr>
              <w:spacing w:after="0"/>
              <w:rPr>
                <w:sz w:val="24"/>
                <w:szCs w:val="24"/>
                <w:color w:val="auto"/>
              </w:rPr>
            </w:pPr>
          </w:p>
        </w:tc>
      </w:tr>
    </w:tbl>
    <w:p>
      <w:pPr>
        <w:spacing w:after="0" w:line="31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4"/>
          <w:szCs w:val="24"/>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On December 17, 2002, Casual Male Retail Group, Inc., a Delaware corporation (the "Company"), filed its Quarterly Report on Form 10-Q for the quarterly period ended November 2, 2002, with the Securities and Exchange Commission. Accompanying such report were certifications of the Chief Executive Officer and the Chief Financial Officer of the Company, submitted pursuant to Section 906 of the Sarbanes-Oxley Act of 2002 (18 U.S.C. Section 1350). A copy of each of these certifications is attached as an exhibit hereto.</w:t>
      </w:r>
    </w:p>
    <w:p>
      <w:pPr>
        <w:sectPr>
          <w:pgSz w:w="11900" w:h="16838" w:orient="portrait"/>
          <w:cols w:equalWidth="0" w:num="1">
            <w:col w:w="10219"/>
          </w:cols>
          <w:pgMar w:left="240" w:top="623" w:right="1440" w:bottom="0" w:gutter="0" w:footer="0" w:header="0"/>
          <w:type w:val="continuous"/>
        </w:sectPr>
      </w:pPr>
    </w:p>
    <w:bookmarkStart w:id="1" w:name="page2"/>
    <w:bookmarkEnd w:id="1"/>
    <w:p>
      <w:pPr>
        <w:ind w:right="2319"/>
        <w:spacing w:after="0" w:line="256" w:lineRule="auto"/>
        <w:rPr>
          <w:sz w:val="20"/>
          <w:szCs w:val="20"/>
          <w:color w:val="auto"/>
        </w:rPr>
      </w:pPr>
      <w:r>
        <w:rPr>
          <w:rFonts w:ascii="Courier New" w:cs="Courier New" w:eastAsia="Courier New" w:hAnsi="Courier New"/>
          <w:sz w:val="18"/>
          <w:szCs w:val="18"/>
          <w:color w:val="auto"/>
        </w:rPr>
        <w:t>The information included or incorporated herein, including the exhibits referenced above, is furnished pursuant to Regulation FD and shall not be deemed "filed" for purposes of Section 18 of the Securities Exchange Act of 1934 or otherwise subject to the liabilities under that section, nor shall such information, including such exhibits, be deemed incorporated by reference in any filing under the Securities Act of 1933 except to the extent, if any,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Index to Exhibits</w:t>
            </w:r>
          </w:p>
        </w:tc>
        <w:tc>
          <w:tcPr>
            <w:tcW w:w="132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32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Description</w:t>
            </w:r>
          </w:p>
        </w:tc>
        <w:tc>
          <w:tcPr>
            <w:tcW w:w="132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18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Certification</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the Chief Executive Officer of the Company</w:t>
            </w:r>
          </w:p>
        </w:tc>
      </w:tr>
      <w:tr>
        <w:trPr>
          <w:trHeight w:val="203"/>
        </w:trPr>
        <w:tc>
          <w:tcPr>
            <w:tcW w:w="148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pursuant to</w:t>
            </w: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18 U.S.C. Section 1350, as adopted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pursuant to</w:t>
            </w:r>
          </w:p>
        </w:tc>
      </w:tr>
      <w:tr>
        <w:trPr>
          <w:trHeight w:val="296"/>
        </w:trPr>
        <w:tc>
          <w:tcPr>
            <w:tcW w:w="148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Section 906</w:t>
            </w: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of the Sarbanes-Oxley Act of 2002.</w:t>
            </w:r>
          </w:p>
        </w:tc>
        <w:tc>
          <w:tcPr>
            <w:tcW w:w="132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53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8"/>
              </w:rPr>
              <w:t>Certification of the Chief Financial Officer 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the Company</w:t>
            </w:r>
          </w:p>
        </w:tc>
      </w:tr>
      <w:tr>
        <w:trPr>
          <w:trHeight w:val="203"/>
        </w:trPr>
        <w:tc>
          <w:tcPr>
            <w:tcW w:w="1480" w:type="dxa"/>
            <w:vAlign w:val="bottom"/>
          </w:tcPr>
          <w:p>
            <w:pPr>
              <w:spacing w:after="0"/>
              <w:rPr>
                <w:sz w:val="17"/>
                <w:szCs w:val="17"/>
                <w:color w:val="auto"/>
              </w:rPr>
            </w:pPr>
          </w:p>
        </w:tc>
        <w:tc>
          <w:tcPr>
            <w:tcW w:w="1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pursuant to 18</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U.S.C. Section 1350, as adopted pursuant to</w:t>
            </w:r>
          </w:p>
        </w:tc>
      </w:tr>
      <w:tr>
        <w:trPr>
          <w:trHeight w:val="296"/>
        </w:trPr>
        <w:tc>
          <w:tcPr>
            <w:tcW w:w="148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Section 906 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the Sarbanes-Oxley Act of 2002.</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5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CASUAL MALE RETAIL GROUP, INC.</w:t>
      </w:r>
    </w:p>
    <w:p>
      <w:pPr>
        <w:spacing w:after="0" w:line="29"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Dennis R. Hernreich</w:t>
      </w: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454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280"/>
        <w:spacing w:after="0"/>
        <w:rPr>
          <w:sz w:val="20"/>
          <w:szCs w:val="20"/>
          <w:color w:val="auto"/>
        </w:rPr>
      </w:pPr>
      <w:r>
        <w:rPr>
          <w:rFonts w:ascii="Courier New" w:cs="Courier New" w:eastAsia="Courier New" w:hAnsi="Courier New"/>
          <w:sz w:val="18"/>
          <w:szCs w:val="18"/>
          <w:color w:val="auto"/>
        </w:rPr>
        <w:t>and Chief Financial Officer</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2002</w:t>
      </w:r>
    </w:p>
    <w:p>
      <w:pPr>
        <w:sectPr>
          <w:pgSz w:w="11900" w:h="16838" w:orient="portrait"/>
          <w:cols w:equalWidth="0" w:num="1">
            <w:col w:w="10219"/>
          </w:cols>
          <w:pgMar w:left="240" w:top="1440"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CERTIFICATION PURSUANT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99.1</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18 U.S.C. SECTION 1350,</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AS ADOPTED PURSUANT TO</w:t>
      </w:r>
    </w:p>
    <w:p>
      <w:pPr>
        <w:ind w:left="17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8"/>
          <w:szCs w:val="18"/>
          <w:color w:val="auto"/>
        </w:rPr>
        <w:t>In connection with the Quarterly Report of Casual Male Retail Group, Inc. (the "Company") on Form 10-Q for the quarterly period ended November 2, 2002 as filed with the Securities and Exchange Commission on the date hereof (the "Report"), I, David A. Levin, Chief Executive Officer of the Company, certify to the best of my knowledge, pursuant to 18 U.S.C. ss.1350, as adopted pursuant to ss.906 of the Sarbanes-Oxley Act of 2002, that:</w:t>
      </w:r>
    </w:p>
    <w:p>
      <w:pPr>
        <w:spacing w:after="0" w:line="98" w:lineRule="exact"/>
        <w:rPr>
          <w:sz w:val="20"/>
          <w:szCs w:val="20"/>
          <w:color w:val="auto"/>
        </w:rPr>
      </w:pPr>
    </w:p>
    <w:p>
      <w:pPr>
        <w:ind w:right="2619" w:firstLine="8"/>
        <w:spacing w:after="0" w:line="34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right="2739" w:firstLine="8"/>
        <w:spacing w:after="0" w:line="292"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A. LEVIN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David A. Levin</w:t>
      </w:r>
    </w:p>
    <w:p>
      <w:pPr>
        <w:ind w:left="4440"/>
        <w:spacing w:after="0"/>
        <w:rPr>
          <w:sz w:val="20"/>
          <w:szCs w:val="20"/>
          <w:color w:val="auto"/>
        </w:rPr>
      </w:pPr>
      <w:r>
        <w:rPr>
          <w:rFonts w:ascii="Courier New" w:cs="Courier New" w:eastAsia="Courier New" w:hAnsi="Courier New"/>
          <w:sz w:val="18"/>
          <w:szCs w:val="18"/>
          <w:color w:val="auto"/>
        </w:rPr>
        <w:t>Chief Executive Officer</w:t>
      </w:r>
    </w:p>
    <w:p>
      <w:pPr>
        <w:ind w:left="4320"/>
        <w:spacing w:after="0"/>
        <w:rPr>
          <w:sz w:val="20"/>
          <w:szCs w:val="20"/>
          <w:color w:val="auto"/>
        </w:rPr>
      </w:pPr>
      <w:r>
        <w:rPr>
          <w:rFonts w:ascii="Courier New" w:cs="Courier New" w:eastAsia="Courier New" w:hAnsi="Courier New"/>
          <w:sz w:val="18"/>
          <w:szCs w:val="18"/>
          <w:color w:val="auto"/>
        </w:rPr>
        <w:t>(Principal Executive Officer)</w:t>
      </w:r>
    </w:p>
    <w:p>
      <w:pPr>
        <w:spacing w:after="0" w:line="169" w:lineRule="exact"/>
        <w:rPr>
          <w:sz w:val="20"/>
          <w:szCs w:val="20"/>
          <w:color w:val="auto"/>
        </w:rPr>
      </w:pPr>
    </w:p>
    <w:p>
      <w:pPr>
        <w:ind w:right="2739"/>
        <w:spacing w:after="0" w:line="318" w:lineRule="auto"/>
        <w:rPr>
          <w:sz w:val="20"/>
          <w:szCs w:val="20"/>
          <w:color w:val="auto"/>
        </w:rPr>
      </w:pPr>
      <w:r>
        <w:rPr>
          <w:rFonts w:ascii="Courier New" w:cs="Courier New" w:eastAsia="Courier New" w:hAnsi="Courier New"/>
          <w:sz w:val="16"/>
          <w:szCs w:val="16"/>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p>
      <w:pPr>
        <w:sectPr>
          <w:pgSz w:w="11900" w:h="16838" w:orient="portrait"/>
          <w:cols w:equalWidth="0" w:num="1">
            <w:col w:w="10219"/>
          </w:cols>
          <w:pgMar w:left="240" w:top="110" w:right="1440" w:bottom="1440" w:gutter="0" w:footer="0" w:header="0"/>
        </w:sectPr>
      </w:pPr>
    </w:p>
    <w:bookmarkStart w:id="4" w:name="page5"/>
    <w:bookmarkEnd w:id="4"/>
    <w:p>
      <w:pPr>
        <w:ind w:left="602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 U.S.C. SECTION 1350,</w:t>
      </w:r>
    </w:p>
    <w:p>
      <w:pPr>
        <w:ind w:left="3280"/>
        <w:spacing w:after="0" w:line="238" w:lineRule="auto"/>
        <w:rPr>
          <w:sz w:val="20"/>
          <w:szCs w:val="20"/>
          <w:color w:val="auto"/>
        </w:rPr>
      </w:pPr>
      <w:r>
        <w:rPr>
          <w:rFonts w:ascii="Courier New" w:cs="Courier New" w:eastAsia="Courier New" w:hAnsi="Courier New"/>
          <w:sz w:val="18"/>
          <w:szCs w:val="18"/>
          <w:color w:val="auto"/>
        </w:rPr>
        <w:t>AS ADOPTED PURSUANT TO</w:t>
      </w:r>
    </w:p>
    <w:p>
      <w:pPr>
        <w:ind w:left="212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8"/>
          <w:szCs w:val="18"/>
          <w:color w:val="auto"/>
        </w:rPr>
        <w:t>In connection with the Quarterly Report of Casual Male Retail Group, Inc. (the "Company") on Form 10-Q for the quarterly period ended November 2, 2002 as filed with the Securities and Exchange Commission on the date hereof (the "Report"), I, Dennis R. Hernreich, Chief Financial Officer of the Company, certify to the best of my knowledge, pursuant to 18 U.S.C. ss.1350, as adopted pursuant to ss.906 of the Sarbanes-Oxley Act of 2002, that:</w:t>
      </w:r>
    </w:p>
    <w:p>
      <w:pPr>
        <w:spacing w:after="0" w:line="98" w:lineRule="exact"/>
        <w:rPr>
          <w:sz w:val="20"/>
          <w:szCs w:val="20"/>
          <w:color w:val="auto"/>
        </w:rPr>
      </w:pPr>
    </w:p>
    <w:p>
      <w:pPr>
        <w:ind w:right="2619" w:firstLine="8"/>
        <w:spacing w:after="0" w:line="34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right="2739" w:firstLine="8"/>
        <w:spacing w:after="0" w:line="292"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DENNIS R. HERNREICH</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Dennis R. Hernreich</w:t>
      </w:r>
    </w:p>
    <w:p>
      <w:pPr>
        <w:ind w:left="2960"/>
        <w:spacing w:after="0" w:line="238" w:lineRule="auto"/>
        <w:rPr>
          <w:sz w:val="20"/>
          <w:szCs w:val="20"/>
          <w:color w:val="auto"/>
        </w:rPr>
      </w:pPr>
      <w:r>
        <w:rPr>
          <w:rFonts w:ascii="Courier New" w:cs="Courier New" w:eastAsia="Courier New" w:hAnsi="Courier New"/>
          <w:sz w:val="18"/>
          <w:szCs w:val="18"/>
          <w:color w:val="auto"/>
        </w:rPr>
        <w:t>Chief Financial Officer</w:t>
      </w:r>
    </w:p>
    <w:p>
      <w:pPr>
        <w:jc w:val="center"/>
        <w:ind w:right="-120"/>
        <w:spacing w:after="0"/>
        <w:rPr>
          <w:sz w:val="20"/>
          <w:szCs w:val="20"/>
          <w:color w:val="auto"/>
        </w:rPr>
      </w:pPr>
      <w:r>
        <w:rPr>
          <w:rFonts w:ascii="Courier New" w:cs="Courier New" w:eastAsia="Courier New" w:hAnsi="Courier New"/>
          <w:sz w:val="18"/>
          <w:szCs w:val="18"/>
          <w:color w:val="auto"/>
        </w:rPr>
        <w:t>(Principal Financial and Accounting Officer)</w:t>
      </w:r>
    </w:p>
    <w:p>
      <w:pPr>
        <w:spacing w:after="0" w:line="372" w:lineRule="exact"/>
        <w:rPr>
          <w:sz w:val="20"/>
          <w:szCs w:val="20"/>
          <w:color w:val="auto"/>
        </w:rPr>
      </w:pPr>
    </w:p>
    <w:p>
      <w:pPr>
        <w:ind w:right="2739"/>
        <w:spacing w:after="0" w:line="318" w:lineRule="auto"/>
        <w:rPr>
          <w:sz w:val="20"/>
          <w:szCs w:val="20"/>
          <w:color w:val="auto"/>
        </w:rPr>
      </w:pPr>
      <w:r>
        <w:rPr>
          <w:rFonts w:ascii="Courier New" w:cs="Courier New" w:eastAsia="Courier New" w:hAnsi="Courier New"/>
          <w:sz w:val="16"/>
          <w:szCs w:val="16"/>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78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2019-12-19T22:10:33Z</dcterms:created>
  <dcterms:modified xsi:type="dcterms:W3CDTF">2019-12-19T22:10:33Z</dcterms:modified>
</cp:coreProperties>
</file>