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MESDAG WILLEM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60"/>
        <w:spacing w:after="0" w:line="292" w:lineRule="auto"/>
        <w:rPr>
          <w:sz w:val="20"/>
          <w:szCs w:val="20"/>
          <w:color w:val="auto"/>
        </w:rPr>
      </w:pPr>
      <w:r>
        <w:rPr>
          <w:rFonts w:ascii="Arial" w:cs="Arial" w:eastAsia="Arial" w:hAnsi="Arial"/>
          <w:sz w:val="17"/>
          <w:szCs w:val="17"/>
          <w:color w:val="0000FF"/>
        </w:rPr>
        <w:t>C/O RED MOUNTAIN CAPITAL MANAGEMENT,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1999 AVENUE OF THE STARS, STE 1100</w:t>
      </w:r>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40" w:type="dxa"/>
            <w:vAlign w:val="bottom"/>
          </w:tcPr>
          <w:p>
            <w:pPr>
              <w:ind w:left="40"/>
              <w:spacing w:after="0"/>
              <w:rPr>
                <w:sz w:val="20"/>
                <w:szCs w:val="20"/>
                <w:color w:val="auto"/>
              </w:rPr>
            </w:pPr>
            <w:r>
              <w:rPr>
                <w:rFonts w:ascii="Arial" w:cs="Arial" w:eastAsia="Arial" w:hAnsi="Arial"/>
                <w:sz w:val="17"/>
                <w:szCs w:val="17"/>
                <w:color w:val="0000FF"/>
              </w:rPr>
              <w:t>LOS</w:t>
            </w:r>
          </w:p>
        </w:tc>
        <w:tc>
          <w:tcPr>
            <w:tcW w:w="96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0000FF"/>
              </w:rPr>
              <w:t>90067</w:t>
            </w:r>
          </w:p>
        </w:tc>
        <w:tc>
          <w:tcPr>
            <w:tcW w:w="0" w:type="dxa"/>
            <w:vAlign w:val="bottom"/>
          </w:tcPr>
          <w:p>
            <w:pPr>
              <w:spacing w:after="0"/>
              <w:rPr>
                <w:sz w:val="1"/>
                <w:szCs w:val="1"/>
                <w:color w:val="auto"/>
              </w:rPr>
            </w:pPr>
          </w:p>
        </w:tc>
      </w:tr>
      <w:tr>
        <w:trPr>
          <w:trHeight w:val="114"/>
        </w:trPr>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ANGELES</w:t>
            </w: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09/14/2021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53" w:orient="portrait"/>
          <w:cols w:equalWidth="0" w:num="2">
            <w:col w:w="3200" w:space="640"/>
            <w:col w:w="7240"/>
          </w:cols>
          <w:pgMar w:left="460" w:top="225" w:right="359" w:bottom="0" w:gutter="0" w:footer="0" w:header="0"/>
          <w:type w:val="continuous"/>
        </w:sectPr>
      </w:pPr>
    </w:p>
    <w:p>
      <w:pPr>
        <w:spacing w:after="0" w:line="7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20" w:type="dxa"/>
            <w:vAlign w:val="bottom"/>
            <w:gridSpan w:val="7"/>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gridSpan w:val="2"/>
            <w:vMerge w:val="restart"/>
          </w:tcPr>
          <w:p>
            <w:pPr>
              <w:ind w:left="340"/>
              <w:spacing w:after="0"/>
              <w:rPr>
                <w:sz w:val="20"/>
                <w:szCs w:val="20"/>
                <w:color w:val="auto"/>
              </w:rPr>
            </w:pPr>
            <w:r>
              <w:rPr>
                <w:rFonts w:ascii="Arial" w:cs="Arial" w:eastAsia="Arial" w:hAnsi="Arial"/>
                <w:sz w:val="17"/>
                <w:szCs w:val="17"/>
                <w:color w:val="0000FF"/>
                <w:w w:val="91"/>
              </w:rPr>
              <w:t>09/14/2021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7"/>
                <w:szCs w:val="17"/>
                <w:color w:val="0000FF"/>
                <w:w w:val="97"/>
              </w:rPr>
              <w:t>5,733,076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2000" w:type="dxa"/>
            <w:vAlign w:val="bottom"/>
            <w:gridSpan w:val="5"/>
            <w:vMerge w:val="restart"/>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5.8347</w:t>
            </w:r>
            <w:r>
              <w:rPr>
                <w:rFonts w:ascii="Arial" w:cs="Arial" w:eastAsia="Arial" w:hAnsi="Arial"/>
                <w:sz w:val="22"/>
                <w:szCs w:val="22"/>
                <w:color w:val="008000"/>
                <w:vertAlign w:val="superscript"/>
              </w:rPr>
              <w:t>(1)</w:t>
            </w:r>
            <w:r>
              <w:rPr>
                <w:rFonts w:ascii="Arial" w:cs="Arial" w:eastAsia="Arial" w:hAnsi="Arial"/>
                <w:sz w:val="17"/>
                <w:szCs w:val="17"/>
                <w:color w:val="auto"/>
              </w:rPr>
              <w:t xml:space="preserve">     </w:t>
            </w:r>
            <w:r>
              <w:rPr>
                <w:rFonts w:ascii="Arial" w:cs="Arial" w:eastAsia="Arial" w:hAnsi="Arial"/>
                <w:sz w:val="17"/>
                <w:szCs w:val="17"/>
                <w:color w:val="0000FF"/>
              </w:rPr>
              <w:t>3,058,961</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gridSpan w:val="2"/>
            <w:vMerge w:val="restart"/>
          </w:tcPr>
          <w:p>
            <w:pPr>
              <w:ind w:left="340"/>
              <w:spacing w:after="0"/>
              <w:rPr>
                <w:sz w:val="20"/>
                <w:szCs w:val="20"/>
                <w:color w:val="auto"/>
              </w:rPr>
            </w:pPr>
            <w:r>
              <w:rPr>
                <w:rFonts w:ascii="Arial" w:cs="Arial" w:eastAsia="Arial" w:hAnsi="Arial"/>
                <w:sz w:val="17"/>
                <w:szCs w:val="17"/>
                <w:color w:val="0000FF"/>
                <w:w w:val="91"/>
              </w:rPr>
              <w:t>09/15/2021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3"/>
                <w:szCs w:val="13"/>
                <w:color w:val="0000FF"/>
                <w:w w:val="91"/>
              </w:rPr>
              <w:t>J</w:t>
            </w:r>
          </w:p>
        </w:tc>
        <w:tc>
          <w:tcPr>
            <w:tcW w:w="520" w:type="dxa"/>
            <w:vAlign w:val="bottom"/>
          </w:tcPr>
          <w:p>
            <w:pPr>
              <w:spacing w:after="0"/>
              <w:rPr>
                <w:sz w:val="22"/>
                <w:szCs w:val="22"/>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7"/>
                <w:szCs w:val="17"/>
                <w:color w:val="0000FF"/>
              </w:rPr>
              <w:t>528,409</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700" w:type="dxa"/>
            <w:vAlign w:val="bottom"/>
            <w:gridSpan w:val="2"/>
            <w:vMerge w:val="restart"/>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r>
              <w:rPr>
                <w:rFonts w:ascii="Arial" w:cs="Arial" w:eastAsia="Arial" w:hAnsi="Arial"/>
                <w:sz w:val="22"/>
                <w:szCs w:val="22"/>
                <w:color w:val="008000"/>
                <w:w w:val="89"/>
                <w:vertAlign w:val="superscript"/>
              </w:rPr>
              <w:t>(3)</w:t>
            </w:r>
          </w:p>
        </w:tc>
        <w:tc>
          <w:tcPr>
            <w:tcW w:w="13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2,530,552</w:t>
            </w:r>
            <w:r>
              <w:rPr>
                <w:rFonts w:ascii="Arial" w:cs="Arial" w:eastAsia="Arial" w:hAnsi="Arial"/>
                <w:sz w:val="22"/>
                <w:szCs w:val="22"/>
                <w:color w:val="008000"/>
                <w:vertAlign w:val="superscript"/>
              </w:rPr>
              <w:t>(4)</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00" w:type="dxa"/>
            <w:vAlign w:val="bottom"/>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1999 AVENUE OF THE STARS, STE 1100</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RED MOUNTAIN CAPITAL PARTNERS LLC</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1999 AVENUE OF THE STARS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1100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RED MOUNTAIN CAPITAL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534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5343525"/>
                    </a:xfrm>
                    <a:prstGeom prst="rect">
                      <a:avLst/>
                    </a:prstGeom>
                    <a:noFill/>
                  </pic:spPr>
                </pic:pic>
              </a:graphicData>
            </a:graphic>
          </wp:anchor>
        </w:drawing>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MANAGEMENT INC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380" w:type="dxa"/>
            <w:vAlign w:val="bottom"/>
            <w:tcBorders>
              <w:bottom w:val="single" w:sz="8" w:color="0000EE"/>
            </w:tcBorders>
          </w:tcPr>
          <w:p>
            <w:pPr>
              <w:spacing w:after="0" w:line="221" w:lineRule="exact"/>
              <w:rPr>
                <w:rFonts w:ascii="Arial" w:cs="Arial" w:eastAsia="Arial" w:hAnsi="Arial"/>
                <w:sz w:val="21"/>
                <w:szCs w:val="21"/>
                <w:color w:val="0000EE"/>
                <w:w w:val="95"/>
              </w:rPr>
            </w:pPr>
            <w:hyperlink r:id="rId19">
              <w:r>
                <w:rPr>
                  <w:rFonts w:ascii="Arial" w:cs="Arial" w:eastAsia="Arial" w:hAnsi="Arial"/>
                  <w:sz w:val="21"/>
                  <w:szCs w:val="21"/>
                  <w:color w:val="0000EE"/>
                  <w:w w:val="95"/>
                </w:rPr>
                <w:t>RMCP GP LLC</w:t>
              </w:r>
            </w:hyperlink>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RED MOUNTAIN PARTNERS,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1999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1100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$6.10 public offering price less the underwriting discount for shares sold pursuant to an underwriting agreement dated September 9, 2021.</w:t>
      </w:r>
    </w:p>
    <w:p>
      <w:pPr>
        <w:spacing w:after="0" w:line="50" w:lineRule="exact"/>
        <w:rPr>
          <w:rFonts w:ascii="Arial" w:cs="Arial" w:eastAsia="Arial" w:hAnsi="Arial"/>
          <w:sz w:val="13"/>
          <w:szCs w:val="13"/>
          <w:color w:val="008000"/>
        </w:rPr>
      </w:pPr>
    </w:p>
    <w:p>
      <w:pPr>
        <w:ind w:left="20" w:firstLine="7"/>
        <w:spacing w:after="0" w:line="25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1,260,869 of these shares are held directly by Red Mountain Partners, L.P. ("RMP") and the remaining 1,269,683 shares are held directly by Red Mountain Capital Partners LLC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w:t>
      </w:r>
    </w:p>
    <w:p>
      <w:pPr>
        <w:spacing w:after="0" w:line="1"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RMCP LLC.</w:t>
      </w:r>
    </w:p>
    <w:p>
      <w:pPr>
        <w:spacing w:after="0" w:line="40"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15, 2021, RMP made a distribution in-kind for no consideration to its equity holders.</w:t>
      </w:r>
    </w:p>
    <w:p>
      <w:pPr>
        <w:spacing w:after="0" w:line="50" w:lineRule="exact"/>
        <w:rPr>
          <w:rFonts w:ascii="Arial" w:cs="Arial" w:eastAsia="Arial" w:hAnsi="Arial"/>
          <w:sz w:val="13"/>
          <w:szCs w:val="13"/>
          <w:color w:val="008000"/>
        </w:rPr>
      </w:pPr>
    </w:p>
    <w:p>
      <w:pPr>
        <w:ind w:left="20" w:righ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received by RMCP and RMCM and certain estate planning vehicles affiliated with Mr. Mesdag in the above-referenced in-kind distribution pursuant to the exemption afforded by Rules 16a-13 and 16a-9 of the Securities Exchange Act of 1934, as amended (the "Exchange Act").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0"/>
        <w:spacing w:after="0" w:line="245" w:lineRule="auto"/>
        <w:rPr>
          <w:sz w:val="20"/>
          <w:szCs w:val="20"/>
          <w:color w:val="auto"/>
        </w:rPr>
      </w:pPr>
      <w:r>
        <w:rPr>
          <w:rFonts w:ascii="Arial" w:cs="Arial" w:eastAsia="Arial" w:hAnsi="Arial"/>
          <w:sz w:val="13"/>
          <w:szCs w:val="13"/>
          <w:color w:val="008000"/>
        </w:rPr>
        <w:t>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 This filing constitutes an exit filing for the reporting persons other than Mr. Mesdag as the reporting persons (other than Mr. Mesdag) are no longer subject to Section 16 of the Exchange Act as a result of the transactions reported herein.</w:t>
      </w: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6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09/16/2021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606"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2021-09-16T16:23:59Z</dcterms:created>
  <dcterms:modified xsi:type="dcterms:W3CDTF">2021-09-16T16:23:59Z</dcterms:modified>
</cp:coreProperties>
</file>