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On August 17, 2017, Destination XL Group, Inc. (the “Company”) entered into a Temporary Consulting Agreement (the “Agreement”) with Oliver Walsh, a director of the Company. Pursuant to the Agreement, Mr. Walsh will serve as the Company’s Interim Chief Marketing Officer through the Fall and Holiday selling seasons, while the Company searches for a new Chief Marketing Officer.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As compensation for his services, Mr. Walsh is entitled to receive compensation at a rate of $7,000 per week plus reimbursement for all business and travel expenses. Because of the related party relationship, the Agreement was approved by the Company’s Audit Committee. The foregoing description is qualified in its entirety by reference to the Agreement, which is attached hereto as Exhibit 10.1 to this Current Report on Form 8-K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520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1200" w:type="dxa"/>
            <w:vAlign w:val="bottom"/>
          </w:tcPr>
          <w:p>
            <w:pPr>
              <w:spacing w:after="0"/>
              <w:rPr>
                <w:sz w:val="24"/>
                <w:szCs w:val="24"/>
                <w:color w:val="auto"/>
              </w:rPr>
            </w:pPr>
          </w:p>
        </w:tc>
        <w:tc>
          <w:tcPr>
            <w:tcW w:w="6860" w:type="dxa"/>
            <w:vAlign w:val="bottom"/>
            <w:gridSpan w:val="3"/>
          </w:tcPr>
          <w:p>
            <w:pPr>
              <w:ind w:left="300"/>
              <w:spacing w:after="0"/>
              <w:rPr>
                <w:sz w:val="20"/>
                <w:szCs w:val="20"/>
                <w:color w:val="auto"/>
              </w:rPr>
            </w:pPr>
            <w:r>
              <w:rPr>
                <w:rFonts w:ascii="Arial" w:cs="Arial" w:eastAsia="Arial" w:hAnsi="Arial"/>
                <w:sz w:val="22"/>
                <w:szCs w:val="22"/>
                <w:color w:val="auto"/>
                <w:w w:val="88"/>
              </w:rPr>
              <w:t>Temporary Consulting Agreement between the Company and Oliver Walsh.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55" w:right="4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23,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TEMPORARY CONSULTING AGREEMENT</w:t>
      </w:r>
    </w:p>
    <w:p>
      <w:pPr>
        <w:spacing w:after="0" w:line="200" w:lineRule="exact"/>
        <w:rPr>
          <w:sz w:val="20"/>
          <w:szCs w:val="20"/>
          <w:color w:val="auto"/>
        </w:rPr>
      </w:pPr>
    </w:p>
    <w:p>
      <w:pPr>
        <w:spacing w:after="0" w:line="276" w:lineRule="exact"/>
        <w:rPr>
          <w:sz w:val="20"/>
          <w:szCs w:val="20"/>
          <w:color w:val="auto"/>
        </w:rPr>
      </w:pPr>
    </w:p>
    <w:p>
      <w:pPr>
        <w:ind w:right="220" w:firstLine="162"/>
        <w:spacing w:after="0" w:line="238" w:lineRule="auto"/>
        <w:rPr>
          <w:sz w:val="20"/>
          <w:szCs w:val="20"/>
          <w:color w:val="auto"/>
        </w:rPr>
      </w:pPr>
      <w:r>
        <w:rPr>
          <w:rFonts w:ascii="Arial" w:cs="Arial" w:eastAsia="Arial" w:hAnsi="Arial"/>
          <w:sz w:val="22"/>
          <w:szCs w:val="22"/>
          <w:color w:val="auto"/>
        </w:rPr>
        <w:t>This Temporary Consulting Agreement (this "Agreement") is effective as of August 14, 2017 (the "Effective Date"), by and between Destination XL Group, Inc., a Delaware corporation (the "Company"), with its principal executive offices located at 555 Turnpike Street, Canton, Massachusetts 02021, and Oliver Walsh (the "Consultant"), having an address of 4291 West 9</w:t>
      </w:r>
      <w:r>
        <w:rPr>
          <w:rFonts w:ascii="Arial" w:cs="Arial" w:eastAsia="Arial" w:hAnsi="Arial"/>
          <w:sz w:val="18"/>
          <w:szCs w:val="18"/>
          <w:color w:val="auto"/>
        </w:rPr>
        <w:t>th</w:t>
      </w:r>
      <w:r>
        <w:rPr>
          <w:rFonts w:ascii="Arial" w:cs="Arial" w:eastAsia="Arial" w:hAnsi="Arial"/>
          <w:sz w:val="22"/>
          <w:szCs w:val="22"/>
          <w:color w:val="auto"/>
        </w:rPr>
        <w:t xml:space="preserve"> Avenue, Vancouver, British Columbia, Canada V6R 2C6.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33" w:lineRule="exact"/>
        <w:rPr>
          <w:sz w:val="20"/>
          <w:szCs w:val="20"/>
          <w:color w:val="auto"/>
        </w:rPr>
      </w:pPr>
    </w:p>
    <w:p>
      <w:pPr>
        <w:ind w:right="280" w:firstLine="527"/>
        <w:spacing w:after="0"/>
        <w:rPr>
          <w:sz w:val="20"/>
          <w:szCs w:val="20"/>
          <w:color w:val="auto"/>
        </w:rPr>
      </w:pPr>
      <w:r>
        <w:rPr>
          <w:rFonts w:ascii="Arial" w:cs="Arial" w:eastAsia="Arial" w:hAnsi="Arial"/>
          <w:sz w:val="22"/>
          <w:szCs w:val="22"/>
          <w:color w:val="auto"/>
        </w:rPr>
        <w:t>WHEREAS, the Consultant has agreed to offer his consultancy services to assist the Company during the Fall and Holiday marketing campaign and to serve as the Interim Chief Marketing Officer while the Company performs a search for a new Chief Marketing Officer;</w:t>
      </w:r>
    </w:p>
    <w:p>
      <w:pPr>
        <w:spacing w:after="0" w:line="213" w:lineRule="exact"/>
        <w:rPr>
          <w:sz w:val="20"/>
          <w:szCs w:val="20"/>
          <w:color w:val="auto"/>
        </w:rPr>
      </w:pPr>
    </w:p>
    <w:p>
      <w:pPr>
        <w:ind w:right="3940" w:firstLine="512"/>
        <w:spacing w:after="0" w:line="328" w:lineRule="auto"/>
        <w:rPr>
          <w:sz w:val="20"/>
          <w:szCs w:val="20"/>
          <w:color w:val="auto"/>
        </w:rPr>
      </w:pPr>
      <w:r>
        <w:rPr>
          <w:rFonts w:ascii="Arial" w:cs="Arial" w:eastAsia="Arial" w:hAnsi="Arial"/>
          <w:sz w:val="19"/>
          <w:szCs w:val="19"/>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1440" w:hanging="587"/>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CONSULTING SERVICES</w:t>
      </w:r>
    </w:p>
    <w:p>
      <w:pPr>
        <w:spacing w:after="0" w:line="233"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The Company hereby engages Consultant and Consultant hereby accepts such engagement, subject to the terms and conditions herein set forth. Consultant shall hold the office of Interim Chief Marketing Officer reporting to the President and Chief Executive Officer (“CEO”) with additional reporting responsibilities to the Marketing Committee of the Board of Directors of the Company.</w:t>
      </w:r>
    </w:p>
    <w:p>
      <w:pPr>
        <w:spacing w:after="0" w:line="21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TERM</w:t>
      </w:r>
    </w:p>
    <w:p>
      <w:pPr>
        <w:spacing w:after="0" w:line="23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term of the engagement (the “Term”) shall run for 19 weeks from August 14, 2017 (the "Effective Date") and shall continue until the earlier of December 18, 2017 or the Company determines that the Consultant’s duties are no longer required or the Consultant notifies the Company that he no longer wishes to provide consulting services to the Company (the "Termination Date").</w:t>
      </w:r>
    </w:p>
    <w:p>
      <w:pPr>
        <w:spacing w:after="0" w:line="212" w:lineRule="exact"/>
        <w:rPr>
          <w:sz w:val="20"/>
          <w:szCs w:val="20"/>
          <w:color w:val="auto"/>
        </w:rPr>
      </w:pPr>
    </w:p>
    <w:p>
      <w:pPr>
        <w:ind w:left="1740" w:hanging="855"/>
        <w:spacing w:after="0"/>
        <w:tabs>
          <w:tab w:leader="none" w:pos="174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p>
    <w:p>
      <w:pPr>
        <w:spacing w:after="0" w:line="233" w:lineRule="exact"/>
        <w:rPr>
          <w:rFonts w:ascii="Arial" w:cs="Arial" w:eastAsia="Arial" w:hAnsi="Arial"/>
          <w:sz w:val="22"/>
          <w:szCs w:val="22"/>
          <w:color w:val="auto"/>
        </w:rPr>
      </w:pPr>
    </w:p>
    <w:p>
      <w:pPr>
        <w:jc w:val="both"/>
        <w:ind w:firstLine="1763"/>
        <w:spacing w:after="0" w:line="236" w:lineRule="auto"/>
        <w:tabs>
          <w:tab w:leader="none" w:pos="2643" w:val="left"/>
        </w:tabs>
        <w:numPr>
          <w:ilvl w:val="1"/>
          <w:numId w:val="3"/>
        </w:numPr>
        <w:rPr>
          <w:rFonts w:ascii="Arial" w:cs="Arial" w:eastAsia="Arial" w:hAnsi="Arial"/>
          <w:sz w:val="22"/>
          <w:szCs w:val="22"/>
          <w:color w:val="auto"/>
        </w:rPr>
      </w:pPr>
      <w:r>
        <w:rPr>
          <w:rFonts w:ascii="Arial" w:cs="Arial" w:eastAsia="Arial" w:hAnsi="Arial"/>
          <w:sz w:val="22"/>
          <w:szCs w:val="22"/>
          <w:color w:val="auto"/>
        </w:rPr>
        <w:t>Subject to the provisions of this Section 3, the consideration to be furnished to the Consultant by the Company for the consulting services to be rendered by the Consultant under this Agreement shall consist of: (i) $7,000.00 per week, payable in bi-weekly installments in accordance with Company practice (except that Consultant shall not charge the Company for travel days); and (ii) the reimbursement of actual and direct out-of-pocket expenses incurred by the Consultant in the rendering of services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firstLine="1763"/>
        <w:spacing w:after="0" w:line="258" w:lineRule="auto"/>
        <w:tabs>
          <w:tab w:leader="none" w:pos="2655" w:val="left"/>
        </w:tabs>
        <w:numPr>
          <w:ilvl w:val="1"/>
          <w:numId w:val="4"/>
        </w:numPr>
        <w:rPr>
          <w:rFonts w:ascii="Arial" w:cs="Arial" w:eastAsia="Arial" w:hAnsi="Arial"/>
          <w:sz w:val="21"/>
          <w:szCs w:val="21"/>
          <w:color w:val="auto"/>
        </w:rPr>
      </w:pPr>
      <w:r>
        <w:rPr>
          <w:rFonts w:ascii="Arial" w:cs="Arial" w:eastAsia="Arial" w:hAnsi="Arial"/>
          <w:sz w:val="21"/>
          <w:szCs w:val="21"/>
          <w:color w:val="auto"/>
        </w:rPr>
        <w:t>During the Term, the Company will maintain directors and officers liability insurance coverage (which shall include consulting practices liability coverage) in a commercially reasonable amount, consistent with prior practice, to indemnify Consultant from any claims made against him in his capacity as Interim Chief Marketing Officer.</w:t>
      </w:r>
    </w:p>
    <w:p>
      <w:pPr>
        <w:spacing w:after="0" w:line="194" w:lineRule="exact"/>
        <w:rPr>
          <w:rFonts w:ascii="Arial" w:cs="Arial" w:eastAsia="Arial" w:hAnsi="Arial"/>
          <w:sz w:val="21"/>
          <w:szCs w:val="21"/>
          <w:color w:val="auto"/>
        </w:rPr>
      </w:pPr>
    </w:p>
    <w:p>
      <w:pPr>
        <w:jc w:val="both"/>
        <w:ind w:firstLine="1763"/>
        <w:spacing w:after="0" w:line="258" w:lineRule="auto"/>
        <w:tabs>
          <w:tab w:leader="none" w:pos="2643" w:val="left"/>
        </w:tabs>
        <w:numPr>
          <w:ilvl w:val="1"/>
          <w:numId w:val="4"/>
        </w:numPr>
        <w:rPr>
          <w:rFonts w:ascii="Arial" w:cs="Arial" w:eastAsia="Arial" w:hAnsi="Arial"/>
          <w:sz w:val="21"/>
          <w:szCs w:val="21"/>
          <w:color w:val="auto"/>
        </w:rPr>
      </w:pPr>
      <w:r>
        <w:rPr>
          <w:rFonts w:ascii="Arial" w:cs="Arial" w:eastAsia="Arial" w:hAnsi="Arial"/>
          <w:sz w:val="21"/>
          <w:szCs w:val="21"/>
          <w:color w:val="auto"/>
        </w:rPr>
        <w:t>It being the intent of the Company to provide maximum protection available under the law to its officers and directors, Consultant in his capacity as an officer and director of the Company shall be indemnified to the fullest extent provided under the indemnification provisions of the Company’s bylaws and certificate of incorporation.</w:t>
      </w:r>
    </w:p>
    <w:p>
      <w:pPr>
        <w:spacing w:after="0" w:line="193" w:lineRule="exact"/>
        <w:rPr>
          <w:rFonts w:ascii="Arial" w:cs="Arial" w:eastAsia="Arial" w:hAnsi="Arial"/>
          <w:sz w:val="21"/>
          <w:szCs w:val="21"/>
          <w:color w:val="auto"/>
        </w:rPr>
      </w:pPr>
    </w:p>
    <w:p>
      <w:pPr>
        <w:jc w:val="both"/>
        <w:ind w:firstLine="1763"/>
        <w:spacing w:after="0"/>
        <w:tabs>
          <w:tab w:leader="none" w:pos="2655"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 clarification, during the Term, Consultant shall not be entitled to participate in and shall not receive any other benefits customarily provided by the Company to its management employees (including any 401(k), short and long-term disability insurance, medical and dental insurance or group life insurance plans).</w:t>
      </w:r>
    </w:p>
    <w:p>
      <w:pPr>
        <w:spacing w:after="0" w:line="213" w:lineRule="exact"/>
        <w:rPr>
          <w:rFonts w:ascii="Arial" w:cs="Arial" w:eastAsia="Arial" w:hAnsi="Arial"/>
          <w:sz w:val="22"/>
          <w:szCs w:val="22"/>
          <w:color w:val="auto"/>
        </w:rPr>
      </w:pPr>
    </w:p>
    <w:p>
      <w:pPr>
        <w:ind w:left="1740" w:hanging="855"/>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33" w:lineRule="exact"/>
        <w:rPr>
          <w:sz w:val="20"/>
          <w:szCs w:val="20"/>
          <w:color w:val="auto"/>
        </w:rPr>
      </w:pPr>
    </w:p>
    <w:p>
      <w:pPr>
        <w:jc w:val="both"/>
        <w:ind w:firstLine="1049"/>
        <w:spacing w:after="0" w:line="235" w:lineRule="auto"/>
        <w:rPr>
          <w:sz w:val="20"/>
          <w:szCs w:val="20"/>
          <w:color w:val="auto"/>
        </w:rPr>
      </w:pPr>
      <w:r>
        <w:rPr>
          <w:rFonts w:ascii="Arial" w:cs="Arial" w:eastAsia="Arial" w:hAnsi="Arial"/>
          <w:sz w:val="22"/>
          <w:szCs w:val="22"/>
          <w:color w:val="auto"/>
        </w:rPr>
        <w:t>The Company shall pay or reimburse Consultant, in accordance with the Company's policies and procedures and upon presentment of suitable vouchers, for all reasonable business and travel expenses (incurred by Consultant in accordance with the Company’s travel policy), which may be incurred or paid by Consultant during his term of consulting in connection with his consulting hereunder. Consultant shall comply with such restrictions and shall keep such records as the Company may reasonably deem necessary to meet the requirements of the Internal Revenue Code of 1986, as amended from time to time, and regulations promulgated thereunder.</w:t>
      </w:r>
    </w:p>
    <w:p>
      <w:pPr>
        <w:spacing w:after="0" w:line="215" w:lineRule="exact"/>
        <w:rPr>
          <w:sz w:val="20"/>
          <w:szCs w:val="20"/>
          <w:color w:val="auto"/>
        </w:rPr>
      </w:pPr>
    </w:p>
    <w:p>
      <w:pPr>
        <w:ind w:left="1920" w:hanging="863"/>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6"/>
        </w:numPr>
        <w:rPr>
          <w:rFonts w:ascii="Arial" w:cs="Arial" w:eastAsia="Arial" w:hAnsi="Arial"/>
          <w:sz w:val="22"/>
          <w:szCs w:val="22"/>
          <w:color w:val="auto"/>
        </w:rPr>
      </w:pPr>
      <w:r>
        <w:rPr>
          <w:rFonts w:ascii="Arial" w:cs="Arial" w:eastAsia="Arial" w:hAnsi="Arial"/>
          <w:sz w:val="22"/>
          <w:szCs w:val="22"/>
          <w:color w:val="auto"/>
        </w:rPr>
        <w:t>Consultant shall perform such duties and functions consistent with the position of Chief Marketing Officer and/or as the Company shall from time to time determine and Consultant shall comply in the performance of his duties with the policies of the Company.</w:t>
      </w:r>
    </w:p>
    <w:p>
      <w:pPr>
        <w:spacing w:after="0" w:line="213" w:lineRule="exact"/>
        <w:rPr>
          <w:rFonts w:ascii="Arial" w:cs="Arial" w:eastAsia="Arial" w:hAnsi="Arial"/>
          <w:sz w:val="22"/>
          <w:szCs w:val="22"/>
          <w:color w:val="auto"/>
        </w:rPr>
      </w:pPr>
    </w:p>
    <w:p>
      <w:pPr>
        <w:jc w:val="both"/>
        <w:ind w:firstLine="1763"/>
        <w:spacing w:after="0" w:line="238" w:lineRule="auto"/>
        <w:tabs>
          <w:tab w:leader="none" w:pos="2655" w:val="left"/>
        </w:tabs>
        <w:numPr>
          <w:ilvl w:val="1"/>
          <w:numId w:val="6"/>
        </w:numPr>
        <w:rPr>
          <w:rFonts w:ascii="Arial" w:cs="Arial" w:eastAsia="Arial" w:hAnsi="Arial"/>
          <w:sz w:val="22"/>
          <w:szCs w:val="22"/>
          <w:color w:val="auto"/>
        </w:rPr>
      </w:pPr>
      <w:r>
        <w:rPr>
          <w:rFonts w:ascii="Arial" w:cs="Arial" w:eastAsia="Arial" w:hAnsi="Arial"/>
          <w:sz w:val="22"/>
          <w:szCs w:val="22"/>
          <w:color w:val="auto"/>
        </w:rPr>
        <w:t>During the Term, Consultant shall perform the duties assigned to him with fidelity and to the best of his ability. Notwithstanding anything herein to the contrary, and subject to the foregoing, Company acknowledges that Consultant may engage in other consulting activities so long as such activities do not unreasonably interfere with Consultant's performance of his duties hereunder and do not violate Section 6 hereof.</w:t>
      </w:r>
    </w:p>
    <w:p>
      <w:pPr>
        <w:spacing w:after="0" w:line="212" w:lineRule="exact"/>
        <w:rPr>
          <w:rFonts w:ascii="Arial" w:cs="Arial" w:eastAsia="Arial" w:hAnsi="Arial"/>
          <w:sz w:val="22"/>
          <w:szCs w:val="22"/>
          <w:color w:val="auto"/>
        </w:rPr>
      </w:pPr>
    </w:p>
    <w:p>
      <w:pPr>
        <w:ind w:left="2660" w:hanging="897"/>
        <w:spacing w:after="0"/>
        <w:tabs>
          <w:tab w:leader="none" w:pos="2660" w:val="left"/>
        </w:tabs>
        <w:numPr>
          <w:ilvl w:val="1"/>
          <w:numId w:val="6"/>
        </w:numPr>
        <w:rPr>
          <w:rFonts w:ascii="Arial" w:cs="Arial" w:eastAsia="Arial" w:hAnsi="Arial"/>
          <w:sz w:val="22"/>
          <w:szCs w:val="22"/>
          <w:color w:val="auto"/>
        </w:rPr>
      </w:pPr>
      <w:r>
        <w:rPr>
          <w:rFonts w:ascii="Arial" w:cs="Arial" w:eastAsia="Arial" w:hAnsi="Arial"/>
          <w:sz w:val="22"/>
          <w:szCs w:val="22"/>
          <w:color w:val="auto"/>
        </w:rPr>
        <w:t>During the Term, Consultant shall not serve on any Board committees.</w:t>
      </w:r>
    </w:p>
    <w:p>
      <w:pPr>
        <w:spacing w:after="0" w:line="233" w:lineRule="exact"/>
        <w:rPr>
          <w:rFonts w:ascii="Arial" w:cs="Arial" w:eastAsia="Arial" w:hAnsi="Arial"/>
          <w:sz w:val="22"/>
          <w:szCs w:val="22"/>
          <w:color w:val="auto"/>
        </w:rPr>
      </w:pPr>
    </w:p>
    <w:p>
      <w:pPr>
        <w:ind w:right="240" w:firstLine="1763"/>
        <w:spacing w:after="0" w:line="235" w:lineRule="auto"/>
        <w:tabs>
          <w:tab w:leader="none" w:pos="2655"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Company acknowledges that Consultant will in large part render his consulting services away from the Company’s offices in Canton, Massachusetts (“Corporate Headquarters”). The parties agree, however, that Consultant will appear at Corporate Headquarters or at such other location as may be temporarily designated from time to time by the Company at least once a month during the Term. Notwithstanding the foregoing, Consultant shall perform such services at such other locations as may be required for the proper performance of his duties hereunder, and Consultant recognizes that such duties may involve travel.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both"/>
        <w:ind w:firstLine="1763"/>
        <w:spacing w:after="0" w:line="238" w:lineRule="auto"/>
        <w:tabs>
          <w:tab w:leader="none" w:pos="2643" w:val="left"/>
        </w:tabs>
        <w:numPr>
          <w:ilvl w:val="1"/>
          <w:numId w:val="7"/>
        </w:numPr>
        <w:rPr>
          <w:rFonts w:ascii="Arial" w:cs="Arial" w:eastAsia="Arial" w:hAnsi="Arial"/>
          <w:sz w:val="22"/>
          <w:szCs w:val="22"/>
          <w:color w:val="auto"/>
        </w:rPr>
      </w:pPr>
      <w:r>
        <w:rPr>
          <w:rFonts w:ascii="Arial" w:cs="Arial" w:eastAsia="Arial" w:hAnsi="Arial"/>
          <w:sz w:val="22"/>
          <w:szCs w:val="22"/>
          <w:color w:val="auto"/>
        </w:rPr>
        <w:t>Nothing in this Section 5 or elsewhere in this Agreement shall be construed to prevent Consultant from investing or trading in nonconflicting investments as he sees fit for his own account, including real estate, stocks, bonds, securities, commodities or other forms of investments, provided such activities do not unreasonably interfere with Consultant’s performance of his duties hereunder.</w:t>
      </w:r>
    </w:p>
    <w:p>
      <w:pPr>
        <w:spacing w:after="0" w:line="212" w:lineRule="exact"/>
        <w:rPr>
          <w:rFonts w:ascii="Arial" w:cs="Arial" w:eastAsia="Arial" w:hAnsi="Arial"/>
          <w:sz w:val="22"/>
          <w:szCs w:val="22"/>
          <w:color w:val="auto"/>
        </w:rPr>
      </w:pPr>
    </w:p>
    <w:p>
      <w:pPr>
        <w:ind w:left="1220" w:hanging="240"/>
        <w:spacing w:after="0"/>
        <w:tabs>
          <w:tab w:leader="none" w:pos="122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NON-COMPETITION</w:t>
      </w:r>
    </w:p>
    <w:p>
      <w:pPr>
        <w:spacing w:after="0" w:line="233" w:lineRule="exact"/>
        <w:rPr>
          <w:sz w:val="20"/>
          <w:szCs w:val="20"/>
          <w:color w:val="auto"/>
        </w:rPr>
      </w:pPr>
    </w:p>
    <w:p>
      <w:pPr>
        <w:ind w:right="60" w:firstLine="1526"/>
        <w:spacing w:after="0" w:line="243" w:lineRule="auto"/>
        <w:rPr>
          <w:sz w:val="20"/>
          <w:szCs w:val="20"/>
          <w:color w:val="auto"/>
        </w:rPr>
      </w:pPr>
      <w:r>
        <w:rPr>
          <w:rFonts w:ascii="Arial" w:cs="Arial" w:eastAsia="Arial" w:hAnsi="Arial"/>
          <w:sz w:val="21"/>
          <w:szCs w:val="21"/>
          <w:color w:val="auto"/>
        </w:rPr>
        <w:t>(a)Consultant agrees that during the Term and during the one (1) year period immediately following the Termination Date (the "Non-Competitive Period"), Consultant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Consultant may own any securities of any corporation which is engaged in such business and is publicly owned and traded but in an amount not to exceed at any one time one percent (1%) of any class of stock or securities of such corporation. In addition, Consultant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w:t>
      </w:r>
    </w:p>
    <w:p>
      <w:pPr>
        <w:spacing w:after="0" w:line="330" w:lineRule="exact"/>
        <w:rPr>
          <w:sz w:val="20"/>
          <w:szCs w:val="20"/>
          <w:color w:val="auto"/>
        </w:rPr>
      </w:pPr>
    </w:p>
    <w:p>
      <w:pPr>
        <w:ind w:right="160" w:firstLine="885"/>
        <w:spacing w:after="0" w:line="282" w:lineRule="auto"/>
        <w:tabs>
          <w:tab w:leader="none" w:pos="1778"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Section 6 should, for any reason whatsoever, be declared invalid by a court of competent jurisdiction, the validity or enforceability of the remainder of such restrictions shall not thereby be adversely affected. For the purposes of this Section 6,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w:t>
      </w:r>
    </w:p>
    <w:p>
      <w:pPr>
        <w:spacing w:after="0" w:line="175" w:lineRule="exact"/>
        <w:rPr>
          <w:sz w:val="20"/>
          <w:szCs w:val="20"/>
          <w:color w:val="auto"/>
        </w:rPr>
      </w:pPr>
    </w:p>
    <w:p>
      <w:pPr>
        <w:ind w:left="1700" w:hanging="815"/>
        <w:spacing w:after="0"/>
        <w:tabs>
          <w:tab w:leader="none" w:pos="170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p>
    <w:p>
      <w:pPr>
        <w:spacing w:after="0" w:line="233" w:lineRule="exact"/>
        <w:rPr>
          <w:sz w:val="20"/>
          <w:szCs w:val="20"/>
          <w:color w:val="auto"/>
        </w:rPr>
      </w:pPr>
    </w:p>
    <w:p>
      <w:pPr>
        <w:ind w:right="60" w:firstLine="885"/>
        <w:spacing w:after="0" w:line="235" w:lineRule="auto"/>
        <w:tabs>
          <w:tab w:leader="none" w:pos="1765"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Consultant acknowledges that the Company possesses certain confidential and propriety information that has been or may be revealed to him or learned by Consultant during the course of Consultant’s consulting with the Company and that it would be unfair to use that information or knowledge to compete with or to otherwise disadvantage the Company. Consultant shall not, during the term of this Agreement or at any time following termination of this Agreement, directly or indirectly, disclose or permit to be known (other than as is required in the regular course of his duties (including without limitation disclosures to the Company's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9"/>
          <w:szCs w:val="19"/>
          <w:color w:val="auto"/>
        </w:rPr>
        <w:t>advisors and consultants), as required by law (in which case Consultant shall give the Company prior written notice of such required disclosure) or with the prior written consent of the Board of Directors, to any person, firm, corporation, or other entity, any confidential information acquired by him during the course of, or as an incident to, his consulting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7(a) by Consultant.</w:t>
      </w:r>
    </w:p>
    <w:p>
      <w:pPr>
        <w:spacing w:after="0" w:line="200" w:lineRule="exact"/>
        <w:rPr>
          <w:sz w:val="20"/>
          <w:szCs w:val="20"/>
          <w:color w:val="auto"/>
        </w:rPr>
      </w:pPr>
    </w:p>
    <w:p>
      <w:pPr>
        <w:spacing w:after="0" w:line="232" w:lineRule="exact"/>
        <w:rPr>
          <w:sz w:val="20"/>
          <w:szCs w:val="20"/>
          <w:color w:val="auto"/>
        </w:rPr>
      </w:pPr>
    </w:p>
    <w:p>
      <w:pPr>
        <w:ind w:right="120" w:firstLine="885"/>
        <w:spacing w:after="0" w:line="282" w:lineRule="auto"/>
        <w:tabs>
          <w:tab w:leader="none" w:pos="1778"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Consultant shall use commercially reasonable best efforts to prevent any unauthorized publication or disclosure thereof. Upon termination of Consultant's consulting with the Company, all documents, records, reports, writings and other similar documents containing confidential information, including copies thereof then in Consultant's possession or control shall be returned and left with the Company.</w:t>
      </w:r>
    </w:p>
    <w:p>
      <w:pPr>
        <w:spacing w:after="0" w:line="175" w:lineRule="exact"/>
        <w:rPr>
          <w:sz w:val="20"/>
          <w:szCs w:val="20"/>
          <w:color w:val="auto"/>
        </w:rPr>
      </w:pPr>
    </w:p>
    <w:p>
      <w:pPr>
        <w:ind w:left="1700" w:hanging="815"/>
        <w:spacing w:after="0"/>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p>
    <w:p>
      <w:pPr>
        <w:spacing w:after="0" w:line="233" w:lineRule="exact"/>
        <w:rPr>
          <w:sz w:val="20"/>
          <w:szCs w:val="20"/>
          <w:color w:val="auto"/>
        </w:rPr>
      </w:pPr>
    </w:p>
    <w:p>
      <w:pPr>
        <w:ind w:right="300" w:firstLine="877"/>
        <w:spacing w:after="0" w:line="270" w:lineRule="auto"/>
        <w:rPr>
          <w:sz w:val="20"/>
          <w:szCs w:val="20"/>
          <w:color w:val="auto"/>
        </w:rPr>
      </w:pPr>
      <w:r>
        <w:rPr>
          <w:rFonts w:ascii="Arial" w:cs="Arial" w:eastAsia="Arial" w:hAnsi="Arial"/>
          <w:sz w:val="19"/>
          <w:szCs w:val="19"/>
          <w:color w:val="auto"/>
        </w:rPr>
        <w:t>Consultant agrees that if he breaches, or threatens to commit a breach of, any enforceable provision of Sections 6 or 7 hereof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4"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Company. Notwithstanding the foregoing, nothing herein shall constitute a waiver by Consultant of his right to contest whether such a breach or threatened breach of any Restrictive Covenant has occurred. In the event of litigation between the parties to this Agreement regarding their respective rights and obligations under Sections 6 or 7 hereof, the prevailing party shall be entitled to recover from the other all attorneys’ fees and expenses reasonably incurred in obtaining a ruling in the prevailing party’s</w:t>
      </w:r>
    </w:p>
    <w:p>
      <w:pPr>
        <w:ind w:right="620"/>
        <w:spacing w:after="0" w:line="237" w:lineRule="auto"/>
        <w:rPr>
          <w:sz w:val="20"/>
          <w:szCs w:val="20"/>
          <w:color w:val="auto"/>
        </w:rPr>
      </w:pPr>
      <w:r>
        <w:rPr>
          <w:rFonts w:ascii="Arial" w:cs="Arial" w:eastAsia="Arial" w:hAnsi="Arial"/>
          <w:sz w:val="22"/>
          <w:szCs w:val="22"/>
          <w:color w:val="auto"/>
        </w:rPr>
        <w:t>favor. Any such damages, attorneys’ fees and costs shall be in addition to and not in lieu of any injunctive relief that may be available to the Company.</w:t>
      </w:r>
    </w:p>
    <w:p>
      <w:pPr>
        <w:spacing w:after="0" w:line="212" w:lineRule="exact"/>
        <w:rPr>
          <w:sz w:val="20"/>
          <w:szCs w:val="20"/>
          <w:color w:val="auto"/>
        </w:rPr>
      </w:pPr>
    </w:p>
    <w:p>
      <w:pPr>
        <w:ind w:left="1700" w:hanging="815"/>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 amendment or alteration of the terms of this Agreement shall be valid unless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made in writing and signed by both of the parties hereto.</w:t>
      </w:r>
    </w:p>
    <w:p>
      <w:pPr>
        <w:spacing w:after="0" w:line="234" w:lineRule="exact"/>
        <w:rPr>
          <w:sz w:val="20"/>
          <w:szCs w:val="20"/>
          <w:color w:val="auto"/>
        </w:rPr>
      </w:pPr>
    </w:p>
    <w:p>
      <w:pPr>
        <w:ind w:left="1800" w:hanging="915"/>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This Agreement shall be governed by, and construed and enforced in accordance</w:t>
      </w:r>
    </w:p>
    <w:p>
      <w:pPr>
        <w:spacing w:after="0" w:line="8" w:lineRule="exact"/>
        <w:rPr>
          <w:sz w:val="20"/>
          <w:szCs w:val="20"/>
          <w:color w:val="auto"/>
        </w:rPr>
      </w:pPr>
    </w:p>
    <w:p>
      <w:pPr>
        <w:ind w:right="720"/>
        <w:spacing w:after="0" w:line="256" w:lineRule="auto"/>
        <w:rPr>
          <w:sz w:val="20"/>
          <w:szCs w:val="20"/>
          <w:color w:val="auto"/>
        </w:rPr>
      </w:pPr>
      <w:r>
        <w:rPr>
          <w:rFonts w:ascii="Arial" w:cs="Arial" w:eastAsia="Arial" w:hAnsi="Arial"/>
          <w:sz w:val="21"/>
          <w:szCs w:val="21"/>
          <w:color w:val="auto"/>
        </w:rPr>
        <w:t>with the substantive laws of the Commonwealth of Massachusetts, including its statutes of limitations, without regard to its principles of conflicts of laws that would result in the application of the laws of a different jurisdiction.</w:t>
      </w:r>
    </w:p>
    <w:p>
      <w:pPr>
        <w:spacing w:after="0" w:line="196" w:lineRule="exact"/>
        <w:rPr>
          <w:sz w:val="20"/>
          <w:szCs w:val="20"/>
          <w:color w:val="auto"/>
        </w:rPr>
      </w:pPr>
    </w:p>
    <w:p>
      <w:pPr>
        <w:ind w:left="1800" w:hanging="915"/>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holding of any provision of this Agreement to be invalid or unenforceable by</w:t>
      </w:r>
    </w:p>
    <w:p>
      <w:pPr>
        <w:spacing w:after="0" w:line="238" w:lineRule="auto"/>
        <w:rPr>
          <w:sz w:val="20"/>
          <w:szCs w:val="20"/>
          <w:color w:val="auto"/>
        </w:rPr>
      </w:pPr>
      <w:r>
        <w:rPr>
          <w:rFonts w:ascii="Arial" w:cs="Arial" w:eastAsia="Arial" w:hAnsi="Arial"/>
          <w:sz w:val="22"/>
          <w:szCs w:val="22"/>
          <w:color w:val="auto"/>
        </w:rPr>
        <w:t>a court of competent jurisdiction shall not affect any other provision of this Agreement, which</w:t>
      </w:r>
    </w:p>
    <w:p>
      <w:pPr>
        <w:spacing w:after="0"/>
        <w:rPr>
          <w:sz w:val="20"/>
          <w:szCs w:val="20"/>
          <w:color w:val="auto"/>
        </w:rPr>
      </w:pPr>
      <w:r>
        <w:rPr>
          <w:rFonts w:ascii="Arial" w:cs="Arial" w:eastAsia="Arial" w:hAnsi="Arial"/>
          <w:sz w:val="22"/>
          <w:szCs w:val="22"/>
          <w:color w:val="auto"/>
        </w:rPr>
        <w:t>shall remain in full force and effect.</w:t>
      </w:r>
    </w:p>
    <w:p>
      <w:pPr>
        <w:spacing w:after="0" w:line="215" w:lineRule="exact"/>
        <w:rPr>
          <w:sz w:val="20"/>
          <w:szCs w:val="20"/>
          <w:color w:val="auto"/>
        </w:rPr>
      </w:pPr>
    </w:p>
    <w:p>
      <w:pPr>
        <w:ind w:left="1800" w:hanging="915"/>
        <w:spacing w:after="0"/>
        <w:tabs>
          <w:tab w:leader="none" w:pos="180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notices required or permitted to be given hereunder shall be sufficient if in</w:t>
      </w:r>
    </w:p>
    <w:p>
      <w:pPr>
        <w:spacing w:after="0" w:line="8"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214" w:lineRule="exact"/>
        <w:rPr>
          <w:sz w:val="20"/>
          <w:szCs w:val="20"/>
          <w:color w:val="auto"/>
        </w:rPr>
      </w:pPr>
    </w:p>
    <w:p>
      <w:pPr>
        <w:ind w:left="1800" w:hanging="915"/>
        <w:spacing w:after="0"/>
        <w:tabs>
          <w:tab w:leader="none" w:pos="180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WAIVER OR BREACH</w:t>
      </w:r>
    </w:p>
    <w:p>
      <w:pPr>
        <w:spacing w:after="0" w:line="233"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ind w:left="1800" w:hanging="915"/>
        <w:spacing w:after="0"/>
        <w:tabs>
          <w:tab w:leader="none" w:pos="180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This Agreement contains the entire agreement of the parties with respect to the</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subject matter hereof and shall be binding upon and inure to the benefit of the parties hereto and their respective legal representatives, heirs, distributors, successors and assigns and supersedes any and all prior agreements between the parties, whether oral or written.</w:t>
      </w:r>
    </w:p>
    <w:p>
      <w:pPr>
        <w:spacing w:after="0" w:line="214" w:lineRule="exact"/>
        <w:rPr>
          <w:sz w:val="20"/>
          <w:szCs w:val="20"/>
          <w:color w:val="auto"/>
        </w:rPr>
      </w:pPr>
    </w:p>
    <w:p>
      <w:pPr>
        <w:ind w:left="880" w:right="6340" w:firstLine="5"/>
        <w:spacing w:after="0" w:line="483" w:lineRule="auto"/>
        <w:tabs>
          <w:tab w:leader="none" w:pos="1798"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ind w:right="100" w:firstLine="1534"/>
        <w:spacing w:after="0"/>
        <w:tabs>
          <w:tab w:leader="none" w:pos="1874" w:val="left"/>
        </w:tabs>
        <w:numPr>
          <w:ilvl w:val="1"/>
          <w:numId w:val="20"/>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sz w:val="20"/>
          <w:szCs w:val="20"/>
          <w:color w:val="auto"/>
        </w:rPr>
      </w:pPr>
    </w:p>
    <w:p>
      <w:pPr>
        <w:ind w:right="160" w:firstLine="885"/>
        <w:spacing w:after="0" w:line="251" w:lineRule="auto"/>
        <w:tabs>
          <w:tab w:leader="none" w:pos="1183" w:val="left"/>
        </w:tabs>
        <w:numPr>
          <w:ilvl w:val="0"/>
          <w:numId w:val="21"/>
        </w:numPr>
        <w:rPr>
          <w:rFonts w:ascii="Arial" w:cs="Arial" w:eastAsia="Arial" w:hAnsi="Arial"/>
          <w:sz w:val="22"/>
          <w:szCs w:val="22"/>
          <w:color w:val="auto"/>
        </w:rPr>
      </w:pPr>
      <w:r>
        <w:rPr>
          <w:rFonts w:ascii="Arial" w:cs="Arial" w:eastAsia="Arial" w:hAnsi="Arial"/>
          <w:sz w:val="22"/>
          <w:szCs w:val="22"/>
          <w:color w:val="auto"/>
        </w:rPr>
        <w:t>“subsidiary” means any corporation or other entity in which the Company has a direct or indirect ownership interest of 50% or more of the total combined voting power of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spacing w:after="0" w:line="241" w:lineRule="auto"/>
        <w:rPr>
          <w:sz w:val="20"/>
          <w:szCs w:val="20"/>
          <w:color w:val="auto"/>
        </w:rPr>
      </w:pPr>
      <w:r>
        <w:rPr>
          <w:rFonts w:ascii="Arial" w:cs="Arial" w:eastAsia="Arial" w:hAnsi="Arial"/>
          <w:sz w:val="22"/>
          <w:szCs w:val="22"/>
          <w:color w:val="auto"/>
        </w:rPr>
        <w:t>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11" w:lineRule="exact"/>
        <w:rPr>
          <w:sz w:val="20"/>
          <w:szCs w:val="20"/>
          <w:color w:val="auto"/>
        </w:rPr>
      </w:pPr>
    </w:p>
    <w:p>
      <w:pPr>
        <w:ind w:left="1860" w:hanging="975"/>
        <w:spacing w:after="0"/>
        <w:tabs>
          <w:tab w:leader="none" w:pos="18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HEADINGS</w:t>
      </w:r>
    </w:p>
    <w:p>
      <w:pPr>
        <w:spacing w:after="0" w:line="233" w:lineRule="exact"/>
        <w:rPr>
          <w:sz w:val="20"/>
          <w:szCs w:val="20"/>
          <w:color w:val="auto"/>
        </w:rPr>
      </w:pPr>
    </w:p>
    <w:p>
      <w:pPr>
        <w:ind w:right="300" w:firstLine="877"/>
        <w:spacing w:after="0" w:line="251" w:lineRule="auto"/>
        <w:rPr>
          <w:sz w:val="20"/>
          <w:szCs w:val="20"/>
          <w:color w:val="auto"/>
        </w:rPr>
      </w:pPr>
      <w:r>
        <w:rPr>
          <w:rFonts w:ascii="Arial" w:cs="Arial" w:eastAsia="Arial" w:hAnsi="Arial"/>
          <w:sz w:val="22"/>
          <w:szCs w:val="22"/>
          <w:color w:val="auto"/>
        </w:rPr>
        <w:t>The section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ind w:left="1800" w:hanging="915"/>
        <w:spacing w:after="0"/>
        <w:tabs>
          <w:tab w:leader="none" w:pos="18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33" w:lineRule="exact"/>
        <w:rPr>
          <w:sz w:val="20"/>
          <w:szCs w:val="20"/>
          <w:color w:val="auto"/>
        </w:rPr>
      </w:pPr>
    </w:p>
    <w:p>
      <w:pPr>
        <w:jc w:val="both"/>
        <w:ind w:right="3320" w:firstLine="877"/>
        <w:spacing w:after="0" w:line="328" w:lineRule="auto"/>
        <w:rPr>
          <w:sz w:val="20"/>
          <w:szCs w:val="20"/>
          <w:color w:val="auto"/>
        </w:rPr>
      </w:pPr>
      <w:r>
        <w:rPr>
          <w:rFonts w:ascii="Arial" w:cs="Arial" w:eastAsia="Arial" w:hAnsi="Arial"/>
          <w:sz w:val="19"/>
          <w:szCs w:val="19"/>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ind w:left="1800" w:hanging="915"/>
        <w:spacing w:after="0"/>
        <w:tabs>
          <w:tab w:leader="none" w:pos="18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33" w:lineRule="exact"/>
        <w:rPr>
          <w:sz w:val="20"/>
          <w:szCs w:val="20"/>
          <w:color w:val="auto"/>
        </w:rPr>
      </w:pPr>
    </w:p>
    <w:p>
      <w:pPr>
        <w:ind w:right="3460" w:firstLine="877"/>
        <w:spacing w:after="0" w:line="297" w:lineRule="auto"/>
        <w:rPr>
          <w:sz w:val="20"/>
          <w:szCs w:val="20"/>
          <w:color w:val="auto"/>
        </w:rPr>
      </w:pPr>
      <w:r>
        <w:rPr>
          <w:rFonts w:ascii="Arial" w:cs="Arial" w:eastAsia="Arial" w:hAnsi="Arial"/>
          <w:sz w:val="19"/>
          <w:szCs w:val="19"/>
          <w:color w:val="auto"/>
        </w:rPr>
        <w:t>Except as otherwise expressly provided herein, the termination of Consultant's Services hereunder or the expiration of this Agreement shall not affect the enforceability of Sections 6 through 18 hereof, which shall survive such termination or expiration.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DESTINATION XL GROUP,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gridSpan w:val="3"/>
          </w:tcPr>
          <w:p>
            <w:pPr>
              <w:spacing w:after="0"/>
              <w:rPr>
                <w:sz w:val="20"/>
                <w:szCs w:val="20"/>
                <w:color w:val="auto"/>
              </w:rPr>
            </w:pPr>
            <w:r>
              <w:rPr>
                <w:rFonts w:ascii="Arial" w:cs="Arial" w:eastAsia="Arial" w:hAnsi="Arial"/>
                <w:sz w:val="22"/>
                <w:szCs w:val="22"/>
                <w:color w:val="auto"/>
              </w:rPr>
              <w:t>By: /s/ David A. Levin</w:t>
            </w:r>
          </w:p>
        </w:tc>
        <w:tc>
          <w:tcPr>
            <w:tcW w:w="2240" w:type="dxa"/>
            <w:vAlign w:val="bottom"/>
            <w:gridSpan w:val="3"/>
          </w:tcPr>
          <w:p>
            <w:pPr>
              <w:ind w:left="280"/>
              <w:spacing w:after="0"/>
              <w:rPr>
                <w:sz w:val="20"/>
                <w:szCs w:val="20"/>
                <w:color w:val="auto"/>
              </w:rPr>
            </w:pPr>
            <w:r>
              <w:rPr>
                <w:rFonts w:ascii="Arial" w:cs="Arial" w:eastAsia="Arial" w:hAnsi="Arial"/>
                <w:sz w:val="22"/>
                <w:szCs w:val="22"/>
                <w:color w:val="auto"/>
                <w:w w:val="88"/>
              </w:rPr>
              <w:t>Date: August 17, 2017</w:t>
            </w:r>
          </w:p>
        </w:tc>
      </w:tr>
      <w:tr>
        <w:trPr>
          <w:trHeight w:val="20"/>
        </w:trPr>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2260" w:type="dxa"/>
            <w:vAlign w:val="bottom"/>
            <w:gridSpan w:val="3"/>
          </w:tcPr>
          <w:p>
            <w:pPr>
              <w:spacing w:after="0" w:line="242" w:lineRule="exact"/>
              <w:rPr>
                <w:sz w:val="20"/>
                <w:szCs w:val="20"/>
                <w:color w:val="auto"/>
              </w:rPr>
            </w:pPr>
            <w:r>
              <w:rPr>
                <w:rFonts w:ascii="Arial" w:cs="Arial" w:eastAsia="Arial" w:hAnsi="Arial"/>
                <w:sz w:val="22"/>
                <w:szCs w:val="22"/>
                <w:color w:val="auto"/>
              </w:rPr>
              <w:t>Name: David A. Levin</w:t>
            </w:r>
          </w:p>
        </w:tc>
        <w:tc>
          <w:tcPr>
            <w:tcW w:w="8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260" w:type="dxa"/>
            <w:vAlign w:val="bottom"/>
            <w:gridSpan w:val="3"/>
          </w:tcPr>
          <w:p>
            <w:pPr>
              <w:spacing w:after="0"/>
              <w:rPr>
                <w:sz w:val="20"/>
                <w:szCs w:val="20"/>
                <w:color w:val="auto"/>
              </w:rPr>
            </w:pPr>
            <w:r>
              <w:rPr>
                <w:rFonts w:ascii="Arial" w:cs="Arial" w:eastAsia="Arial" w:hAnsi="Arial"/>
                <w:sz w:val="22"/>
                <w:szCs w:val="22"/>
                <w:color w:val="auto"/>
              </w:rPr>
              <w:t>Its: President, CEO</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CONSULTANT</w:t>
      </w:r>
    </w:p>
    <w:p>
      <w:pPr>
        <w:spacing w:after="0"/>
        <w:tabs>
          <w:tab w:leader="none" w:pos="2520" w:val="left"/>
        </w:tabs>
        <w:rPr>
          <w:sz w:val="20"/>
          <w:szCs w:val="20"/>
          <w:color w:val="auto"/>
        </w:rPr>
      </w:pPr>
      <w:r>
        <w:rPr>
          <w:rFonts w:ascii="Arial" w:cs="Arial" w:eastAsia="Arial" w:hAnsi="Arial"/>
          <w:sz w:val="22"/>
          <w:szCs w:val="22"/>
          <w:u w:val="single" w:color="auto"/>
          <w:color w:val="auto"/>
        </w:rPr>
        <w:t>/s/ Oliver Walsh</w:t>
      </w:r>
      <w:r>
        <w:rPr>
          <w:sz w:val="20"/>
          <w:szCs w:val="20"/>
          <w:color w:val="auto"/>
        </w:rPr>
        <w:tab/>
      </w:r>
      <w:r>
        <w:rPr>
          <w:rFonts w:ascii="Arial" w:cs="Arial" w:eastAsia="Arial" w:hAnsi="Arial"/>
          <w:sz w:val="19"/>
          <w:szCs w:val="19"/>
          <w:color w:val="auto"/>
        </w:rPr>
        <w:t xml:space="preserve">Date: </w:t>
      </w:r>
      <w:r>
        <w:rPr>
          <w:rFonts w:ascii="Arial" w:cs="Arial" w:eastAsia="Arial" w:hAnsi="Arial"/>
          <w:sz w:val="19"/>
          <w:szCs w:val="19"/>
          <w:u w:val="single" w:color="auto"/>
          <w:color w:val="auto"/>
        </w:rPr>
        <w:t>August 17, 2017</w:t>
      </w:r>
    </w:p>
    <w:p>
      <w:pPr>
        <w:spacing w:after="0"/>
        <w:rPr>
          <w:sz w:val="20"/>
          <w:szCs w:val="20"/>
          <w:color w:val="auto"/>
        </w:rPr>
      </w:pPr>
      <w:r>
        <w:rPr>
          <w:rFonts w:ascii="Arial" w:cs="Arial" w:eastAsia="Arial" w:hAnsi="Arial"/>
          <w:sz w:val="22"/>
          <w:szCs w:val="22"/>
          <w:color w:val="auto"/>
        </w:rPr>
        <w:t>Oliver Walsh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7</w:t>
      </w:r>
    </w:p>
    <w:sectPr>
      <w:pgSz w:w="11900" w:h="16838" w:orient="portrait"/>
      <w:cols w:equalWidth="0" w:num="1">
        <w:col w:w="11300"/>
      </w:cols>
      <w:pgMar w:left="24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lvl w:ilvl="1">
      <w:lvlJc w:val="left"/>
      <w:lvlText w:val="(%2)"/>
      <w:numFmt w:val="lowerLetter"/>
      <w:start w:val="1"/>
    </w:lvl>
  </w:abstractNum>
  <w:abstractNum w:abstractNumId="3">
    <w:nsid w:val="DED7263"/>
    <w:multiLevelType w:val="hybridMultilevel"/>
    <w:lvl w:ilvl="0">
      <w:lvlJc w:val="left"/>
      <w:lvlText w:val="%1"/>
      <w:numFmt w:val="decimal"/>
      <w:start w:val="1"/>
    </w:lvl>
    <w:lvl w:ilvl="1">
      <w:lvlJc w:val="left"/>
      <w:lvlText w:val="(%2)"/>
      <w:numFmt w:val="lowerLetter"/>
      <w:start w:val="2"/>
    </w:lvl>
  </w:abstractNum>
  <w:abstractNum w:abstractNumId="4">
    <w:nsid w:val="7FDCC233"/>
    <w:multiLevelType w:val="hybridMultilevel"/>
    <w:lvl w:ilvl="0">
      <w:lvlJc w:val="left"/>
      <w:lvlText w:val="%1."/>
      <w:numFmt w:val="decimal"/>
      <w:start w:val="4"/>
    </w:lvl>
    <w:lvl w:ilvl="1">
      <w:lvlJc w:val="left"/>
      <w:lvlText w:val="%2"/>
      <w:numFmt w:val="lowerLetter"/>
      <w:start w:val="1"/>
    </w:lvl>
  </w:abstractNum>
  <w:abstractNum w:abstractNumId="5">
    <w:nsid w:val="1BEFD79F"/>
    <w:multiLevelType w:val="hybridMultilevel"/>
    <w:lvl w:ilvl="0">
      <w:lvlJc w:val="left"/>
      <w:lvlText w:val="%1."/>
      <w:numFmt w:val="decimal"/>
      <w:start w:val="5"/>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5"/>
    </w:lvl>
  </w:abstractNum>
  <w:abstractNum w:abstractNumId="7">
    <w:nsid w:val="6B68079A"/>
    <w:multiLevelType w:val="hybridMultilevel"/>
    <w:lvl w:ilvl="0">
      <w:lvlJc w:val="left"/>
      <w:lvlText w:val="%1."/>
      <w:numFmt w:val="decimal"/>
      <w:start w:val="6"/>
    </w:lvl>
    <w:lvl w:ilvl="1">
      <w:lvlJc w:val="left"/>
      <w:lvlText w:val="%2"/>
      <w:numFmt w:val="lowerLetter"/>
      <w:start w:val="1"/>
    </w:lvl>
  </w:abstractNum>
  <w:abstractNum w:abstractNumId="8">
    <w:nsid w:val="4E6AFB66"/>
    <w:multiLevelType w:val="hybridMultilevel"/>
    <w:lvl w:ilvl="0">
      <w:lvlJc w:val="left"/>
      <w:lvlText w:val="(%1)"/>
      <w:numFmt w:val="lowerLetter"/>
      <w:start w:val="2"/>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2"/>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decimal"/>
      <w:start w:val="9"/>
    </w:lvl>
  </w:abstractNum>
  <w:abstractNum w:abstractNumId="14">
    <w:nsid w:val="257130A3"/>
    <w:multiLevelType w:val="hybridMultilevel"/>
    <w:lvl w:ilvl="0">
      <w:lvlJc w:val="left"/>
      <w:lvlText w:val="%1."/>
      <w:numFmt w:val="decimal"/>
      <w:start w:val="10"/>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decimal"/>
      <w:start w:val="12"/>
    </w:lvl>
  </w:abstractNum>
  <w:abstractNum w:abstractNumId="17">
    <w:nsid w:val="628C895D"/>
    <w:multiLevelType w:val="hybridMultilevel"/>
    <w:lvl w:ilvl="0">
      <w:lvlJc w:val="left"/>
      <w:lvlText w:val="%1."/>
      <w:numFmt w:val="decimal"/>
      <w:start w:val="13"/>
    </w:lvl>
  </w:abstractNum>
  <w:abstractNum w:abstractNumId="18">
    <w:nsid w:val="333AB105"/>
    <w:multiLevelType w:val="hybridMultilevel"/>
    <w:lvl w:ilvl="0">
      <w:lvlJc w:val="left"/>
      <w:lvlText w:val="%1."/>
      <w:numFmt w:val="decimal"/>
      <w:start w:val="14"/>
    </w:lvl>
  </w:abstractNum>
  <w:abstractNum w:abstractNumId="19">
    <w:nsid w:val="721DA317"/>
    <w:multiLevelType w:val="hybridMultilevel"/>
    <w:lvl w:ilvl="0">
      <w:lvlJc w:val="left"/>
      <w:lvlText w:val="%1."/>
      <w:numFmt w:val="decimal"/>
      <w:start w:val="15"/>
    </w:lvl>
    <w:lvl w:ilvl="1">
      <w:lvlJc w:val="left"/>
      <w:lvlText w:val="(%2)"/>
      <w:numFmt w:val="lowerLetter"/>
      <w:start w:val="1"/>
    </w:lvl>
  </w:abstractNum>
  <w:abstractNum w:abstractNumId="20">
    <w:nsid w:val="2443A858"/>
    <w:multiLevelType w:val="hybridMultilevel"/>
    <w:lvl w:ilvl="0">
      <w:lvlJc w:val="left"/>
      <w:lvlText w:val="(%1)"/>
      <w:numFmt w:val="lowerLetter"/>
      <w:start w:val="2"/>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17"/>
    </w:lvl>
  </w:abstractNum>
  <w:abstractNum w:abstractNumId="23">
    <w:nsid w:val="75A2A8D4"/>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2019-12-05T15:00:34Z</dcterms:created>
  <dcterms:modified xsi:type="dcterms:W3CDTF">2019-12-05T15:00:34Z</dcterms:modified>
</cp:coreProperties>
</file>