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SCHEDULE 14A</w:t>
      </w:r>
    </w:p>
    <w:p>
      <w:pPr>
        <w:jc w:val="center"/>
        <w:ind w:right="2313"/>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413"/>
        <w:spacing w:after="0"/>
        <w:rPr>
          <w:sz w:val="20"/>
          <w:szCs w:val="20"/>
          <w:color w:val="auto"/>
        </w:rPr>
      </w:pPr>
      <w:r>
        <w:rPr>
          <w:rFonts w:ascii="Courier New" w:cs="Courier New" w:eastAsia="Courier New" w:hAnsi="Courier New"/>
          <w:sz w:val="18"/>
          <w:szCs w:val="18"/>
          <w:color w:val="auto"/>
        </w:rPr>
        <w:t>Information Required In Proxy Statement</w:t>
      </w:r>
    </w:p>
    <w:p>
      <w:pPr>
        <w:jc w:val="center"/>
        <w:ind w:right="2313"/>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ind w:left="7" w:right="251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6" w:lineRule="exact"/>
        <w:rPr>
          <w:sz w:val="24"/>
          <w:szCs w:val="24"/>
          <w:color w:val="auto"/>
        </w:rPr>
      </w:pPr>
    </w:p>
    <w:p>
      <w:pPr>
        <w:ind w:left="7"/>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the Registrant (X)</w:t>
      </w:r>
    </w:p>
    <w:p>
      <w:pPr>
        <w:ind w:left="7"/>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7"/>
        <w:spacing w:after="0"/>
        <w:rPr>
          <w:sz w:val="20"/>
          <w:szCs w:val="20"/>
          <w:color w:val="auto"/>
        </w:rPr>
      </w:pPr>
      <w:r>
        <w:rPr>
          <w:rFonts w:ascii="Courier New" w:cs="Courier New" w:eastAsia="Courier New" w:hAnsi="Courier New"/>
          <w:sz w:val="18"/>
          <w:szCs w:val="18"/>
          <w:color w:val="auto"/>
        </w:rPr>
        <w:t>Check the appropriate box:</w:t>
      </w:r>
    </w:p>
    <w:p>
      <w:pPr>
        <w:ind w:left="7"/>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427" w:right="2199" w:hanging="420"/>
        <w:spacing w:after="0" w:line="235" w:lineRule="auto"/>
        <w:rPr>
          <w:sz w:val="20"/>
          <w:szCs w:val="20"/>
          <w:color w:val="auto"/>
        </w:rPr>
      </w:pPr>
      <w:r>
        <w:rPr>
          <w:rFonts w:ascii="Courier New" w:cs="Courier New" w:eastAsia="Courier New" w:hAnsi="Courier New"/>
          <w:sz w:val="18"/>
          <w:szCs w:val="18"/>
          <w:color w:val="auto"/>
        </w:rPr>
        <w:t>( ) Confidential, for use of the Commission Only (as permitted by Rule 14a-6(e)(2))</w:t>
      </w:r>
    </w:p>
    <w:p>
      <w:pPr>
        <w:ind w:left="7"/>
        <w:spacing w:after="0"/>
        <w:rPr>
          <w:sz w:val="20"/>
          <w:szCs w:val="20"/>
          <w:color w:val="auto"/>
        </w:rPr>
      </w:pPr>
      <w:r>
        <w:rPr>
          <w:rFonts w:ascii="Courier New" w:cs="Courier New" w:eastAsia="Courier New" w:hAnsi="Courier New"/>
          <w:sz w:val="18"/>
          <w:szCs w:val="18"/>
          <w:color w:val="auto"/>
        </w:rPr>
        <w:t>( ) Definitive Proxy Statement</w:t>
      </w:r>
    </w:p>
    <w:p>
      <w:pPr>
        <w:ind w:left="7"/>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7"/>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7"/>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TALKING POINTS FOR SHAREHOLDER SOLICITATION:</w:t>
      </w:r>
    </w:p>
    <w:p>
      <w:pPr>
        <w:spacing w:after="0" w:line="207" w:lineRule="exact"/>
        <w:rPr>
          <w:sz w:val="24"/>
          <w:szCs w:val="24"/>
          <w:color w:val="auto"/>
        </w:rPr>
      </w:pPr>
    </w:p>
    <w:p>
      <w:pPr>
        <w:ind w:left="527" w:right="2739" w:hanging="527"/>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you know, we filed our consent revocation statement on Friday, December 11.</w:t>
      </w:r>
    </w:p>
    <w:p>
      <w:pPr>
        <w:spacing w:after="0" w:line="208" w:lineRule="exact"/>
        <w:rPr>
          <w:rFonts w:ascii="Courier New" w:cs="Courier New" w:eastAsia="Courier New" w:hAnsi="Courier New"/>
          <w:sz w:val="18"/>
          <w:szCs w:val="18"/>
          <w:color w:val="auto"/>
        </w:rPr>
      </w:pPr>
    </w:p>
    <w:p>
      <w:pPr>
        <w:ind w:left="527" w:right="2839" w:hanging="527"/>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the Board of Director's response to Jewelcor's consent solicitation filed last week.</w:t>
      </w:r>
    </w:p>
    <w:p>
      <w:pPr>
        <w:spacing w:after="0" w:line="208" w:lineRule="exact"/>
        <w:rPr>
          <w:rFonts w:ascii="Courier New" w:cs="Courier New" w:eastAsia="Courier New" w:hAnsi="Courier New"/>
          <w:sz w:val="18"/>
          <w:szCs w:val="18"/>
          <w:color w:val="auto"/>
        </w:rPr>
      </w:pPr>
    </w:p>
    <w:p>
      <w:pPr>
        <w:ind w:left="527" w:right="2319" w:hanging="527"/>
        <w:spacing w:after="0" w:line="275"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Board of Directors hired Shields &amp; Company to advise the Special Committee and the Board of Directors with respect to strategic alternatives, including the possible sale of the Company, which will maximize shareholder value in the short term.</w:t>
      </w:r>
    </w:p>
    <w:p>
      <w:pPr>
        <w:spacing w:after="0" w:line="182" w:lineRule="exact"/>
        <w:rPr>
          <w:rFonts w:ascii="Courier New" w:cs="Courier New" w:eastAsia="Courier New" w:hAnsi="Courier New"/>
          <w:sz w:val="16"/>
          <w:szCs w:val="16"/>
          <w:color w:val="auto"/>
        </w:rPr>
      </w:pPr>
    </w:p>
    <w:p>
      <w:pPr>
        <w:ind w:left="527" w:right="2319" w:hanging="527"/>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Shields &amp; Company, Inc. is a Boston-based investment banking firm founded in 1991 to assist public and private companies with independent, professional financial advice in corporate finance matters. The firm has steadily grown and its range of services has expanded and been applied to numerous companies in the New England area. Shields and Company has maintained a working relationship with Designs, Inc. since 1993.</w:t>
      </w:r>
    </w:p>
    <w:p>
      <w:pPr>
        <w:spacing w:after="0" w:line="211" w:lineRule="exact"/>
        <w:rPr>
          <w:rFonts w:ascii="Courier New" w:cs="Courier New" w:eastAsia="Courier New" w:hAnsi="Courier New"/>
          <w:sz w:val="18"/>
          <w:szCs w:val="18"/>
          <w:color w:val="auto"/>
        </w:rPr>
      </w:pPr>
    </w:p>
    <w:p>
      <w:pPr>
        <w:ind w:left="527"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SHIELDS, MANAGING DIRECTOR AB HARVARD COLLEGE</w:t>
      </w:r>
    </w:p>
    <w:p>
      <w:pPr>
        <w:spacing w:after="0" w:line="1" w:lineRule="exact"/>
        <w:rPr>
          <w:rFonts w:ascii="Courier New" w:cs="Courier New" w:eastAsia="Courier New" w:hAnsi="Courier New"/>
          <w:sz w:val="18"/>
          <w:szCs w:val="18"/>
          <w:color w:val="auto"/>
        </w:rPr>
      </w:pP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7" w:lineRule="exact"/>
        <w:rPr>
          <w:rFonts w:ascii="Courier New" w:cs="Courier New" w:eastAsia="Courier New" w:hAnsi="Courier New"/>
          <w:sz w:val="18"/>
          <w:szCs w:val="18"/>
          <w:color w:val="auto"/>
        </w:rPr>
      </w:pPr>
    </w:p>
    <w:p>
      <w:pPr>
        <w:ind w:left="527"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co-founding Shields &amp; Company, Inc. in 1991, Mr. Shields was a Managing Director of Bear Stearns &amp; Co. As manager of its Boston Corporate Finance Department, he directed the firm's corporate finance services to both public and private companies. Mr. Shields has extensive experience in all areas of corporate finance, mergers and acquisitions, valuations, capital raising for private and public companies, and financial advisory services. Mr. Shields serves on the Board of Directors of eleven public and private companies including BJ's Wholesale, Versar Inc., Seaboard Corporation and Leejay Bed &amp; Bath. He is a past president of the Harvard Business School Association of Boston, and former chairman of the Newton-Wellesley Hospital.</w:t>
      </w:r>
    </w:p>
    <w:p>
      <w:pPr>
        <w:spacing w:after="0" w:line="207" w:lineRule="exact"/>
        <w:rPr>
          <w:rFonts w:ascii="Courier New" w:cs="Courier New" w:eastAsia="Courier New" w:hAnsi="Courier New"/>
          <w:sz w:val="18"/>
          <w:szCs w:val="18"/>
          <w:color w:val="auto"/>
        </w:rPr>
      </w:pPr>
    </w:p>
    <w:p>
      <w:pPr>
        <w:ind w:left="527"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JEFFREY C. BLOOMBERG, MANAGING DIRECTOR AB DARTMOUTH COLLEGE</w:t>
      </w:r>
    </w:p>
    <w:p>
      <w:pPr>
        <w:spacing w:after="0" w:line="1" w:lineRule="exact"/>
        <w:rPr>
          <w:rFonts w:ascii="Courier New" w:cs="Courier New" w:eastAsia="Courier New" w:hAnsi="Courier New"/>
          <w:sz w:val="18"/>
          <w:szCs w:val="18"/>
          <w:color w:val="auto"/>
        </w:rPr>
      </w:pP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7" w:lineRule="exact"/>
        <w:rPr>
          <w:rFonts w:ascii="Courier New" w:cs="Courier New" w:eastAsia="Courier New" w:hAnsi="Courier New"/>
          <w:sz w:val="18"/>
          <w:szCs w:val="18"/>
          <w:color w:val="auto"/>
        </w:rPr>
      </w:pPr>
    </w:p>
    <w:p>
      <w:pPr>
        <w:ind w:left="527" w:right="2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Prior to joining Shields &amp; Company, Inc., Mr. Bloomberg was a Senior Managing Director in the Corporate Finance Department of Bear Stearns &amp; Co., specializing in (I) retailing and consumer goods companies, as</w:t>
      </w:r>
    </w:p>
    <w:p>
      <w:pPr>
        <w:sectPr>
          <w:pgSz w:w="11900" w:h="16884" w:orient="portrait"/>
          <w:cols w:equalWidth="0" w:num="1">
            <w:col w:w="10106"/>
          </w:cols>
          <w:pgMar w:left="353" w:top="649" w:right="1440" w:bottom="0" w:gutter="0" w:footer="0" w:header="0"/>
        </w:sectPr>
      </w:pPr>
    </w:p>
    <w:bookmarkStart w:id="1" w:name="page2"/>
    <w:bookmarkEnd w:id="1"/>
    <w:p>
      <w:pPr>
        <w:ind w:left="527" w:right="2619"/>
        <w:spacing w:after="0" w:line="237" w:lineRule="auto"/>
        <w:rPr>
          <w:sz w:val="20"/>
          <w:szCs w:val="20"/>
          <w:color w:val="auto"/>
        </w:rPr>
      </w:pPr>
      <w:r>
        <w:rPr>
          <w:rFonts w:ascii="Courier New" w:cs="Courier New" w:eastAsia="Courier New" w:hAnsi="Courier New"/>
          <w:sz w:val="18"/>
          <w:szCs w:val="18"/>
          <w:color w:val="auto"/>
        </w:rPr>
        <w:t>co-head of the firm's merchandising group, and (ii) mergers and acquisitions. In addition, Mr. Bloomberg was vice chairman of the firm's valuation committee, which reviewed all fairness opinions issued by the firm.</w:t>
      </w:r>
    </w:p>
    <w:p>
      <w:pPr>
        <w:spacing w:after="0" w:line="207" w:lineRule="exact"/>
        <w:rPr>
          <w:sz w:val="20"/>
          <w:szCs w:val="20"/>
          <w:color w:val="auto"/>
        </w:rPr>
      </w:pPr>
    </w:p>
    <w:p>
      <w:pPr>
        <w:ind w:left="527" w:right="2519" w:hanging="527"/>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calling to encourage you not to execute a consent for Jewelcor for the following reasons:</w:t>
      </w:r>
    </w:p>
    <w:p>
      <w:pPr>
        <w:spacing w:after="0" w:line="208" w:lineRule="exact"/>
        <w:rPr>
          <w:rFonts w:ascii="Courier New" w:cs="Courier New" w:eastAsia="Courier New" w:hAnsi="Courier New"/>
          <w:sz w:val="18"/>
          <w:szCs w:val="18"/>
          <w:color w:val="auto"/>
        </w:rPr>
      </w:pPr>
    </w:p>
    <w:p>
      <w:pPr>
        <w:jc w:val="both"/>
        <w:ind w:left="1047" w:right="2419" w:hanging="520"/>
        <w:spacing w:after="0" w:line="236" w:lineRule="auto"/>
        <w:tabs>
          <w:tab w:leader="none" w:pos="10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currently a process in place with excellent investment bankers to maximize shareholder value possibly through the sale of the business.</w:t>
      </w:r>
    </w:p>
    <w:p>
      <w:pPr>
        <w:spacing w:after="0" w:line="208" w:lineRule="exact"/>
        <w:rPr>
          <w:rFonts w:ascii="Courier New" w:cs="Courier New" w:eastAsia="Courier New" w:hAnsi="Courier New"/>
          <w:sz w:val="18"/>
          <w:szCs w:val="18"/>
          <w:color w:val="auto"/>
        </w:rPr>
      </w:pPr>
    </w:p>
    <w:p>
      <w:pPr>
        <w:ind w:left="1047" w:right="2319" w:hanging="520"/>
        <w:spacing w:after="0" w:line="237" w:lineRule="auto"/>
        <w:tabs>
          <w:tab w:leader="none" w:pos="10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process is being managed by an independent committee of the Board of Directors led by Jim Groninger. Jim is a former managing director of Paine Webber's Boston office, he took the Company public in 1986 and he has extensive insight into the Company's business strategy and relationship with Levi Strauss &amp; Co.</w:t>
      </w:r>
    </w:p>
    <w:p>
      <w:pPr>
        <w:spacing w:after="0" w:line="209" w:lineRule="exact"/>
        <w:rPr>
          <w:rFonts w:ascii="Courier New" w:cs="Courier New" w:eastAsia="Courier New" w:hAnsi="Courier New"/>
          <w:sz w:val="18"/>
          <w:szCs w:val="18"/>
          <w:color w:val="auto"/>
        </w:rPr>
      </w:pPr>
    </w:p>
    <w:p>
      <w:pPr>
        <w:ind w:left="1047" w:right="2319" w:hanging="520"/>
        <w:spacing w:after="0" w:line="236" w:lineRule="auto"/>
        <w:tabs>
          <w:tab w:leader="none" w:pos="10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Pete Thigpen is the former president of the Levi's brand and has maintained excellent relationships with the people at Levi Strauss &amp; Co.</w:t>
      </w:r>
    </w:p>
    <w:p>
      <w:pPr>
        <w:spacing w:after="0" w:line="208" w:lineRule="exact"/>
        <w:rPr>
          <w:rFonts w:ascii="Courier New" w:cs="Courier New" w:eastAsia="Courier New" w:hAnsi="Courier New"/>
          <w:sz w:val="18"/>
          <w:szCs w:val="18"/>
          <w:color w:val="auto"/>
        </w:rPr>
      </w:pPr>
    </w:p>
    <w:p>
      <w:pPr>
        <w:ind w:left="1047" w:right="2199" w:hanging="520"/>
        <w:spacing w:after="0" w:line="236" w:lineRule="auto"/>
        <w:tabs>
          <w:tab w:leader="none" w:pos="10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Bernard Manuel is the CEO of Cygne Design and has significant experience in both the retail and manufacturing arenas. He has a broad base of contact both domestic and abroad.</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Obviously, because our existing operating strategy is focused largely on the success of the Levi's and Dockers Outlets, the Trademark License Agreement with Levi Strauss &amp; Co. is critical to the future viability of the Company. Having Pete Thigpen on the Committee together with the experience the Company and senior management has had with Levi Strauss &amp; Co. will increase the likelihood of a successful transfer of the license agreement. Levi's has the right in a change of control to terminate the license agreement. They have to support the transaction in order for a successful sale of the business to occur.</w:t>
      </w:r>
    </w:p>
    <w:p>
      <w:pPr>
        <w:spacing w:after="0" w:line="214" w:lineRule="exact"/>
        <w:rPr>
          <w:rFonts w:ascii="Courier New" w:cs="Courier New" w:eastAsia="Courier New" w:hAnsi="Courier New"/>
          <w:sz w:val="18"/>
          <w:szCs w:val="18"/>
          <w:color w:val="auto"/>
        </w:rPr>
      </w:pPr>
    </w:p>
    <w:p>
      <w:pPr>
        <w:ind w:left="527" w:right="2519" w:hanging="527"/>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Jewelcor's proposal mirrors our existing strategy which consists of the following initiatives:</w:t>
      </w:r>
    </w:p>
    <w:p>
      <w:pPr>
        <w:spacing w:after="0" w:line="202" w:lineRule="exact"/>
        <w:rPr>
          <w:rFonts w:ascii="Courier New" w:cs="Courier New" w:eastAsia="Courier New" w:hAnsi="Courier New"/>
          <w:sz w:val="18"/>
          <w:szCs w:val="18"/>
          <w:color w:val="auto"/>
        </w:rPr>
      </w:pPr>
    </w:p>
    <w:p>
      <w:pPr>
        <w:ind w:left="1047" w:hanging="520"/>
        <w:spacing w:after="0"/>
        <w:tabs>
          <w:tab w:leader="none" w:pos="10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Focus predominantly on the Levi's and Dockers Outlets.</w:t>
      </w:r>
    </w:p>
    <w:p>
      <w:pPr>
        <w:spacing w:after="0" w:line="4" w:lineRule="exact"/>
        <w:rPr>
          <w:rFonts w:ascii="Courier New" w:cs="Courier New" w:eastAsia="Courier New" w:hAnsi="Courier New"/>
          <w:sz w:val="18"/>
          <w:szCs w:val="18"/>
          <w:color w:val="auto"/>
        </w:rPr>
      </w:pPr>
    </w:p>
    <w:p>
      <w:pPr>
        <w:ind w:left="1047" w:right="2199" w:hanging="520"/>
        <w:spacing w:after="0" w:line="236" w:lineRule="auto"/>
        <w:tabs>
          <w:tab w:leader="none" w:pos="10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Closure of unprofitable stores where economically feasible taking into consideration the current performance of the stores and the contingent lease liabilities.</w:t>
      </w:r>
    </w:p>
    <w:p>
      <w:pPr>
        <w:spacing w:after="0" w:line="6" w:lineRule="exact"/>
        <w:rPr>
          <w:rFonts w:ascii="Courier New" w:cs="Courier New" w:eastAsia="Courier New" w:hAnsi="Courier New"/>
          <w:sz w:val="18"/>
          <w:szCs w:val="18"/>
          <w:color w:val="auto"/>
        </w:rPr>
      </w:pPr>
    </w:p>
    <w:p>
      <w:pPr>
        <w:ind w:left="1047" w:right="2319" w:hanging="520"/>
        <w:spacing w:after="0" w:line="268" w:lineRule="auto"/>
        <w:tabs>
          <w:tab w:leader="none" w:pos="1047"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Consistent reduction of overhead levels to support a largely outlet-based operation. Essentially we have been "right-sizing"</w:t>
      </w:r>
    </w:p>
    <w:p>
      <w:pPr>
        <w:ind w:left="1047" w:right="2739"/>
        <w:spacing w:after="0" w:line="235" w:lineRule="auto"/>
        <w:rPr>
          <w:sz w:val="20"/>
          <w:szCs w:val="20"/>
          <w:color w:val="auto"/>
        </w:rPr>
      </w:pPr>
      <w:r>
        <w:rPr>
          <w:rFonts w:ascii="Courier New" w:cs="Courier New" w:eastAsia="Courier New" w:hAnsi="Courier New"/>
          <w:sz w:val="18"/>
          <w:szCs w:val="18"/>
          <w:color w:val="auto"/>
        </w:rPr>
        <w:t>the business over the past two years to support our shift in strategy.</w:t>
      </w:r>
    </w:p>
    <w:p>
      <w:pPr>
        <w:spacing w:after="0" w:line="6" w:lineRule="exact"/>
        <w:rPr>
          <w:sz w:val="20"/>
          <w:szCs w:val="20"/>
          <w:color w:val="auto"/>
        </w:rPr>
      </w:pPr>
    </w:p>
    <w:p>
      <w:pPr>
        <w:ind w:left="1047" w:right="2199" w:hanging="519"/>
        <w:spacing w:after="0" w:line="235" w:lineRule="auto"/>
        <w:tabs>
          <w:tab w:leader="none" w:pos="1026"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Abandoning the BTC private label strategy we did this in fiscal 1997.</w:t>
      </w:r>
    </w:p>
    <w:p>
      <w:pPr>
        <w:spacing w:after="0" w:line="5" w:lineRule="exact"/>
        <w:rPr>
          <w:sz w:val="20"/>
          <w:szCs w:val="20"/>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primary focus at this time is to maximize sales during this</w:t>
      </w:r>
    </w:p>
    <w:p>
      <w:pPr>
        <w:spacing w:after="0" w:line="203" w:lineRule="exact"/>
        <w:rPr>
          <w:sz w:val="20"/>
          <w:szCs w:val="20"/>
          <w:color w:val="auto"/>
        </w:rPr>
      </w:pPr>
    </w:p>
    <w:p>
      <w:pPr>
        <w:ind w:left="527" w:right="2519"/>
        <w:spacing w:after="0" w:line="236" w:lineRule="auto"/>
        <w:rPr>
          <w:sz w:val="20"/>
          <w:szCs w:val="20"/>
          <w:color w:val="auto"/>
        </w:rPr>
      </w:pPr>
      <w:r>
        <w:rPr>
          <w:rFonts w:ascii="Courier New" w:cs="Courier New" w:eastAsia="Courier New" w:hAnsi="Courier New"/>
          <w:sz w:val="18"/>
          <w:szCs w:val="18"/>
          <w:color w:val="auto"/>
        </w:rPr>
        <w:t>critical Christmas season any disruption of the management of the Company and interference with our existing operating strategy would have an adverse impact on the business.</w:t>
      </w:r>
    </w:p>
    <w:p>
      <w:pPr>
        <w:spacing w:after="0" w:line="209" w:lineRule="exact"/>
        <w:rPr>
          <w:sz w:val="20"/>
          <w:szCs w:val="20"/>
          <w:color w:val="auto"/>
        </w:rPr>
      </w:pPr>
    </w:p>
    <w:p>
      <w:pPr>
        <w:ind w:left="527" w:right="2419" w:hanging="527"/>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filing our 10Q with the Securities and Exchange Commission today. This document gives a detailed accounting of the performance of our various business segments and should provide you with substantial insight into the progress we have made and continue to make in executing our business strategies.</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Conclusion, I would like to ask you to let the process unfold. The Board of Directors has established a very short time table for the Special Committee and the Company's financial advisors explore the various strategic alternatives available to the Company. There are a number of candidates available who might be willing to purchase the Company and we believe the existing team is best suited to accomplish this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 w:right="2199" w:firstLine="527"/>
        <w:spacing w:after="0" w:line="271" w:lineRule="auto"/>
        <w:rPr>
          <w:sz w:val="20"/>
          <w:szCs w:val="20"/>
          <w:color w:val="auto"/>
        </w:rPr>
      </w:pPr>
      <w:r>
        <w:rPr>
          <w:rFonts w:ascii="Courier New" w:cs="Courier New" w:eastAsia="Courier New" w:hAnsi="Courier New"/>
          <w:sz w:val="16"/>
          <w:szCs w:val="16"/>
          <w:color w:val="auto"/>
        </w:rPr>
        <w:t>Designs, Inc. ("Designs") and certain other persons named below may be deemed to be participants in the solicitation of consents (the "Solicitation") in opposition to the consent solicitation by Seymour H. Holtzman and certain companies controlled by him for the purpose of, among other things, removing 5 of the 6 current members of the Board of Directors of Designs and electing five new directors. The participants in this Solicitation may include the following directors of Designs: Stanley I.</w:t>
      </w:r>
    </w:p>
    <w:p>
      <w:pPr>
        <w:sectPr>
          <w:pgSz w:w="11900" w:h="16838" w:orient="portrait"/>
          <w:cols w:equalWidth="0" w:num="1">
            <w:col w:w="10106"/>
          </w:cols>
          <w:pgMar w:left="353" w:top="142" w:right="1440" w:bottom="0" w:gutter="0" w:footer="0" w:header="0"/>
        </w:sectPr>
      </w:pPr>
    </w:p>
    <w:bookmarkStart w:id="2" w:name="page3"/>
    <w:bookmarkEnd w:id="2"/>
    <w:p>
      <w:pPr>
        <w:ind w:right="2319"/>
        <w:spacing w:after="0" w:line="238" w:lineRule="auto"/>
        <w:rPr>
          <w:sz w:val="20"/>
          <w:szCs w:val="20"/>
          <w:color w:val="auto"/>
        </w:rPr>
      </w:pPr>
      <w:r>
        <w:rPr>
          <w:rFonts w:ascii="Courier New" w:cs="Courier New" w:eastAsia="Courier New" w:hAnsi="Courier New"/>
          <w:sz w:val="18"/>
          <w:szCs w:val="18"/>
          <w:color w:val="auto"/>
        </w:rPr>
        <w:t>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57,326, 63,003, 29,601, and 9,900 shares of Designs common stock, respectively (including shares subject to stock options exercisable within 60 days).</w:t>
      </w:r>
    </w:p>
    <w:p>
      <w:pPr>
        <w:spacing w:after="0" w:line="207"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lvl w:ilvl="1">
      <w:lvlJc w:val="left"/>
      <w:lvlText w:val="-"/>
      <w:numFmt w:val="bullet"/>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2019-12-20T06:53:50Z</dcterms:created>
  <dcterms:modified xsi:type="dcterms:W3CDTF">2019-12-20T06:53:50Z</dcterms:modified>
</cp:coreProperties>
</file>