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 the Quarterly Period Ended August 2, 2008</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Commission File Number 0-15898</w:t>
      </w:r>
    </w:p>
    <w:p>
      <w:pPr>
        <w:spacing w:after="0" w:line="136"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0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500" w:type="dxa"/>
            <w:vAlign w:val="bottom"/>
          </w:tcPr>
          <w:p>
            <w:pPr>
              <w:jc w:val="center"/>
              <w:ind w:left="346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500" w:type="dxa"/>
            <w:vAlign w:val="bottom"/>
          </w:tcPr>
          <w:p>
            <w:pPr>
              <w:spacing w:after="0"/>
              <w:rPr>
                <w:sz w:val="15"/>
                <w:szCs w:val="15"/>
                <w:color w:val="auto"/>
              </w:rPr>
            </w:pPr>
          </w:p>
        </w:tc>
      </w:tr>
      <w:tr>
        <w:trPr>
          <w:trHeight w:val="40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50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500" w:type="dxa"/>
            <w:vAlign w:val="bottom"/>
          </w:tcPr>
          <w:p>
            <w:pPr>
              <w:jc w:val="center"/>
              <w:ind w:left="348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500" w:type="dxa"/>
            <w:vAlign w:val="bottom"/>
          </w:tcPr>
          <w:p>
            <w:pPr>
              <w:jc w:val="right"/>
              <w:ind w:right="332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500" w:type="dxa"/>
            <w:vAlign w:val="bottom"/>
          </w:tcPr>
          <w:p>
            <w:pPr>
              <w:jc w:val="center"/>
              <w:ind w:right="232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4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4"/>
          <w:szCs w:val="24"/>
          <w:color w:val="auto"/>
        </w:rPr>
      </w:pPr>
    </w:p>
    <w:p>
      <w:pPr>
        <w:jc w:val="center"/>
        <w:ind w:right="-179"/>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240" w:top="597" w:right="419" w:bottom="1440" w:gutter="0" w:footer="0" w:header="0"/>
        </w:sectPr>
      </w:pPr>
    </w:p>
    <w:p>
      <w:pPr>
        <w:spacing w:after="0" w:line="126" w:lineRule="exact"/>
        <w:rPr>
          <w:sz w:val="24"/>
          <w:szCs w:val="24"/>
          <w:color w:val="auto"/>
        </w:rPr>
      </w:pPr>
    </w:p>
    <w:p>
      <w:pPr>
        <w:ind w:left="5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49" w:lineRule="exact"/>
        <w:rPr>
          <w:sz w:val="24"/>
          <w:szCs w:val="24"/>
          <w:color w:val="auto"/>
        </w:rPr>
      </w:pPr>
    </w:p>
    <w:p>
      <w:pPr>
        <w:sectPr>
          <w:pgSz w:w="11900" w:h="16838" w:orient="portrait"/>
          <w:cols w:equalWidth="0" w:num="7">
            <w:col w:w="2140" w:space="120"/>
            <w:col w:w="760" w:space="720"/>
            <w:col w:w="1180" w:space="120"/>
            <w:col w:w="200" w:space="720"/>
            <w:col w:w="2520" w:space="520"/>
            <w:col w:w="1920" w:space="140"/>
            <w:col w:w="180"/>
          </w:cols>
          <w:pgMar w:left="240" w:top="597" w:right="4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7980" w:space="160"/>
            <w:col w:w="260" w:space="80"/>
            <w:col w:w="160" w:space="220"/>
            <w:col w:w="2380"/>
          </w:cols>
          <w:pgMar w:left="240" w:top="597" w:right="41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common stock outstanding as of August 15, 2008 was 41,413,015.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597"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jc w:val="center"/>
              <w:ind w:left="2072"/>
              <w:spacing w:after="0"/>
              <w:rPr>
                <w:sz w:val="20"/>
                <w:szCs w:val="20"/>
                <w:color w:val="auto"/>
              </w:rPr>
            </w:pPr>
            <w:r>
              <w:rPr>
                <w:rFonts w:ascii="Arial" w:cs="Arial" w:eastAsia="Arial" w:hAnsi="Arial"/>
                <w:sz w:val="18"/>
                <w:szCs w:val="18"/>
                <w:b w:val="1"/>
                <w:bCs w:val="1"/>
                <w:color w:val="auto"/>
                <w:w w:val="98"/>
              </w:rPr>
              <w:t>CASUAL MALE RETAIL GROUP, INC.</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0" w:type="dxa"/>
            <w:vAlign w:val="bottom"/>
          </w:tcPr>
          <w:p>
            <w:pPr>
              <w:jc w:val="center"/>
              <w:ind w:left="2072"/>
              <w:spacing w:after="0"/>
              <w:rPr>
                <w:sz w:val="20"/>
                <w:szCs w:val="20"/>
                <w:color w:val="auto"/>
              </w:rPr>
            </w:pPr>
            <w:r>
              <w:rPr>
                <w:rFonts w:ascii="Arial" w:cs="Arial" w:eastAsia="Arial" w:hAnsi="Arial"/>
                <w:sz w:val="18"/>
                <w:szCs w:val="18"/>
                <w:b w:val="1"/>
                <w:bCs w:val="1"/>
                <w:color w:val="auto"/>
                <w:w w:val="96"/>
              </w:rPr>
              <w:t>CONSOLIDATED BALANCE SHEETS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0" w:type="dxa"/>
            <w:vAlign w:val="bottom"/>
          </w:tcPr>
          <w:p>
            <w:pPr>
              <w:jc w:val="center"/>
              <w:ind w:left="2052"/>
              <w:spacing w:after="0"/>
              <w:rPr>
                <w:sz w:val="20"/>
                <w:szCs w:val="20"/>
                <w:color w:val="auto"/>
              </w:rPr>
            </w:pPr>
            <w:r>
              <w:rPr>
                <w:rFonts w:ascii="Arial" w:cs="Arial" w:eastAsia="Arial" w:hAnsi="Arial"/>
                <w:sz w:val="18"/>
                <w:szCs w:val="18"/>
                <w:color w:val="auto"/>
                <w:w w:val="85"/>
              </w:rPr>
              <w:t>(In thousands, except share data)</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August 2, 2008</w:t>
            </w:r>
          </w:p>
        </w:tc>
        <w:tc>
          <w:tcPr>
            <w:tcW w:w="2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2,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6"/>
              </w:rPr>
              <w:t>(unaudited)</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Inventories</w:t>
            </w:r>
          </w:p>
        </w:tc>
        <w:tc>
          <w:tcPr>
            <w:tcW w:w="7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141,137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Other assets: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Other intangible assets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36,807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2"/>
              </w:rPr>
              <w:t>Total assets</w:t>
            </w:r>
          </w:p>
        </w:tc>
        <w:tc>
          <w:tcPr>
            <w:tcW w:w="7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321,524</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4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4,874</w:t>
            </w:r>
          </w:p>
        </w:tc>
        <w:tc>
          <w:tcPr>
            <w:tcW w:w="32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29,125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Notes payable</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i w:val="1"/>
                <w:iCs w:val="1"/>
                <w:color w:val="auto"/>
              </w:rPr>
              <w:t>Long-term liabilities: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10,013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136,456</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w w:val="96"/>
              </w:rPr>
              <w:t>Preferred stock, $0.01 par value, 1,000,000 shares authorized, none outstanding at August 2, 2008 and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640"/>
              <w:spacing w:after="0"/>
              <w:rPr>
                <w:sz w:val="20"/>
                <w:szCs w:val="20"/>
                <w:color w:val="auto"/>
              </w:rPr>
            </w:pPr>
            <w:r>
              <w:rPr>
                <w:rFonts w:ascii="Arial" w:cs="Arial" w:eastAsia="Arial" w:hAnsi="Arial"/>
                <w:sz w:val="18"/>
                <w:szCs w:val="18"/>
                <w:color w:val="auto"/>
              </w:rPr>
              <w:t>February 2, 2008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Common stock, $0.01 par value, 75,000,000 shares authorized, 52,290,620 and 52,266,840 shares issued at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August 2, 2008 and February 2, 2008, respectively</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272,607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 (accumulated deficit)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10,877,439 shares at August 2, 2008 and February 2, 2008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(87,977)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185,068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321,524</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89"/>
              </w:rPr>
              <w:t>For the three months ended</w:t>
            </w:r>
          </w:p>
        </w:tc>
        <w:tc>
          <w:tcPr>
            <w:tcW w:w="200" w:type="dxa"/>
            <w:vAlign w:val="bottom"/>
          </w:tcPr>
          <w:p>
            <w:pPr>
              <w:spacing w:after="0"/>
              <w:rPr>
                <w:sz w:val="14"/>
                <w:szCs w:val="14"/>
                <w:color w:val="auto"/>
              </w:rPr>
            </w:pPr>
          </w:p>
        </w:tc>
        <w:tc>
          <w:tcPr>
            <w:tcW w:w="20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2, 2008</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460" w:type="dxa"/>
            <w:vAlign w:val="bottom"/>
          </w:tcPr>
          <w:p>
            <w:pPr>
              <w:spacing w:after="0"/>
              <w:rPr>
                <w:sz w:val="12"/>
                <w:szCs w:val="12"/>
                <w:color w:val="auto"/>
              </w:rPr>
            </w:pPr>
          </w:p>
        </w:tc>
        <w:tc>
          <w:tcPr>
            <w:tcW w:w="11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August 2, 2008</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113,475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113,529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221,117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62,137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60,699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121,440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99,677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42,875</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86,805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8,275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4,597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(1,070)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per share – basic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41,606</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 diluted</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43,338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41,690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0"/>
              </w:rPr>
              <w:t>Six Months Ended</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2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August 2, 2008</w:t>
            </w:r>
          </w:p>
        </w:tc>
        <w:tc>
          <w:tcPr>
            <w:tcW w:w="30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1,983</w:t>
            </w:r>
          </w:p>
        </w:tc>
        <w:tc>
          <w:tcPr>
            <w:tcW w:w="36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for) operating activities: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Loss from discontinued operations, net of tax</w:t>
            </w:r>
          </w:p>
        </w:tc>
        <w:tc>
          <w:tcPr>
            <w:tcW w:w="2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8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from disposal of property and equipment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(6,062)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for) operating activities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9,200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(6,760)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Rochester earn-out provision</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Acquisition of Dahle’s Big and Tall stores</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(10,331)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Net borrowings under credit facility</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secured note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(2,437)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(46,475)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22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4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Beginning of the period</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the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August 2,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7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earnings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1"/>
              </w:rPr>
              <w:t>other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Paid-in</w:t>
            </w: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1"/>
                <w:szCs w:val="11"/>
                <w:color w:val="auto"/>
              </w:rPr>
            </w:pPr>
          </w:p>
        </w:tc>
        <w:tc>
          <w:tcPr>
            <w:tcW w:w="116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Amounts</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deficit)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71"/>
              </w:rPr>
              <w:t>loss</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52,267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523</w:t>
            </w:r>
          </w:p>
        </w:tc>
        <w:tc>
          <w:tcPr>
            <w:tcW w:w="2860" w:type="dxa"/>
            <w:vAlign w:val="bottom"/>
            <w:gridSpan w:val="8"/>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271,354   (10,877)   </w:t>
            </w:r>
            <w:r>
              <w:rPr>
                <w:rFonts w:ascii="Arial" w:cs="Arial" w:eastAsia="Arial" w:hAnsi="Arial"/>
                <w:sz w:val="18"/>
                <w:szCs w:val="18"/>
                <w:u w:val="single" w:color="auto"/>
                <w:color w:val="auto"/>
              </w:rPr>
              <w:t>$</w:t>
            </w:r>
            <w:r>
              <w:rPr>
                <w:rFonts w:ascii="Arial" w:cs="Arial" w:eastAsia="Arial" w:hAnsi="Arial"/>
                <w:sz w:val="18"/>
                <w:szCs w:val="18"/>
                <w:color w:val="auto"/>
              </w:rPr>
              <w:t xml:space="preserve"> (87,977)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1,150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compensation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Other comprehensive loss- foreign currency</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2, 2008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52,291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523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272,607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(10,877)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2008 included in the Company’s Annual Report on Form 10-K, which was filed with the Securities and Exchange Commission on March 26, 2008.</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2008 is a 52-week period ending on January 31, 2009.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2007 was a 52-week period ending on February 2,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Year Reclassifications</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Results for the second quarter and first six months of fiscal 2007 have been restated to reflect the operating results of the Company’s Jared M. business as discontinued operations. See Note 5, “Discontinued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adopted the following financial accounting standards as of February 2, 2008:</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Statement of Financial Accounting Standard No. 157 (FAS 157), “Fair Value Measurements”. </w:t>
      </w:r>
      <w:r>
        <w:rPr>
          <w:rFonts w:ascii="Arial" w:cs="Arial" w:eastAsia="Arial" w:hAnsi="Arial"/>
          <w:sz w:val="18"/>
          <w:szCs w:val="18"/>
          <w:color w:val="auto"/>
        </w:rPr>
        <w:t>FAS 157 defines fair value, establishes a framework for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expands disclosures about fair value measurements.</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Statement of Financial Accounting Standard No. 159 (FAS 159), “The Fair Value Option for Financial Assets and Financial Liabilities, including an amendment of FASB Statement No. 115”. </w:t>
      </w:r>
      <w:r>
        <w:rPr>
          <w:rFonts w:ascii="Arial" w:cs="Arial" w:eastAsia="Arial" w:hAnsi="Arial"/>
          <w:sz w:val="18"/>
          <w:szCs w:val="18"/>
          <w:color w:val="auto"/>
        </w:rPr>
        <w:t>FAS 159 permits entities to choose to measure many financial instruments and certain other items at fair value at specified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FAS 157 and FAS 159 did not have a material impact on the Company’s consolidated 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The Company accounts for goodwill pursuant to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Pursuant to SFAS 142</w:t>
      </w:r>
      <w:r>
        <w:rPr>
          <w:rFonts w:ascii="Arial" w:cs="Arial" w:eastAsia="Arial" w:hAnsi="Arial"/>
          <w:sz w:val="16"/>
          <w:szCs w:val="16"/>
          <w:i w:val="1"/>
          <w:iCs w:val="1"/>
          <w:color w:val="auto"/>
        </w:rPr>
        <w:t>,</w:t>
      </w:r>
      <w:r>
        <w:rPr>
          <w:rFonts w:ascii="Arial" w:cs="Arial" w:eastAsia="Arial" w:hAnsi="Arial"/>
          <w:sz w:val="16"/>
          <w:szCs w:val="16"/>
          <w:color w:val="auto"/>
        </w:rPr>
        <w:t xml:space="preserve"> at least annually, the Company evaluates goodwill, based on its two separate operating segments, its Casual Male business and its Rochester business, by comparing the current carrying value of goodwill with the fair value of the net assets of the Company. The goodwill assigned to each operating segment represents the initial purchase price allocation to goodwill as a result of their respective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Company accounts for stock-based compensation pursuant to the provisions of Statement of Financial Accounting Standards No. 123 (revised 2004),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(SFAS 123R), which requires that all share-based payments, including grants of employee stock options, be recognized as an expense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w:t>
      </w:r>
    </w:p>
    <w:p>
      <w:pPr>
        <w:sectPr>
          <w:pgSz w:w="11900" w:h="16838" w:orient="portrait"/>
          <w:cols w:equalWidth="0" w:num="1">
            <w:col w:w="11380"/>
          </w:cols>
          <w:pgMar w:left="240" w:top="274" w:right="279" w:bottom="1440" w:gutter="0" w:footer="0" w:header="0"/>
        </w:sectPr>
      </w:pPr>
    </w:p>
    <w:bookmarkStart w:id="6" w:name="page7"/>
    <w:bookmarkEnd w:id="6"/>
    <w:p>
      <w:pPr>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stock-based awards granted in future periods. The values derived from using the Black-Scholes model are recognized as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4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first six months of fiscal 2008 and fiscal 2007, the Company recognized total compensation expense of $1.1 million and $0.9 million, respectively. The total compensation cost related to non-vested awards not yet recognized as of August 2, 2008 is approximately $3.5 million which will be expensed over a weighted average remaining life of 23.3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For the first six months of fiscal 2008 and fiscal 2007, 1.1 million and 0.6 million stock options were granted, respectively. The weighted-average exercise price of the 1.1 million stock options was $4.46 per share. The fair value of each option was estimated on the date of grant using the Black-Scholes option-pricing model with the following assumptions used for grants for the six months ended August 2, 2008 and August 4, 2007:</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August 2, 2008</w:t>
            </w:r>
          </w:p>
        </w:tc>
        <w:tc>
          <w:tcPr>
            <w:tcW w:w="220" w:type="dxa"/>
            <w:vAlign w:val="bottom"/>
          </w:tcPr>
          <w:p>
            <w:pPr>
              <w:spacing w:after="0"/>
              <w:rPr>
                <w:sz w:val="14"/>
                <w:szCs w:val="14"/>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August 4, 2007</w:t>
            </w: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45.0%</w:t>
            </w:r>
          </w:p>
        </w:tc>
        <w:tc>
          <w:tcPr>
            <w:tcW w:w="148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40.0%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w w:val="96"/>
              </w:rPr>
              <w:t>2.39% - 3.15%</w:t>
            </w:r>
          </w:p>
        </w:tc>
        <w:tc>
          <w:tcPr>
            <w:tcW w:w="1480" w:type="dxa"/>
            <w:vAlign w:val="bottom"/>
            <w:gridSpan w:val="2"/>
          </w:tcPr>
          <w:p>
            <w:pPr>
              <w:jc w:val="right"/>
              <w:ind w:right="19"/>
              <w:spacing w:after="0"/>
              <w:rPr>
                <w:sz w:val="20"/>
                <w:szCs w:val="20"/>
                <w:color w:val="auto"/>
              </w:rPr>
            </w:pPr>
            <w:r>
              <w:rPr>
                <w:rFonts w:ascii="Arial" w:cs="Arial" w:eastAsia="Arial" w:hAnsi="Arial"/>
                <w:sz w:val="18"/>
                <w:szCs w:val="18"/>
                <w:color w:val="auto"/>
              </w:rPr>
              <w:t>4.50% - 4.57%</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3.0 - 4.5 yrs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2.0 - 3.0 yrs.</w:t>
            </w:r>
          </w:p>
        </w:tc>
      </w:tr>
      <w:tr>
        <w:trPr>
          <w:trHeight w:val="222"/>
        </w:trPr>
        <w:tc>
          <w:tcPr>
            <w:tcW w:w="7760" w:type="dxa"/>
            <w:vAlign w:val="bottom"/>
          </w:tcPr>
          <w:p>
            <w:pPr>
              <w:spacing w:after="0"/>
              <w:rPr>
                <w:sz w:val="20"/>
                <w:szCs w:val="20"/>
                <w:color w:val="auto"/>
              </w:rPr>
            </w:pPr>
            <w:r>
              <w:rPr>
                <w:rFonts w:ascii="Arial" w:cs="Arial" w:eastAsia="Arial" w:hAnsi="Arial"/>
                <w:sz w:val="18"/>
                <w:szCs w:val="18"/>
                <w:color w:val="auto"/>
              </w:rPr>
              <w:t>Dividend rate</w:t>
            </w:r>
          </w:p>
        </w:tc>
        <w:tc>
          <w:tcPr>
            <w:tcW w:w="1260" w:type="dxa"/>
            <w:vAlign w:val="bottom"/>
          </w:tcPr>
          <w:p>
            <w:pPr>
              <w:ind w:lef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exercises of options or warrants during the first six months of fiscal 2008.</w:t>
      </w:r>
    </w:p>
    <w:p>
      <w:pPr>
        <w:spacing w:after="0" w:line="28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August 2, 2008, the Company had outstanding borrowings of $44.9 million under its credit facility, as most recently amended December 20, 2007, with Bank of America, N.A. (the “Credit Facility”). The maturity date of the Credit Facility is October 29, 2011. Outstanding standby letters of credit were $2.2 million and outstanding documentary letters of credit were $3.0 million. Average monthly borrowings outstanding under this facility during the first six months of fiscal 2008 were approximately $50.2 million, resulting in an average unused excess availability of approximately $44.8 million. Unused excess availability at August 2, 2008 was $43.6 million. The Company’s obligations under the Credit Facility are secured by a lien on all of its assets. The Company is not subject to any financial covenants pursuant to this Credit Facility.</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fair value of amounts outstanding under the Credit Facility approximates the carrying value at August 2, 2008. At the Company’s option, any portion of the outstanding borrowings can be converted to LIBOR-based contracts; the remainder bears interest based on prime. At August 2, 2008, the prime-based interest rate was 5.00%. The Company had approximately $37.0 million of its outstanding borrowings in LIBOR-based contracts with interest rates ranging from 3.68% to 5.21%. The LIBOR-based contracts expire at various dates between August 10, 2008 and August 24,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Loan and Security Agreement with Banc of America Leasing &amp; Capital, LLC</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“First Secured Note”), whereby it borrowed an aggregate of $17.4 million from BALC. The First Secured Note is due July 20, 2011.</w:t>
      </w:r>
    </w:p>
    <w:p>
      <w:pPr>
        <w:sectPr>
          <w:pgSz w:w="11900" w:h="16838" w:orient="portrait"/>
          <w:cols w:equalWidth="0" w:num="1">
            <w:col w:w="11420"/>
          </w:cols>
          <w:pgMar w:left="240" w:top="280" w:right="239" w:bottom="1440" w:gutter="0" w:footer="0" w:header="0"/>
        </w:sectPr>
      </w:pPr>
    </w:p>
    <w:bookmarkStart w:id="7" w:name="page8"/>
    <w:bookmarkEnd w:id="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16, 2008, the Company entered into a second Equipment Security Note (the “Second Secured Note”) pursuant to the same terms and provisions of the Master Agreement, whereby it borrowed an additional $2.1 million. The Second Secured Note is due January 16, 2012.</w:t>
      </w:r>
    </w:p>
    <w:p>
      <w:pPr>
        <w:spacing w:after="0" w:line="13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commencing one month after issuance of such note. At August 2, 2008, the outstanding balance of the secured notes was $14.9 million.</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Company is not subject to any financial covenants pursuant to the Master Agreement.</w:t>
      </w:r>
    </w:p>
    <w:p>
      <w:pPr>
        <w:spacing w:after="0" w:line="248" w:lineRule="exact"/>
        <w:rPr>
          <w:sz w:val="20"/>
          <w:szCs w:val="20"/>
          <w:color w:val="auto"/>
        </w:rPr>
      </w:pPr>
    </w:p>
    <w:p>
      <w:pPr>
        <w:ind w:right="1008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4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23"/>
        </w:trPr>
        <w:tc>
          <w:tcPr>
            <w:tcW w:w="6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4"/>
              </w:rPr>
              <w:t>August 2, 2008</w:t>
            </w:r>
          </w:p>
        </w:tc>
        <w:tc>
          <w:tcPr>
            <w:tcW w:w="50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August 4, 2007</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August 2, 2008</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4"/>
              </w:rPr>
              <w:t>August 4, 2007</w:t>
            </w:r>
          </w:p>
        </w:tc>
        <w:tc>
          <w:tcPr>
            <w:tcW w:w="0" w:type="dxa"/>
            <w:vAlign w:val="bottom"/>
          </w:tcPr>
          <w:p>
            <w:pPr>
              <w:spacing w:after="0"/>
              <w:rPr>
                <w:sz w:val="1"/>
                <w:szCs w:val="1"/>
                <w:color w:val="auto"/>
              </w:rPr>
            </w:pPr>
          </w:p>
        </w:tc>
      </w:tr>
      <w:tr>
        <w:trPr>
          <w:trHeight w:val="142"/>
        </w:trPr>
        <w:tc>
          <w:tcPr>
            <w:tcW w:w="6460" w:type="dxa"/>
            <w:vAlign w:val="bottom"/>
            <w:vMerge w:val="continue"/>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41,405</w:t>
            </w:r>
          </w:p>
        </w:tc>
        <w:tc>
          <w:tcPr>
            <w:tcW w:w="1880" w:type="dxa"/>
            <w:vAlign w:val="bottom"/>
            <w:gridSpan w:val="3"/>
          </w:tcPr>
          <w:p>
            <w:pPr>
              <w:jc w:val="right"/>
              <w:ind w:right="500"/>
              <w:spacing w:after="0"/>
              <w:rPr>
                <w:sz w:val="20"/>
                <w:szCs w:val="20"/>
                <w:color w:val="auto"/>
              </w:rPr>
            </w:pPr>
            <w:r>
              <w:rPr>
                <w:rFonts w:ascii="Arial" w:cs="Arial" w:eastAsia="Arial" w:hAnsi="Arial"/>
                <w:sz w:val="18"/>
                <w:szCs w:val="18"/>
                <w:color w:val="auto"/>
              </w:rPr>
              <w:t>41,606</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41,398</w:t>
            </w:r>
          </w:p>
        </w:tc>
        <w:tc>
          <w:tcPr>
            <w:tcW w:w="860" w:type="dxa"/>
            <w:vAlign w:val="bottom"/>
          </w:tcPr>
          <w:p>
            <w:pPr>
              <w:jc w:val="right"/>
              <w:spacing w:after="0"/>
              <w:rPr>
                <w:sz w:val="20"/>
                <w:szCs w:val="20"/>
                <w:color w:val="auto"/>
              </w:rPr>
            </w:pPr>
            <w:r>
              <w:rPr>
                <w:rFonts w:ascii="Arial" w:cs="Arial" w:eastAsia="Arial" w:hAnsi="Arial"/>
                <w:sz w:val="18"/>
                <w:szCs w:val="18"/>
                <w:color w:val="auto"/>
              </w:rPr>
              <w:t>41,899</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 -Stock options and warrants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5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5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5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22"/>
        </w:trPr>
        <w:tc>
          <w:tcPr>
            <w:tcW w:w="646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41,689</w:t>
            </w:r>
          </w:p>
        </w:tc>
        <w:tc>
          <w:tcPr>
            <w:tcW w:w="1880" w:type="dxa"/>
            <w:vAlign w:val="bottom"/>
            <w:gridSpan w:val="3"/>
          </w:tcPr>
          <w:p>
            <w:pPr>
              <w:jc w:val="right"/>
              <w:ind w:right="500"/>
              <w:spacing w:after="0"/>
              <w:rPr>
                <w:sz w:val="20"/>
                <w:szCs w:val="20"/>
                <w:color w:val="auto"/>
              </w:rPr>
            </w:pPr>
            <w:r>
              <w:rPr>
                <w:rFonts w:ascii="Arial" w:cs="Arial" w:eastAsia="Arial" w:hAnsi="Arial"/>
                <w:sz w:val="18"/>
                <w:szCs w:val="18"/>
                <w:color w:val="auto"/>
              </w:rPr>
              <w:t>43,338</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41,690</w:t>
            </w:r>
          </w:p>
        </w:tc>
        <w:tc>
          <w:tcPr>
            <w:tcW w:w="860" w:type="dxa"/>
            <w:vAlign w:val="bottom"/>
          </w:tcPr>
          <w:p>
            <w:pPr>
              <w:jc w:val="right"/>
              <w:spacing w:after="0"/>
              <w:rPr>
                <w:sz w:val="20"/>
                <w:szCs w:val="20"/>
                <w:color w:val="auto"/>
              </w:rPr>
            </w:pPr>
            <w:r>
              <w:rPr>
                <w:rFonts w:ascii="Arial" w:cs="Arial" w:eastAsia="Arial" w:hAnsi="Arial"/>
                <w:sz w:val="18"/>
                <w:szCs w:val="18"/>
                <w:color w:val="auto"/>
              </w:rPr>
              <w:t>43,878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42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23"/>
        </w:trPr>
        <w:tc>
          <w:tcPr>
            <w:tcW w:w="6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exercise prices)</w:t>
            </w: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2008</w:t>
            </w:r>
          </w:p>
        </w:tc>
        <w:tc>
          <w:tcPr>
            <w:tcW w:w="1120" w:type="dxa"/>
            <w:vAlign w:val="bottom"/>
          </w:tcPr>
          <w:p>
            <w:pPr>
              <w:jc w:val="right"/>
              <w:ind w:right="57"/>
              <w:spacing w:after="0"/>
              <w:rPr>
                <w:sz w:val="20"/>
                <w:szCs w:val="20"/>
                <w:color w:val="auto"/>
              </w:rPr>
            </w:pPr>
            <w:r>
              <w:rPr>
                <w:rFonts w:ascii="Arial" w:cs="Arial" w:eastAsia="Arial" w:hAnsi="Arial"/>
                <w:sz w:val="14"/>
                <w:szCs w:val="14"/>
                <w:b w:val="1"/>
                <w:bCs w:val="1"/>
                <w:color w:val="auto"/>
                <w:w w:val="97"/>
              </w:rPr>
              <w:t>August 4, 2007</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2008</w:t>
            </w:r>
          </w:p>
        </w:tc>
        <w:tc>
          <w:tcPr>
            <w:tcW w:w="120" w:type="dxa"/>
            <w:vAlign w:val="bottom"/>
          </w:tcPr>
          <w:p>
            <w:pPr>
              <w:spacing w:after="0"/>
              <w:rPr>
                <w:sz w:val="19"/>
                <w:szCs w:val="19"/>
                <w:color w:val="auto"/>
              </w:rPr>
            </w:pPr>
          </w:p>
        </w:tc>
        <w:tc>
          <w:tcPr>
            <w:tcW w:w="1140" w:type="dxa"/>
            <w:vAlign w:val="bottom"/>
          </w:tcPr>
          <w:p>
            <w:pPr>
              <w:jc w:val="right"/>
              <w:ind w:right="62"/>
              <w:spacing w:after="0"/>
              <w:rPr>
                <w:sz w:val="20"/>
                <w:szCs w:val="20"/>
                <w:color w:val="auto"/>
              </w:rPr>
            </w:pPr>
            <w:r>
              <w:rPr>
                <w:rFonts w:ascii="Arial" w:cs="Arial" w:eastAsia="Arial" w:hAnsi="Arial"/>
                <w:sz w:val="14"/>
                <w:szCs w:val="14"/>
                <w:b w:val="1"/>
                <w:bCs w:val="1"/>
                <w:color w:val="auto"/>
                <w:w w:val="99"/>
              </w:rPr>
              <w:t>August 4, 2007</w:t>
            </w:r>
          </w:p>
        </w:tc>
        <w:tc>
          <w:tcPr>
            <w:tcW w:w="0" w:type="dxa"/>
            <w:vAlign w:val="bottom"/>
          </w:tcPr>
          <w:p>
            <w:pPr>
              <w:spacing w:after="0"/>
              <w:rPr>
                <w:sz w:val="1"/>
                <w:szCs w:val="1"/>
                <w:color w:val="auto"/>
              </w:rPr>
            </w:pPr>
          </w:p>
        </w:tc>
      </w:tr>
      <w:tr>
        <w:trPr>
          <w:trHeight w:val="142"/>
        </w:trPr>
        <w:tc>
          <w:tcPr>
            <w:tcW w:w="6380" w:type="dxa"/>
            <w:vAlign w:val="bottom"/>
            <w:vMerge w:val="continue"/>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4,793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Warrants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1,058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$ 4.13 - $12.35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$ 11.15 - $12.35</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$ 4.17 - $12.35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$ 11.81 - $12.35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and out-of-the-money at August 2, 2008, expire from June 14, 2011 to June 13, 2018.</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At August 2, 2008, the Company had total gross deferred tax assets of approximately $28.5 million, with a corresponding valuation allowance of $1.2 million. These tax assets principally relate to federal net operating loss carryforwards that expire from 2018 through 2024 and to a lesser extent book/tax timing differences. The valuation allowance is for losses associated with the Company’s Canada operations and certain state net operating losses, the benefit of which may not be recognized due to short carryforward periods.</w:t>
      </w:r>
    </w:p>
    <w:p>
      <w:pPr>
        <w:sectPr>
          <w:pgSz w:w="11900" w:h="16838" w:orient="portrait"/>
          <w:cols w:equalWidth="0" w:num="1">
            <w:col w:w="11420"/>
          </w:cols>
          <w:pgMar w:left="240" w:top="280" w:right="239" w:bottom="1440" w:gutter="0" w:footer="0" w:header="0"/>
        </w:sectPr>
      </w:pPr>
    </w:p>
    <w:bookmarkStart w:id="8" w:name="page9"/>
    <w:bookmarkEnd w:id="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complies with FASB Interpretation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FIN 48, the Company will recognize the benefit from a tax position only if it is more likely than not that the position would be sustained upon audit based solely on the technical merits of the tax position. At August 2, 2008, the Company had no material unrecognized tax benefits based on the provisions of FIN 48.</w:t>
      </w:r>
    </w:p>
    <w:p>
      <w:pPr>
        <w:spacing w:after="0" w:line="11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six months of fiscal 2008.</w:t>
      </w:r>
    </w:p>
    <w:p>
      <w:pPr>
        <w:spacing w:after="0" w:line="20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During the fourth quarter of fiscal 2007, the Company exited its Jared M. operations, and therefore results for the second quarter and first six months of fiscal 2007 have been reclassified to reflect the operating results of the Company’s Jared M. business as discontinued operations.</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first quarter of fiscal 2008, the Company sold its Jared M. business to a third party for a cash purchase price of $250,000. No material gain or loss was recognized on the sale.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from discontinued operations from the Jared M. business for the second quarter and first six months of fiscal 2007:</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w:t>
            </w:r>
          </w:p>
        </w:tc>
        <w:tc>
          <w:tcPr>
            <w:tcW w:w="5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9"/>
              </w:rPr>
              <w:t>For the 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6"/>
              </w:rPr>
              <w:t>August 4, 2007</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August 4, 2007</w:t>
            </w: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40" w:type="dxa"/>
            <w:vAlign w:val="bottom"/>
          </w:tcPr>
          <w:p>
            <w:pPr>
              <w:spacing w:after="0"/>
              <w:rPr>
                <w:sz w:val="18"/>
                <w:szCs w:val="18"/>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9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 xml:space="preserve">In December 2007, the FASB issued 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(“FAS 141R”), which changes how business combinations are accounted for and will impact financial statements both on the acquisition date and in subsequent periods. FAS 141R is effective January 1, 2009, and will be applied prospectively. The impact of adopting FAS 141R will depend on the nature and terms of future acquisitions.</w:t>
      </w:r>
    </w:p>
    <w:p>
      <w:pPr>
        <w:spacing w:after="0" w:line="10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 xml:space="preserve">In December 2007, the FASB issued 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(“FAS 160”), which changes the accounting and reporting standards for the noncontrolling interests in a subsidiary in consolidated financial statements. FAS 160 recharacterizes minority interests as noncontrolling interests and requires noncontrolling interests to be classified as a component of shareholders’ equity. FAS 160 is effective January 1, 2009 and requires retroactive adoption of the presentation and disclosure requirements for existing minority interests. The Company does not expect FAS 160 to have a material impact on its consolidated financial statements.</w:t>
      </w:r>
    </w:p>
    <w:p>
      <w:pPr>
        <w:sectPr>
          <w:pgSz w:w="11900" w:h="16838" w:orient="portrait"/>
          <w:cols w:equalWidth="0" w:num="1">
            <w:col w:w="11400"/>
          </w:cols>
          <w:pgMar w:left="240" w:top="280" w:right="25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February 2, 2008, filed with the Securities and Exchange Commission on March 26, 2008, which identifies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Casual Male Retail Group, Inc. together with our subsidiaries (the “Company”) is the largest specialty retailer of big &amp; tall men’s apparel with retail operations throughout the United States, Canada and London, England. We operate 463 Casual Male XL retail and outlet stores, 27 Rochester Clothing stores and a direct to consumer business, which includes several catalogs and e-commerce sites.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January 31, 2009 and February 2, 2008 as “fiscal 2008” and “fiscal 2007,”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net income for the second quarter of fiscal 2008 was $1.9 million, or $0.05 per diluted share, as compared to $2.5 million, or $0.06 per diluted share, for the second quarter of fiscal 2007. For the first six months of fiscal 2008, net income was $2.0 million, or $0.05 per diluted share, as compared to $3.6 million, or $0.08 per diluted share, for the first six months of fiscal 2007.</w:t>
      </w:r>
    </w:p>
    <w:p>
      <w:pPr>
        <w:sectPr>
          <w:pgSz w:w="11900" w:h="16838" w:orient="portrait"/>
          <w:cols w:equalWidth="0" w:num="1">
            <w:col w:w="11400"/>
          </w:cols>
          <w:pgMar w:left="240" w:top="274" w:right="259" w:bottom="1440" w:gutter="0" w:footer="0" w:header="0"/>
        </w:sectPr>
      </w:pPr>
    </w:p>
    <w:bookmarkStart w:id="10" w:name="page11"/>
    <w:bookmarkEnd w:id="10"/>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shortfall in earnings for fiscal 2008 continues to be negatively impacted by the current economic trends. However, during the second quarter of fiscal 2008, we saw gradual improvement in our comparable sales as well as with our overall sales productivity, as measured by customer conversion and dollars per transaction. Our comparable sales increase of 0.3% for the second quarter of fiscal 2008 was up against a 3.9% comparable sales increase in fiscal 2007 and our year to date comparable sales decrease of 0.8% was up against a 5.0% comparable sales increase for the first six months of fiscal 2007. We anticipate some benefit in sales for the remainder of fiscal 2008, as our comparable sales percentage for the second half of fiscal 2007 was a decrease of 0.6%. In addition, we continue to be committed to managing our selling, general and administrative (“SG&amp;A”) costs, while still working on investing in our marketing campaigns and growing our direct businesses.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From a financial position perspective, we have decreased our inventory position at the end of the second quarter by approximately 6% over the prior year second quarter and reduced our capital expenditures by approximately $3.8 million as compared to the same period of the prior year. Our free cash flow (as defined below under “Presentation of Non-GAAP Measure”) for the first six months approximated $2.4 million compared to negative free cash flow of $14.6 million for the same time period last year. Our borrowings under our credit facility were $44.9 million with unused availability under the facility of approximately $43.6 million at the end of the second quarter.</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Although our results through the end of the second quarter were in line with our expectations, we have reduced our earnings guidance for fiscal 2008 by $0.03 per diluted share to approximately $0.22-$0.27 per diluted share. The earnings guidance was adjusted primarily as a result of expectations of continued weakness in the economy and softness in traffic and sales trends. We have also included incremental SG&amp;A expenses in the fourth quarter of fiscal 2008 for our recently acquired store locations from Dahle Management Corporation, which is discussed below under “Liquidity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overall objective for this fiscal year continues to be to increase our market share by:</w:t>
      </w:r>
    </w:p>
    <w:p>
      <w:pPr>
        <w:spacing w:after="0" w:line="90" w:lineRule="exact"/>
        <w:rPr>
          <w:sz w:val="20"/>
          <w:szCs w:val="20"/>
          <w:color w:val="auto"/>
        </w:rPr>
      </w:pPr>
    </w:p>
    <w:p>
      <w:pPr>
        <w:ind w:left="900" w:right="1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intensifying our goal of improving market share by increasing our marketing spend to almost 8% of sales, up from just over 7% in fiscal 2007. This increase supports the mass media marketing campaign which we launched during the second quarter of fiscal 2008, without compromising our traditional direct mail campaigns;</w:t>
      </w:r>
    </w:p>
    <w:p>
      <w:pPr>
        <w:spacing w:after="0" w:line="59"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focus on customer service by providing better sales training and development tools to our sales associates to enhance our customer experience;</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improving upon our methodology of planning and allocating appropriate assortments to each store, considering the demographics and lifestyle tendencies of each store location;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continuing to grow our direct businesses, including LivingXL, ShoesXL and B&amp;T Factory Direct;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launching our primary brands, Casual Male XL and Rochester, on web sites in the European Union in the third quarter of fiscal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Presentation of Non-GAAP Measure</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We calculate free cash flows as cash flow from operating activities ($9.2 million in 2008 and negative $4.1 million in 2007) less capital expenditures ($6.8 million in 2008 and $10.5 million in 2007). We believe that inclusion of this non-GAAP measure helps investors to gain a better understanding of our performance, especially when comparing such results to previous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second quarter of fiscal 2008, total sales of $113.5 million were flat when compared to the second quarter of fiscal year 2007. Comparable sales for the second quarter increased 0.3% when compared to the same period of the prior year. This increase was driven by a 15.3% increase in sales from our direct businesses and was offset by a 2.2% decrease in sales from our retail business. Our core business, which includes just our Casual Male and Rochester businesses, had a comparable sales decrease of 2.1% for the second quarter of fiscal 2008.</w:t>
      </w:r>
    </w:p>
    <w:p>
      <w:pPr>
        <w:sectPr>
          <w:pgSz w:w="11900" w:h="16838" w:orient="portrait"/>
          <w:cols w:equalWidth="0" w:num="1">
            <w:col w:w="11400"/>
          </w:cols>
          <w:pgMar w:left="240" w:top="280" w:right="259" w:bottom="1440" w:gutter="0" w:footer="0" w:header="0"/>
        </w:sectPr>
      </w:pPr>
    </w:p>
    <w:bookmarkStart w:id="11" w:name="page12"/>
    <w:bookmarkEnd w:id="11"/>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first six months of fiscal 2008, sales decreased 1.4% to $221.1 million as compared to $224.2 million for the first six months of fiscal 2007. The sales shortfall of $3.1 million was primarily driven by a decrease in our comparable sales of 0.8%, which includes a comparable sales decrease of 3.4% from our core businesses. Our direct businesses increased 12.2% for the first six months of fiscal 2008; however, this increase was offset by a decrease of 3.1% in sales from our retail businesses.</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non-core businesses, which include LivingXL, ShoesXL and B&amp;T Factory Direct, generated sales of $4.5 million and $8.1 million for the second quarter and first six months of fiscal 2008, respectively, as compared to sales of $1.4 million and $1.9 million for the second quarter and first six months of fiscal 2007, respectively.</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Even though traffic continues to be down, our sales productivity in our retail channel, as measured by customer conversion rate and dollars per transaction, has increased by approximately 5.2%, offsetting the negative customer traffic trends. This increase is a direct result of our focus on customer service, with improved sales training, development tools and sales productivity measurement and reporting application available to all of our stores.</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second quarter of fiscal 2008, we launched our new mass media campaign aimed towards attracting a new customer to our stores and direct businesses, specifically focusing our advertising on our “XL” size customers who may not presently shop Casual Male XL. Based on the positive results we saw during the second quarter, we plan to continue this advertising campaign through the end of fiscal 2008.</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Given the continued uncertainty in the retail market, for fiscal 2008 we anticipate that our sales will approximate $470 to $475 million, based on comparable sales from our core businesses of between flat to -2.0% for the full fiscal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second quarter of fiscal 2008, our gross margin rate, inclusive of occupancy costs, was 45.2% as compared to a gross margin rate of 46.5% for the second quarter of fiscal 2007. The decrease in gross margin rate was the result of an 80 basis point decrease in merchandise margins and a 50 basis point increase in occupancy costs as a percentage of sales. Our increased occupancy costs increased 4% over the prior year quarter due to new store openings and scheduled rent escalations. The decrease in merchandise margins was negatively effected by: (i) an increase in costs associated with our loyalty program due to increased participation, (ii) increased postage costs from our direct businesses due to increased fuel costs, and (iii) a slight deterioration in our initial margins due to a shift in sales mix from our higher margin core businesses to our lower margin non-core businesses.</w:t>
      </w:r>
    </w:p>
    <w:p>
      <w:pPr>
        <w:spacing w:after="0" w:line="12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For the first six months of fiscal 2008, our gross margin rate was 45.1% as compared to 46.2% for the first six months of fiscal 2007. The decrease in margin rate was the result of a 40 basis point decrease in merchandise margin and a 70 basis point increase in occupancy costs. As with the second quarter of fiscal 2008, merchandise margins were negatively impacted by increased costs associated with our loyalty program and postage costs.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anticipate that our gross margins for fiscal 2008 will increase by approximately 25 to 50 basis points over fiscal 2007 gross margin levels exclusive of the</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$6.1 million of inventory adjustments recorded in the fourth quarter of fiscal 2007. We expect that our merchandise margins in the second half of fiscal 2008 will approximate a 100-150 basis point improvement over the prior year levels.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SG&amp;A expenses for the second quarter of fiscal 2008 were 38.3% of sales as compared to 37.8% for the second quarter of fiscal 2007. On a dollar basis, SG&amp;A expenses increased 1.4% for the second quarter of fiscal 2008 as compared to the prior year, with a decrease of 2.0% from our core businesses. SG&amp;A costs for our non-core businesses increased $1.3 million for the second quarter of fiscal 2008 as compared to the prior year’s second quarter.</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six months of fiscal 2008, SG&amp;A expenses were 39.3% of sales as compared to 38.5% of sales for the first six months of fiscal 2007. For the first six months of fiscal 2008, SG&amp;A costs for our non-core businesses increased $3.0 million over the same period of the prior year while expenses for our core businesses decreased 3.0%.</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strong expense control continues to be a priority for us in fiscal 2008, it is also important that we invest our SG&amp;A dollars into our key marketing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merchandising initiatives as discussed above. For fiscal 2008, we expect our SG&amp;A levels to approximate $181.0 million to $182.0 million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$178.1 million in fiscal 2007. This estimate has been revised slightly in anticipation of the conversion of the 8 acquired Dahle store locations to Casual Male XL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stores in the fourth quarter of fiscal 2008. See “Liquidity and Capital Resources” below for a full discussion of the Dahle’s Big and Tall store acquisition.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interest expense was $0.7 million for the second quarter of fiscal 2008 as compared to $1.1 million for the second quarter of fiscal 2007. For the first six months of fiscal 2008, net interest expense was $1.6 million as compared to $1.9 million for the prior year. Although average borrowings for the first six months of fiscal 2008 are slightly higher than the prior year, our average interest rate costs are lower due to reduced interest rates. The average interest rate of all of our borrowings at the end of the second quarter of fiscal 2008 approximated 4.3% compared to approximately 7.2% at the end of the second quarter of fiscal 2007. See our “Liquidity and Capital Resources” discussion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result of the net operating loss carryforwards available to us, we expect that cash payments for taxes will continue to be minimal at this time. At August 2, 2008, our total gross deferred tax assets were approximately $28.5 million, with a corresponding valuation allowance of $1.2 million. These tax assets principally relate to federal net operating loss carryforwards that expire through 2024. The valuation allowance of $1.2 million is for losses associated with our Canadian operations and certain state net operating losses, the benefit of which may not be recognized due to short carryforward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the second quarter of fiscal 2008, we had net income of $1.9 million, or $0.05 per diluted share, as compared to net income of $2.5 million, or $0.06 per diluted share, for the second quarter of fiscal 2007. For the six months ended August 2, 2008, we had net income of $2.0 million, or $0.05 per diluted share, as compared to net income of $3.6 million, or $0.08 per diluted share, for the six months ended August 4, 2007. The results for the second quarter and first six months of fiscal 2007, included a loss from discontinued operations of $0.4 million, or $(0.01) per diluted share, and $0.9 million, or $(0.02) per diluted share, respectively, related to our Jared M. business, which we exited in the fourth quarter of fiscal 2007. See Note 5 to the Consolidated Financial Statements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August 2, 2008, total inventory was $112.7 million compared to $117.8 million at February 2, 2008 and $119.7 million at August 4, 2007.</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Inventory at the end of the second quarter of fiscal 2008 decreased 4.3% as compared to February 2, 2008 and decreased 5.8% compared to August 4, 2007. The decrease is the result of reductions of inventory in our Casual Male division as part of managing our inventory levels and in our Rochester retail stores as part of our shift in merchandising strategy from moderate to high-fashion merchandise. This decrease was partially offset by increases in inventory levels among our growing direct businesses. We expect to reduce inventory levels by $10 -$15 million by the end of fiscal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Historically and consistent with the retail industry, we have experienced seasonal fluctuations in revenues and income, with increases traditionally occurring during our third and fourth quarters as a result of the “Fall” and “Holiday” seasons.</w:t>
      </w:r>
    </w:p>
    <w:p>
      <w:pPr>
        <w:sectPr>
          <w:pgSz w:w="11900" w:h="16838" w:orient="portrait"/>
          <w:cols w:equalWidth="0" w:num="1">
            <w:col w:w="11360"/>
          </w:cols>
          <w:pgMar w:left="240" w:top="280"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AND CAPITAL RESOURCES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cash needs are for working capital (essentially inventory requirements) and capital expenditures. Specifically, our capital expenditure program includes projects for new store openings, relocations and remodeling, downsizing or combining existing stores, and improvements and integration of our systems infrastructure. We expect that cash flow from operations, external borrowings and 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and debt offerings. Our objective is to maintain a positive cash flow after capital expenditures such that we can support our growth activities with operational cash flows without incurring additional debt.</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six months of fiscal 2008, cash provided by operating activities was $9.2 million as compared to cash used for operating activities of $4.1 million for the corresponding period of the prior year. The improvement in cash flow from operating activities was primarily due to the reduction in inventory and other working capital accounts.</w:t>
      </w:r>
    </w:p>
    <w:p>
      <w:pPr>
        <w:spacing w:after="0" w:line="14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addition to cash flow from operations, our other primary source of working capital is our credit facility with Bank of America, N.A. (the “Credit Facility”) for a total commitment of $110 million. The maturity date of the Credit Facility is October 29, 2011. Borrowings under the Credit Facility bear interest at variable rates based on Bank of America’s prime rate or the London Interbank Offering Rate (“LIBOR”) and vary depending on our levels of excess availability. Our Credit Facility is described in more detail in Note 2 to the Notes to the Consolidated Financial Statements.</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had outstanding borrowings under the Credit Facility at August 2, 2008 of $44.9 million. Outstanding standby letters of credit were $2.2 million and outstanding documentary letters of credit were $3.0 million. Average monthly borrowings outstanding under this facility during the first six months of fiscal 2008 were approximately $50.2 million, resulting in an average unused excess availability of approximately $44.8 million. Unused excess availability at August 2, 2008 was $43.6 million. Our obligations under the Credit Facility are secured by a lien on all of our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Loan and Security Agreement</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July 20, 2007, we entered into a Master Loan and Security Agreement (the “Master Agreement”) with Banc of America Leasing &amp; Capital, LLC (“BALC”) for equipment financing. In conjunction with the Master Agreement, we entered into an Equipment Security Note (the “First Secured Note”), whereby we borrowed an aggregate of $17.4 million from BALC. The First Secured Note is due July 20, 2011.</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January 16, 2008, we entered into a second Equipment Security Note (the “Second Secured Note”), pursuant to the same terms and provisions of the Master Agreement, whereby we borrowed an additional $2.1 million. The Second Secured Note is due January 16, 2012.</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on each note, commencing one month after issuance of such note. We are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August 2, 2008, the outstanding balance of the secured notes was $14.9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Both notes are secured by a security interest in all of our rights, title and interest in and to certain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Dahle Acquisition</w:t>
      </w:r>
    </w:p>
    <w:p>
      <w:pPr>
        <w:spacing w:after="0" w:line="9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second quarter of fiscal 2008, we acquired certain assets of Dahle Management Corporation (“Dahle”), an operator of 15 big and tall men’s apparel stores located in nine states. Under the asset purchase agreement, the operations of 8 Dahle’s Big and Tall men’s stores were acquired and will be converted to Casual Male XL retail locations prior to the 2008 Holiday selling season. The 7 remaining locations, all of which compete directly with our Casual Male XL business, will be closed by Dahle prior to January 2009. In addition to the store locations, we also acquired Dahle’s customer list from their internet and catalog business, as well as their retail business.</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Repurchase Program</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fiscal 2006, our Board of Directors adopted a $75 million stock repurchase program, which was scheduled to terminate on December 31, 2007. On January 9, 2008, our Board of Directors extended this repurchase program authorizing us to continue to repurchase the approximately $24.1 million remaining under the program. The repurchases may be made through open market and privately negotiated transactions pursuant to Rule 10b-18 of the Securities Exchange Act of 1934, as amended (the “Exchange Act”). The stock repurchase program will expire on December 31, 2008, but may be terminated earlier at any time without prior notice.</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No repurchases were made during the first six months of fiscal 2008. As of August 2, 2008, we have repurchased approximately 4.3 million shares for an aggregate price of $50.9 million pursuant to this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August 2, 2008 and August 4, 2007,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3280" w:type="dxa"/>
            <w:vAlign w:val="bottom"/>
            <w:gridSpan w:val="4"/>
          </w:tcPr>
          <w:p>
            <w:pPr>
              <w:ind w:left="780"/>
              <w:spacing w:after="0"/>
              <w:rPr>
                <w:sz w:val="20"/>
                <w:szCs w:val="20"/>
                <w:color w:val="auto"/>
              </w:rPr>
            </w:pPr>
            <w:r>
              <w:rPr>
                <w:rFonts w:ascii="Arial" w:cs="Arial" w:eastAsia="Arial" w:hAnsi="Arial"/>
                <w:sz w:val="14"/>
                <w:szCs w:val="14"/>
                <w:b w:val="1"/>
                <w:bCs w:val="1"/>
                <w:color w:val="auto"/>
              </w:rPr>
              <w:t>At August 2, 2008</w:t>
            </w:r>
          </w:p>
        </w:tc>
        <w:tc>
          <w:tcPr>
            <w:tcW w:w="26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At August 4, 2007</w:t>
            </w: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68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w w:val="79"/>
              </w:rPr>
              <w:t>(square footage</w:t>
            </w:r>
          </w:p>
        </w:tc>
        <w:tc>
          <w:tcPr>
            <w:tcW w:w="4660" w:type="dxa"/>
            <w:vAlign w:val="bottom"/>
          </w:tcPr>
          <w:p>
            <w:pPr>
              <w:ind w:left="2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0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220</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Sears Canada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490</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1,825</w:t>
            </w:r>
          </w:p>
        </w:tc>
        <w:tc>
          <w:tcPr>
            <w:tcW w:w="1020" w:type="dxa"/>
            <w:vAlign w:val="bottom"/>
          </w:tcPr>
          <w:p>
            <w:pPr>
              <w:jc w:val="right"/>
              <w:spacing w:after="0"/>
              <w:rPr>
                <w:sz w:val="20"/>
                <w:szCs w:val="20"/>
                <w:color w:val="auto"/>
              </w:rPr>
            </w:pPr>
            <w:r>
              <w:rPr>
                <w:rFonts w:ascii="Arial" w:cs="Arial" w:eastAsia="Arial" w:hAnsi="Arial"/>
                <w:sz w:val="18"/>
                <w:szCs w:val="18"/>
                <w:color w:val="auto"/>
              </w:rPr>
              <w:t>503</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Total cash outlays for capital expenditures for the first six months of fiscal 2008 were $6.8 million as compared to $10.5 million for the first six months of fiscal 2007. Below is a summary of store openings and closings since February 2,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Rochester</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Casual Male</w:t>
            </w:r>
          </w:p>
        </w:tc>
        <w:tc>
          <w:tcPr>
            <w:tcW w:w="6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Big &amp;Tall</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Total stores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At February 2, 2008</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462</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New outlet stores</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Closed stores</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At August 2, 2008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color w:val="auto"/>
              </w:rPr>
              <w:t>Relocations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expect our total capital expenditures for fiscal 2008 will be approximately $11.5 million, of which $5.9 million relates to capital for new stores, relocations and remodels. The budget also includes approximately $3.4 million for system enhancements, including our inventory integration project. Included in store expansion are funds to relocate approximately 10 of our existing Casual Male XL retail stores at an estimated cost of $150,000 for each location.</w:t>
      </w:r>
    </w:p>
    <w:p>
      <w:pPr>
        <w:spacing w:after="0" w:line="10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For the remainder of fiscal 2008, we intend to open ten new Casual Male XL retail stores, which include the 8 stores being converted from Dahle to Casual Male XL. We also expect to close 5 existing Casual Male XL retail and outlet stores as their respective leases expire and relocating 7 other store locations.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February 2, 2008 filed with the SEC on March 26, 2008.</w:t>
      </w:r>
    </w:p>
    <w:p>
      <w:pPr>
        <w:sectPr>
          <w:pgSz w:w="11900" w:h="16838" w:orient="portrait"/>
          <w:cols w:equalWidth="0" w:num="1">
            <w:col w:w="11420"/>
          </w:cols>
          <w:pgMar w:left="240" w:top="280" w:right="239" w:bottom="1440" w:gutter="0" w:footer="0" w:header="0"/>
        </w:sectPr>
      </w:pPr>
    </w:p>
    <w:bookmarkStart w:id="15" w:name="page16"/>
    <w:bookmarkEnd w:id="1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2011, bear interest at variable rates based on Bank of America’s prime rate or the LIBOR. At August 2, 2008, the interest rate on our prime based borrowings was 5.00%. Approximately $37.0 million of our outstanding borrowings were in LIBOR contracts with interest rates ranging between 3.68% and 5.21%. Based upon a sensitivity analysis as of August 2, 2008, assuming average outstanding borrowing during the first six months of fiscal 2008 of $50.2 million, a 50 basis point increase in interest rates would have resulted in a potential increase in interest expense of approximately $251,000.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If the value of the Canadian dollar or the British pound against the U.S. dollar weakens, the revenues and earnings of these operations will be reduced when they are translated to U.S. dollars. Also, the value of these assets to U.S. dollars may decline. As of August 2, 2008, sales from our Sears Canada operations and our London Rochester Clothing store were immaterial to consolidated sales. As such, we believe that movement in foreign currency exchange rates will not have a material adverse affect on our financial position 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2, 2008.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2, 2008,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August 2, 2008 that has materially affected, or is reasonably likely to materially affect, our internal control over financial reporting.</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February 2, 2008 filed with the SEC on March 26,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right="400"/>
        <w:spacing w:after="0" w:line="306" w:lineRule="auto"/>
        <w:rPr>
          <w:sz w:val="20"/>
          <w:szCs w:val="20"/>
          <w:color w:val="auto"/>
        </w:rPr>
      </w:pPr>
      <w:r>
        <w:rPr>
          <w:rFonts w:ascii="Arial" w:cs="Arial" w:eastAsia="Arial" w:hAnsi="Arial"/>
          <w:sz w:val="16"/>
          <w:szCs w:val="16"/>
          <w:color w:val="auto"/>
        </w:rPr>
        <w:t>We held our 2008 Annual Meeting of Stockholders on July 31, 2008. The matters submitted to a vote of our stockholders were (i) the election of eight directors and (ii) the approval of an amendment to our 2006 Incentive Compensation Plan increasing the total number of shares of common stock authorized for issuance under the plan by 1,500,000 shares, from 2,500,000 to 4,000,000 shares.</w:t>
      </w:r>
    </w:p>
    <w:p>
      <w:pPr>
        <w:spacing w:after="0" w:line="26" w:lineRule="exact"/>
        <w:rPr>
          <w:sz w:val="20"/>
          <w:szCs w:val="20"/>
          <w:color w:val="auto"/>
        </w:rPr>
      </w:pPr>
    </w:p>
    <w:p>
      <w:pPr>
        <w:ind w:left="900" w:right="2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stockholders elected eight directors to hold office until the 2009 Annual Meeting of Stockholders and until their respective successors are duly elected and qualified. The results of the voting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Votes FOR</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Votes AGAINST</w:t>
            </w:r>
          </w:p>
        </w:tc>
      </w:tr>
      <w:tr>
        <w:trPr>
          <w:trHeight w:val="201"/>
        </w:trPr>
        <w:tc>
          <w:tcPr>
            <w:tcW w:w="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4"/>
              </w:rPr>
              <w:t>Seymour</w:t>
            </w:r>
          </w:p>
        </w:tc>
        <w:tc>
          <w:tcPr>
            <w:tcW w:w="7680" w:type="dxa"/>
            <w:vAlign w:val="bottom"/>
          </w:tcPr>
          <w:p>
            <w:pPr>
              <w:ind w:left="120"/>
              <w:spacing w:after="0" w:line="201" w:lineRule="exact"/>
              <w:rPr>
                <w:sz w:val="20"/>
                <w:szCs w:val="20"/>
                <w:color w:val="auto"/>
              </w:rPr>
            </w:pPr>
            <w:r>
              <w:rPr>
                <w:rFonts w:ascii="Arial" w:cs="Arial" w:eastAsia="Arial" w:hAnsi="Arial"/>
                <w:sz w:val="18"/>
                <w:szCs w:val="18"/>
                <w:color w:val="auto"/>
              </w:rPr>
              <w:t>Holtzman</w:t>
            </w:r>
          </w:p>
        </w:tc>
        <w:tc>
          <w:tcPr>
            <w:tcW w:w="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4"/>
              </w:rPr>
              <w:t>34,901,142</w:t>
            </w:r>
          </w:p>
        </w:tc>
        <w:tc>
          <w:tcPr>
            <w:tcW w:w="52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799,491</w:t>
            </w:r>
          </w:p>
        </w:tc>
        <w:tc>
          <w:tcPr>
            <w:tcW w:w="20" w:type="dxa"/>
            <w:vAlign w:val="bottom"/>
          </w:tcPr>
          <w:p>
            <w:pPr>
              <w:spacing w:after="0"/>
              <w:rPr>
                <w:sz w:val="17"/>
                <w:szCs w:val="17"/>
                <w:color w:val="auto"/>
              </w:rPr>
            </w:pP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300" w:type="dxa"/>
            <w:vAlign w:val="bottom"/>
            <w:gridSpan w:val="2"/>
          </w:tcPr>
          <w:p>
            <w:pPr>
              <w:spacing w:after="0"/>
              <w:rPr>
                <w:sz w:val="20"/>
                <w:szCs w:val="20"/>
                <w:color w:val="auto"/>
              </w:rPr>
            </w:pPr>
            <w:r>
              <w:rPr>
                <w:rFonts w:ascii="Arial" w:cs="Arial" w:eastAsia="Arial" w:hAnsi="Arial"/>
                <w:sz w:val="18"/>
                <w:szCs w:val="18"/>
                <w:color w:val="auto"/>
              </w:rPr>
              <w:t>34,901,024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799,609</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300" w:type="dxa"/>
            <w:vAlign w:val="bottom"/>
            <w:gridSpan w:val="2"/>
          </w:tcPr>
          <w:p>
            <w:pPr>
              <w:spacing w:after="0"/>
              <w:rPr>
                <w:sz w:val="20"/>
                <w:szCs w:val="20"/>
                <w:color w:val="auto"/>
              </w:rPr>
            </w:pPr>
            <w:r>
              <w:rPr>
                <w:rFonts w:ascii="Arial" w:cs="Arial" w:eastAsia="Arial" w:hAnsi="Arial"/>
                <w:sz w:val="18"/>
                <w:szCs w:val="18"/>
                <w:color w:val="auto"/>
              </w:rPr>
              <w:t>35,214,974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485,659</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1300" w:type="dxa"/>
            <w:vAlign w:val="bottom"/>
            <w:gridSpan w:val="2"/>
          </w:tcPr>
          <w:p>
            <w:pPr>
              <w:spacing w:after="0"/>
              <w:rPr>
                <w:sz w:val="20"/>
                <w:szCs w:val="20"/>
                <w:color w:val="auto"/>
              </w:rPr>
            </w:pPr>
            <w:r>
              <w:rPr>
                <w:rFonts w:ascii="Arial" w:cs="Arial" w:eastAsia="Arial" w:hAnsi="Arial"/>
                <w:sz w:val="18"/>
                <w:szCs w:val="18"/>
                <w:color w:val="auto"/>
              </w:rPr>
              <w:t>35,153,106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547,527</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1300" w:type="dxa"/>
            <w:vAlign w:val="bottom"/>
            <w:gridSpan w:val="2"/>
          </w:tcPr>
          <w:p>
            <w:pPr>
              <w:spacing w:after="0"/>
              <w:rPr>
                <w:sz w:val="20"/>
                <w:szCs w:val="20"/>
                <w:color w:val="auto"/>
              </w:rPr>
            </w:pPr>
            <w:r>
              <w:rPr>
                <w:rFonts w:ascii="Arial" w:cs="Arial" w:eastAsia="Arial" w:hAnsi="Arial"/>
                <w:sz w:val="18"/>
                <w:szCs w:val="18"/>
                <w:color w:val="auto"/>
              </w:rPr>
              <w:t>35,462,546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238,087</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1300" w:type="dxa"/>
            <w:vAlign w:val="bottom"/>
            <w:gridSpan w:val="2"/>
          </w:tcPr>
          <w:p>
            <w:pPr>
              <w:spacing w:after="0"/>
              <w:rPr>
                <w:sz w:val="20"/>
                <w:szCs w:val="20"/>
                <w:color w:val="auto"/>
              </w:rPr>
            </w:pPr>
            <w:r>
              <w:rPr>
                <w:rFonts w:ascii="Arial" w:cs="Arial" w:eastAsia="Arial" w:hAnsi="Arial"/>
                <w:sz w:val="18"/>
                <w:szCs w:val="18"/>
                <w:color w:val="auto"/>
              </w:rPr>
              <w:t>35,214,774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485,859</w:t>
            </w:r>
          </w:p>
        </w:tc>
      </w:tr>
      <w:tr>
        <w:trPr>
          <w:trHeight w:val="216"/>
        </w:trPr>
        <w:tc>
          <w:tcPr>
            <w:tcW w:w="82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1300" w:type="dxa"/>
            <w:vAlign w:val="bottom"/>
            <w:gridSpan w:val="2"/>
          </w:tcPr>
          <w:p>
            <w:pPr>
              <w:spacing w:after="0"/>
              <w:rPr>
                <w:sz w:val="20"/>
                <w:szCs w:val="20"/>
                <w:color w:val="auto"/>
              </w:rPr>
            </w:pPr>
            <w:r>
              <w:rPr>
                <w:rFonts w:ascii="Arial" w:cs="Arial" w:eastAsia="Arial" w:hAnsi="Arial"/>
                <w:sz w:val="18"/>
                <w:szCs w:val="18"/>
                <w:color w:val="auto"/>
              </w:rPr>
              <w:t>35,462,746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237,887</w:t>
            </w:r>
          </w:p>
        </w:tc>
      </w:t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1300" w:type="dxa"/>
            <w:vAlign w:val="bottom"/>
            <w:gridSpan w:val="2"/>
          </w:tcPr>
          <w:p>
            <w:pPr>
              <w:spacing w:after="0"/>
              <w:rPr>
                <w:sz w:val="20"/>
                <w:szCs w:val="20"/>
                <w:color w:val="auto"/>
              </w:rPr>
            </w:pPr>
            <w:r>
              <w:rPr>
                <w:rFonts w:ascii="Arial" w:cs="Arial" w:eastAsia="Arial" w:hAnsi="Arial"/>
                <w:sz w:val="18"/>
                <w:szCs w:val="18"/>
                <w:color w:val="auto"/>
              </w:rPr>
              <w:t>34,990,474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710,159</w:t>
            </w:r>
          </w:p>
        </w:tc>
      </w:tr>
    </w:tbl>
    <w:p>
      <w:pPr>
        <w:spacing w:after="0" w:line="75" w:lineRule="exact"/>
        <w:rPr>
          <w:sz w:val="20"/>
          <w:szCs w:val="20"/>
          <w:color w:val="auto"/>
        </w:rPr>
      </w:pPr>
    </w:p>
    <w:p>
      <w:pPr>
        <w:ind w:left="900" w:right="6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stockholders did not approve the proposed amendment to our 2006 Incentive Compensation Plan which would have increased the shares available under the plan from 2,500,000 to 4,000,000. The results of the voting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Votes AGAINST</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Votes ABSTAINED</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Broker Non-Votes</w:t>
            </w:r>
          </w:p>
        </w:tc>
      </w:tr>
      <w:tr>
        <w:trPr>
          <w:trHeight w:val="216"/>
        </w:trPr>
        <w:tc>
          <w:tcPr>
            <w:tcW w:w="2980" w:type="dxa"/>
            <w:vAlign w:val="bottom"/>
          </w:tcPr>
          <w:p>
            <w:pPr>
              <w:jc w:val="right"/>
              <w:ind w:right="1062"/>
              <w:spacing w:after="0"/>
              <w:rPr>
                <w:sz w:val="20"/>
                <w:szCs w:val="20"/>
                <w:color w:val="auto"/>
              </w:rPr>
            </w:pPr>
            <w:r>
              <w:rPr>
                <w:rFonts w:ascii="Arial" w:cs="Arial" w:eastAsia="Arial" w:hAnsi="Arial"/>
                <w:sz w:val="18"/>
                <w:szCs w:val="18"/>
                <w:color w:val="auto"/>
              </w:rPr>
              <w:t>8,975,999</w:t>
            </w:r>
          </w:p>
        </w:tc>
        <w:tc>
          <w:tcPr>
            <w:tcW w:w="120" w:type="dxa"/>
            <w:vAlign w:val="bottom"/>
          </w:tcPr>
          <w:p>
            <w:pPr>
              <w:spacing w:after="0"/>
              <w:rPr>
                <w:sz w:val="18"/>
                <w:szCs w:val="18"/>
                <w:color w:val="auto"/>
              </w:rPr>
            </w:pPr>
          </w:p>
        </w:tc>
        <w:tc>
          <w:tcPr>
            <w:tcW w:w="2740" w:type="dxa"/>
            <w:vAlign w:val="bottom"/>
          </w:tcPr>
          <w:p>
            <w:pPr>
              <w:jc w:val="right"/>
              <w:ind w:right="902"/>
              <w:spacing w:after="0"/>
              <w:rPr>
                <w:sz w:val="20"/>
                <w:szCs w:val="20"/>
                <w:color w:val="auto"/>
              </w:rPr>
            </w:pPr>
            <w:r>
              <w:rPr>
                <w:rFonts w:ascii="Arial" w:cs="Arial" w:eastAsia="Arial" w:hAnsi="Arial"/>
                <w:sz w:val="18"/>
                <w:szCs w:val="18"/>
                <w:color w:val="auto"/>
              </w:rPr>
              <w:t>23,128,265</w:t>
            </w:r>
          </w:p>
        </w:tc>
        <w:tc>
          <w:tcPr>
            <w:tcW w:w="120" w:type="dxa"/>
            <w:vAlign w:val="bottom"/>
          </w:tcPr>
          <w:p>
            <w:pPr>
              <w:spacing w:after="0"/>
              <w:rPr>
                <w:sz w:val="18"/>
                <w:szCs w:val="18"/>
                <w:color w:val="auto"/>
              </w:rPr>
            </w:pPr>
          </w:p>
        </w:tc>
        <w:tc>
          <w:tcPr>
            <w:tcW w:w="2740" w:type="dxa"/>
            <w:vAlign w:val="bottom"/>
          </w:tcPr>
          <w:p>
            <w:pPr>
              <w:jc w:val="right"/>
              <w:ind w:right="1002"/>
              <w:spacing w:after="0"/>
              <w:rPr>
                <w:sz w:val="20"/>
                <w:szCs w:val="20"/>
                <w:color w:val="auto"/>
              </w:rPr>
            </w:pPr>
            <w:r>
              <w:rPr>
                <w:rFonts w:ascii="Arial" w:cs="Arial" w:eastAsia="Arial" w:hAnsi="Arial"/>
                <w:sz w:val="18"/>
                <w:szCs w:val="18"/>
                <w:color w:val="auto"/>
              </w:rPr>
              <w:t>106,208</w:t>
            </w:r>
          </w:p>
        </w:tc>
        <w:tc>
          <w:tcPr>
            <w:tcW w:w="100" w:type="dxa"/>
            <w:vAlign w:val="bottom"/>
          </w:tcPr>
          <w:p>
            <w:pPr>
              <w:spacing w:after="0"/>
              <w:rPr>
                <w:sz w:val="18"/>
                <w:szCs w:val="18"/>
                <w:color w:val="auto"/>
              </w:rPr>
            </w:pPr>
          </w:p>
        </w:tc>
        <w:tc>
          <w:tcPr>
            <w:tcW w:w="2620" w:type="dxa"/>
            <w:vAlign w:val="bottom"/>
          </w:tcPr>
          <w:p>
            <w:pPr>
              <w:jc w:val="right"/>
              <w:ind w:right="882"/>
              <w:spacing w:after="0"/>
              <w:rPr>
                <w:sz w:val="20"/>
                <w:szCs w:val="20"/>
                <w:color w:val="auto"/>
              </w:rPr>
            </w:pPr>
            <w:r>
              <w:rPr>
                <w:rFonts w:ascii="Arial" w:cs="Arial" w:eastAsia="Arial" w:hAnsi="Arial"/>
                <w:sz w:val="18"/>
                <w:szCs w:val="18"/>
                <w:color w:val="auto"/>
              </w:rPr>
              <w:t>3,490,161</w:t>
            </w:r>
          </w:p>
        </w:tc>
      </w:tr>
    </w:tbl>
    <w:p>
      <w:pPr>
        <w:sectPr>
          <w:pgSz w:w="11900" w:h="16838" w:orient="portrait"/>
          <w:cols w:equalWidth="0" w:num="1">
            <w:col w:w="11420"/>
          </w:cols>
          <w:pgMar w:left="240" w:top="274" w:right="239" w:bottom="1440" w:gutter="0" w:footer="0" w:header="0"/>
        </w:sectPr>
      </w:pPr>
    </w:p>
    <w:bookmarkStart w:id="17" w:name="page18"/>
    <w:bookmarkEnd w:id="1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2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between the Company and Mark Bean dated May 1, 2007.</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Employment Agreement between the Company and Ronald Threadgill dated February 11, 2008.</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Employment Agreement between the Company and Vickie Smith dated February 19, 2008.</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Employment Agreement between the Company and Peter E. Schmitz dated March 28, 2008.</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Employment Agreement between the Company and Francis Chane dated June 9, 2008.</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Description of Non-Employee Director Compensation Arrangement as of July 31, 2008.</w:t>
      </w:r>
    </w:p>
    <w:p>
      <w:pPr>
        <w:spacing w:after="0" w:line="117" w:lineRule="exact"/>
        <w:rPr>
          <w:sz w:val="20"/>
          <w:szCs w:val="20"/>
          <w:color w:val="auto"/>
        </w:rPr>
      </w:pPr>
    </w:p>
    <w:p>
      <w:pPr>
        <w:ind w:left="700" w:hanging="666"/>
        <w:spacing w:after="0" w:line="268" w:lineRule="auto"/>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Casual Male Retail Group, Inc. Amended and Restated Annual Incentive Plan (included as Exhibit 10.1 to the Company’s Current Report on Form 8-K filed August 4, 2008, and incorporated herein by reference).</w:t>
      </w:r>
    </w:p>
    <w:p>
      <w:pPr>
        <w:spacing w:after="0" w:line="7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340"/>
          </w:cols>
          <w:pgMar w:left="240" w:top="274"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CASUAL MALE RETAIL GROUP, INC.</w:t>
            </w:r>
          </w:p>
        </w:tc>
      </w:tr>
      <w:tr>
        <w:trPr>
          <w:trHeight w:val="433"/>
        </w:trPr>
        <w:tc>
          <w:tcPr>
            <w:tcW w:w="3760" w:type="dxa"/>
            <w:vAlign w:val="bottom"/>
          </w:tcPr>
          <w:p>
            <w:pPr>
              <w:spacing w:after="0"/>
              <w:rPr>
                <w:sz w:val="20"/>
                <w:szCs w:val="20"/>
                <w:color w:val="auto"/>
              </w:rPr>
            </w:pPr>
            <w:r>
              <w:rPr>
                <w:rFonts w:ascii="Arial" w:cs="Arial" w:eastAsia="Arial" w:hAnsi="Arial"/>
                <w:sz w:val="18"/>
                <w:szCs w:val="18"/>
                <w:color w:val="auto"/>
              </w:rPr>
              <w:t>Date: August 22, 2008</w:t>
            </w: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By:  /S/ SHERI A. KNIGHT</w:t>
            </w:r>
          </w:p>
        </w:tc>
      </w:tr>
      <w:tr>
        <w:trPr>
          <w:trHeight w:val="202"/>
        </w:trPr>
        <w:tc>
          <w:tcPr>
            <w:tcW w:w="3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Sheri A. Knight</w:t>
            </w:r>
          </w:p>
        </w:tc>
      </w:tr>
      <w:tr>
        <w:trPr>
          <w:trHeight w:val="222"/>
        </w:trPr>
        <w:tc>
          <w:tcPr>
            <w:tcW w:w="3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of Finance and Corporate Controller</w:t>
            </w:r>
          </w:p>
        </w:tc>
      </w:tr>
    </w:tbl>
    <w:p>
      <w:pPr>
        <w:sectPr>
          <w:pgSz w:w="11900" w:h="16838" w:orient="portrait"/>
          <w:cols w:equalWidth="0" w:num="1">
            <w:col w:w="11420"/>
          </w:cols>
          <w:pgMar w:left="240" w:top="28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This Employment Agreement (“Agreement”) is made as of May 1, 2007 between CASUAL MALE RETAIL GROUP, INC., a Delaware corporation with an office at 555 Turnpike Street, Canton, Massachusetts, 02021 (the “Company”), and Mark Bean (the “Executive”) having an address at 1 Bridle Path, Plainville, MA 02762.</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Store Sales and Operations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51"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Store Sales and Operations .</w:t>
      </w:r>
    </w:p>
    <w:p>
      <w:pPr>
        <w:spacing w:after="0" w:line="205"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term of employment under this Agreement shall begin on May 1 2007 (the “Employment Date”) and shall continue for a period of two (2) years from that date (the “Term”), subject to prior termination in accordance with the terms hereof.</w:t>
      </w:r>
    </w:p>
    <w:p>
      <w:pPr>
        <w:spacing w:after="0" w:line="172"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40" w:firstLine="921"/>
        <w:spacing w:after="0" w:line="259" w:lineRule="auto"/>
        <w:tabs>
          <w:tab w:leader="none" w:pos="11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seventy-five thousand dollars and no cents ($275,000.00).</w:t>
      </w:r>
    </w:p>
    <w:p>
      <w:pPr>
        <w:spacing w:after="0" w:line="140" w:lineRule="exact"/>
        <w:rPr>
          <w:rFonts w:ascii="Arial" w:cs="Arial" w:eastAsia="Arial" w:hAnsi="Arial"/>
          <w:sz w:val="18"/>
          <w:szCs w:val="18"/>
          <w:color w:val="auto"/>
        </w:rPr>
      </w:pPr>
    </w:p>
    <w:p>
      <w:pPr>
        <w:ind w:right="680" w:firstLine="921"/>
        <w:spacing w:after="0" w:line="268" w:lineRule="auto"/>
        <w:tabs>
          <w:tab w:leader="none" w:pos="1162"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Executive is eligible to participate in the Company’s annual performance appraisal and compensation review process in accordance with Company practice.</w:t>
      </w:r>
    </w:p>
    <w:p>
      <w:pPr>
        <w:spacing w:after="0" w:line="131" w:lineRule="exact"/>
        <w:rPr>
          <w:rFonts w:ascii="Arial" w:cs="Arial" w:eastAsia="Arial" w:hAnsi="Arial"/>
          <w:sz w:val="18"/>
          <w:szCs w:val="18"/>
          <w:color w:val="auto"/>
        </w:rPr>
      </w:pPr>
    </w:p>
    <w:p>
      <w:pPr>
        <w:ind w:right="320" w:firstLine="921"/>
        <w:spacing w:after="0" w:line="294" w:lineRule="auto"/>
        <w:tabs>
          <w:tab w:leader="none" w:pos="1152"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at target (52.5% max) (FY 2007) of Executive’s actual annual base earnings.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20" w:name="page21"/>
    <w:bookmarkEnd w:id="20"/>
    <w:p>
      <w:pPr>
        <w:ind w:right="20" w:firstLine="921"/>
        <w:spacing w:after="0" w:line="291" w:lineRule="auto"/>
        <w:tabs>
          <w:tab w:leader="none" w:pos="1152" w:val="left"/>
        </w:tabs>
        <w:numPr>
          <w:ilvl w:val="1"/>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Long Term Incentive Plan (LTIP) documents in effect at the time of the award, subject to change from year to year in the Company’s sole discretion. Executive will participate in the Company’s Long Term Incentive Plan at an incentive rate of 70%, at target, of Executive’s combined actual annual base salary, for the incentive period, as defined in the Long Term Incentive Plan documents in effect at the time of the award. However, given the three year term of the Long Term Incentive Plan and the eighteen (18) month vesting period for distribution, Executive would have to be employed with the Company beyond the term of this Agreement to receive benefits under the Plan.</w:t>
      </w:r>
    </w:p>
    <w:p>
      <w:pPr>
        <w:spacing w:after="0" w:line="160" w:lineRule="exact"/>
        <w:rPr>
          <w:rFonts w:ascii="Arial" w:cs="Arial" w:eastAsia="Arial" w:hAnsi="Arial"/>
          <w:sz w:val="16"/>
          <w:szCs w:val="16"/>
          <w:color w:val="auto"/>
        </w:rPr>
      </w:pPr>
    </w:p>
    <w:p>
      <w:pPr>
        <w:ind w:left="1480" w:hanging="56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53" w:lineRule="exact"/>
        <w:rPr>
          <w:sz w:val="20"/>
          <w:szCs w:val="20"/>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firstLine="921"/>
        <w:spacing w:after="0" w:line="306" w:lineRule="auto"/>
        <w:tabs>
          <w:tab w:leader="none" w:pos="1152"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 (k),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jc w:val="both"/>
        <w:ind w:right="60" w:firstLine="921"/>
        <w:spacing w:after="0" w:line="259" w:lineRule="auto"/>
        <w:tabs>
          <w:tab w:leader="none" w:pos="115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his position as Senior Vice President, Store Sales and Operations and/or as the Chief Executive Officer of the Company shall from time to time determine and Executive shall comply in the performance of his duties with the policies of, and be subject to the direction of, the above named officer of the company.</w:t>
      </w:r>
    </w:p>
    <w:p>
      <w:pPr>
        <w:spacing w:after="0" w:line="140" w:lineRule="exact"/>
        <w:rPr>
          <w:rFonts w:ascii="Arial" w:cs="Arial" w:eastAsia="Arial" w:hAnsi="Arial"/>
          <w:sz w:val="18"/>
          <w:szCs w:val="18"/>
          <w:color w:val="auto"/>
        </w:rPr>
      </w:pPr>
    </w:p>
    <w:p>
      <w:pPr>
        <w:ind w:right="120" w:firstLine="921"/>
        <w:spacing w:after="0" w:line="259" w:lineRule="auto"/>
        <w:tabs>
          <w:tab w:leader="none" w:pos="11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1" w:name="page22"/>
    <w:bookmarkEnd w:id="21"/>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foregoing, Executive shall not be prevented from accepting positions in outside charitable organizations so long as such activities do not interfere with Executive’s performance of his duties hereunder and do not violate Section 10 hereof.</w:t>
      </w:r>
    </w:p>
    <w:p>
      <w:pPr>
        <w:spacing w:after="0" w:line="132" w:lineRule="exact"/>
        <w:rPr>
          <w:sz w:val="20"/>
          <w:szCs w:val="20"/>
          <w:color w:val="auto"/>
        </w:rPr>
      </w:pPr>
    </w:p>
    <w:p>
      <w:pPr>
        <w:ind w:firstLine="921"/>
        <w:spacing w:after="0" w:line="256" w:lineRule="auto"/>
        <w:tabs>
          <w:tab w:leader="none" w:pos="1152"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Chief Executive Officer. Notwithstanding the foregoing, Executive shall perform such services at such other locations as may be required for the proper performance of his duties hereunder, and Executive recognizes that such duties may involve travel.</w:t>
      </w:r>
    </w:p>
    <w:p>
      <w:pPr>
        <w:spacing w:after="0" w:line="183"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right="80" w:firstLine="1492"/>
        <w:spacing w:after="0" w:line="259" w:lineRule="auto"/>
        <w:tabs>
          <w:tab w:leader="none" w:pos="1693" w:val="left"/>
        </w:tabs>
        <w:numPr>
          <w:ilvl w:val="2"/>
          <w:numId w:val="17"/>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60" w:hanging="268"/>
        <w:spacing w:after="0"/>
        <w:tabs>
          <w:tab w:leader="none" w:pos="17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800" w:hanging="308"/>
        <w:spacing w:after="0"/>
        <w:tabs>
          <w:tab w:leader="none" w:pos="180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right="320" w:firstLine="921"/>
        <w:spacing w:after="0" w:line="259" w:lineRule="auto"/>
        <w:tabs>
          <w:tab w:leader="none" w:pos="11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right="40" w:firstLine="921"/>
        <w:spacing w:after="0" w:line="254" w:lineRule="auto"/>
        <w:tabs>
          <w:tab w:leader="none" w:pos="1162"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2" w:name="page23"/>
    <w:bookmarkEnd w:id="2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43" w:lineRule="exact"/>
        <w:rPr>
          <w:sz w:val="20"/>
          <w:szCs w:val="20"/>
          <w:color w:val="auto"/>
        </w:rPr>
      </w:pPr>
    </w:p>
    <w:p>
      <w:pPr>
        <w:ind w:right="20" w:firstLine="921"/>
        <w:spacing w:after="0" w:line="286" w:lineRule="auto"/>
        <w:tabs>
          <w:tab w:leader="none" w:pos="11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the base salary for the remainder of the Term not to exceed an amount equal to one half of Executive’s annual base salary,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Senior Vice President of Human Resources of the Company at 555 Turnpike Street, Canton, Massachusetts, 02021,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7" w:lineRule="exact"/>
        <w:rPr>
          <w:rFonts w:ascii="Arial" w:cs="Arial" w:eastAsia="Arial" w:hAnsi="Arial"/>
          <w:sz w:val="16"/>
          <w:szCs w:val="16"/>
          <w:color w:val="auto"/>
        </w:rPr>
      </w:pPr>
    </w:p>
    <w:p>
      <w:pPr>
        <w:ind w:firstLine="921"/>
        <w:spacing w:after="0" w:line="259" w:lineRule="auto"/>
        <w:tabs>
          <w:tab w:leader="none" w:pos="1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5 as have been accrued through the date of his death.</w:t>
      </w:r>
    </w:p>
    <w:p>
      <w:pPr>
        <w:spacing w:after="0" w:line="140" w:lineRule="exact"/>
        <w:rPr>
          <w:rFonts w:ascii="Arial" w:cs="Arial" w:eastAsia="Arial" w:hAnsi="Arial"/>
          <w:sz w:val="18"/>
          <w:szCs w:val="18"/>
          <w:color w:val="auto"/>
        </w:rPr>
      </w:pPr>
    </w:p>
    <w:p>
      <w:pPr>
        <w:ind w:right="300" w:firstLine="921"/>
        <w:spacing w:after="0" w:line="306" w:lineRule="auto"/>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(f)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6 hereof.</w:t>
      </w:r>
    </w:p>
    <w:p>
      <w:pPr>
        <w:spacing w:after="0" w:line="106"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5 as have been accrued through the date of his resignation.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3" w:name="page24"/>
    <w:bookmarkEnd w:id="23"/>
    <w:p>
      <w:pPr>
        <w:ind w:firstLine="921"/>
        <w:spacing w:after="0" w:line="290" w:lineRule="auto"/>
        <w:tabs>
          <w:tab w:leader="none" w:pos="112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as a result of a Change of Control of the Company occurring during the Term then, in such event, the Company shall pay Executive the greater of: (i) the base salary for the remainder of the Term or (ii) an amount equal to twelve (12) months of base annual salary in effect at the time of the termination, which amount will be subject to mitigation in accordance with Section 7(e) above. For the purposes of the foregoing, Change of Control shall have the meaning set forth in the Designs, Inc. 1992 Stock Incentive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158" w:lineRule="exact"/>
        <w:rPr>
          <w:rFonts w:ascii="Arial" w:cs="Arial" w:eastAsia="Arial" w:hAnsi="Arial"/>
          <w:sz w:val="16"/>
          <w:szCs w:val="16"/>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right="140" w:firstLine="921"/>
        <w:spacing w:after="0" w:line="370" w:lineRule="auto"/>
        <w:tabs>
          <w:tab w:leader="none" w:pos="1152" w:val="left"/>
        </w:tabs>
        <w:numPr>
          <w:ilvl w:val="1"/>
          <w:numId w:val="20"/>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1"/>
          <w:numId w:val="20"/>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right="80" w:firstLine="921"/>
        <w:spacing w:after="0" w:line="259" w:lineRule="auto"/>
        <w:tabs>
          <w:tab w:leader="none" w:pos="1162"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12"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rFonts w:ascii="Arial" w:cs="Arial" w:eastAsia="Arial" w:hAnsi="Arial"/>
          <w:sz w:val="18"/>
          <w:szCs w:val="18"/>
          <w:color w:val="auto"/>
        </w:rPr>
      </w:pPr>
    </w:p>
    <w:p>
      <w:pPr>
        <w:ind w:right="520" w:firstLine="921"/>
        <w:spacing w:after="0" w:line="268" w:lineRule="auto"/>
        <w:tabs>
          <w:tab w:leader="none" w:pos="11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Executive agrees that during his employment by the Company and during the two (2) year period following the termination of Executive’s employment hereunder (the “Non-Competitive Period”), Executive shall not, directly or indirectly, as owner, partner, joint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the United States of America and Puerto Rico where, at the time of the termination of his employment hereunder, the business of the Company or any of such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3" w:lineRule="exact"/>
        <w:rPr>
          <w:sz w:val="20"/>
          <w:szCs w:val="20"/>
          <w:color w:val="auto"/>
        </w:rPr>
      </w:pPr>
    </w:p>
    <w:p>
      <w:pPr>
        <w:ind w:right="160" w:firstLine="921"/>
        <w:spacing w:after="0" w:line="255"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shall include,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right="40" w:firstLine="921"/>
        <w:spacing w:after="0" w:line="294" w:lineRule="auto"/>
        <w:tabs>
          <w:tab w:leader="none" w:pos="11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United States and Puerto Rico, that Executive’s duties and responsibilities on behalf of the Company are nationwide (including Puerto Rico) in scope, that its sales and marketing prospects are for continued expansion throughout the United States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100" w:firstLine="921"/>
        <w:spacing w:after="0" w:line="256" w:lineRule="auto"/>
        <w:tabs>
          <w:tab w:leader="none" w:pos="116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84" w:lineRule="exact"/>
        <w:rPr>
          <w:sz w:val="20"/>
          <w:szCs w:val="20"/>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right="80" w:firstLine="921"/>
        <w:spacing w:after="0" w:line="268" w:lineRule="auto"/>
        <w:tabs>
          <w:tab w:leader="none" w:pos="11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5" w:name="page26"/>
    <w:bookmarkEnd w:id="2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16" w:lineRule="exact"/>
        <w:rPr>
          <w:sz w:val="20"/>
          <w:szCs w:val="20"/>
          <w:color w:val="auto"/>
        </w:rPr>
      </w:pPr>
    </w:p>
    <w:p>
      <w:pPr>
        <w:ind w:right="80" w:firstLine="921"/>
        <w:spacing w:after="0" w:line="253"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6" w:name="page27"/>
    <w:bookmarkEnd w:id="26"/>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921"/>
        <w:spacing w:after="0" w:line="285"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ind w:right="580" w:firstLine="921"/>
        <w:spacing w:after="0" w:line="298"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53" w:lineRule="exact"/>
        <w:rPr>
          <w:sz w:val="20"/>
          <w:szCs w:val="20"/>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7" w:name="page28"/>
    <w:bookmarkEnd w:id="27"/>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147"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12" w:lineRule="exact"/>
        <w:rPr>
          <w:sz w:val="20"/>
          <w:szCs w:val="20"/>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72"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66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72"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47" w:lineRule="exact"/>
        <w:rPr>
          <w:sz w:val="20"/>
          <w:szCs w:val="20"/>
          <w:color w:val="auto"/>
        </w:rPr>
      </w:pPr>
    </w:p>
    <w:p>
      <w:pPr>
        <w:ind w:left="1480" w:hanging="56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72"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including the Letter Agreement dated June 13, 2005., This Agreement may not be modified except upon further written agreement executed by both parties. Executive agrees that the Company may in its sole discretion, during the term of Executive’s employment with the Company and thereafter, provide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8" w:name="page29"/>
    <w:bookmarkEnd w:id="28"/>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153" w:lineRule="exact"/>
        <w:rPr>
          <w:sz w:val="20"/>
          <w:szCs w:val="20"/>
          <w:color w:val="auto"/>
        </w:rPr>
      </w:pPr>
    </w:p>
    <w:p>
      <w:pPr>
        <w:ind w:left="1480" w:hanging="56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5, 8, 9, 10, 11 and 12 hereof.</w:t>
      </w:r>
    </w:p>
    <w:p>
      <w:pPr>
        <w:spacing w:after="0" w:line="172" w:lineRule="exact"/>
        <w:rPr>
          <w:sz w:val="20"/>
          <w:szCs w:val="20"/>
          <w:color w:val="auto"/>
        </w:rPr>
      </w:pPr>
    </w:p>
    <w:p>
      <w:pPr>
        <w:ind w:left="1480" w:hanging="56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129" w:lineRule="exact"/>
        <w:rPr>
          <w:sz w:val="20"/>
          <w:szCs w:val="20"/>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2" w:lineRule="exact"/>
        <w:rPr>
          <w:sz w:val="20"/>
          <w:szCs w:val="20"/>
          <w:color w:val="auto"/>
        </w:rPr>
      </w:pPr>
    </w:p>
    <w:p>
      <w:pPr>
        <w:ind w:left="1480" w:hanging="56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72" w:lineRule="exact"/>
        <w:rPr>
          <w:sz w:val="20"/>
          <w:szCs w:val="20"/>
          <w:color w:val="auto"/>
        </w:rPr>
      </w:pPr>
    </w:p>
    <w:p>
      <w:pPr>
        <w:ind w:left="1480" w:hanging="56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ectPr>
          <w:pgSz w:w="11900" w:h="16838" w:orient="portrait"/>
          <w:cols w:equalWidth="0" w:num="1">
            <w:col w:w="10219"/>
          </w:cols>
          <w:pgMar w:left="240" w:top="280" w:right="1440"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19"/>
                <w:szCs w:val="19"/>
                <w:color w:val="auto"/>
              </w:rPr>
            </w:pP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4"/>
                <w:szCs w:val="24"/>
                <w:color w:val="auto"/>
              </w:rPr>
            </w:pP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000" w:type="dxa"/>
            <w:vAlign w:val="bottom"/>
          </w:tcPr>
          <w:p>
            <w:pPr>
              <w:spacing w:after="0"/>
              <w:rPr>
                <w:sz w:val="20"/>
                <w:szCs w:val="20"/>
                <w:color w:val="auto"/>
              </w:rPr>
            </w:pPr>
            <w:r>
              <w:rPr>
                <w:rFonts w:ascii="Arial" w:cs="Arial" w:eastAsia="Arial" w:hAnsi="Arial"/>
                <w:sz w:val="18"/>
                <w:szCs w:val="18"/>
                <w:color w:val="auto"/>
              </w:rPr>
              <w:t>Executive VP, COO, CFO</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Bean</w:t>
            </w: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000" w:type="dxa"/>
            <w:vAlign w:val="bottom"/>
          </w:tcPr>
          <w:p>
            <w:pPr>
              <w:spacing w:after="0"/>
              <w:rPr>
                <w:sz w:val="20"/>
                <w:szCs w:val="20"/>
                <w:color w:val="auto"/>
              </w:rPr>
            </w:pPr>
            <w:r>
              <w:rPr>
                <w:rFonts w:ascii="Arial" w:cs="Arial" w:eastAsia="Arial" w:hAnsi="Arial"/>
                <w:sz w:val="18"/>
                <w:szCs w:val="18"/>
                <w:color w:val="auto"/>
              </w:rPr>
              <w:t>Mark Bean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-5715</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-5715</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9"/>
        <w:spacing w:after="0"/>
        <w:tabs>
          <w:tab w:leader="none" w:pos="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11/9/07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4900" w:space="720"/>
            <w:col w:w="4599"/>
          </w:cols>
          <w:pgMar w:left="240" w:top="280" w:right="1440"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Employment Agreement (“Agreement”) is made as of February 11, 2008 between CASUAL MALE RETAIL GROUP, INC., a Delaware corporation with an office at 555 Turnpike Street, Canton, Massachusetts, 02021 (the “Company” which term includes any affiliates and subsidiaries), and Ronald Threadgill (the “Executive”) having an address at 12505 Maverick Court, Tampa, FL 33626.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desires that Executive serve as Vice President, Global Sourcing, and Executive desires to be so employed by the Company.</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51" w:lineRule="exact"/>
        <w:rPr>
          <w:sz w:val="20"/>
          <w:szCs w:val="20"/>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Vice President, Global Sourcing.</w:t>
      </w:r>
    </w:p>
    <w:p>
      <w:pPr>
        <w:spacing w:after="0" w:line="205" w:lineRule="exact"/>
        <w:rPr>
          <w:sz w:val="20"/>
          <w:szCs w:val="20"/>
          <w:color w:val="auto"/>
        </w:rPr>
      </w:pPr>
    </w:p>
    <w:p>
      <w:pPr>
        <w:ind w:left="1480" w:hanging="567"/>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1" w:lineRule="exact"/>
        <w:rPr>
          <w:sz w:val="20"/>
          <w:szCs w:val="20"/>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240" w:firstLine="921"/>
        <w:spacing w:after="0" w:line="259" w:lineRule="auto"/>
        <w:tabs>
          <w:tab w:leader="none" w:pos="11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One Hundred Ninety-Five Thousand Dollars and 00/100 Cents ($195,000.00).</w:t>
      </w:r>
    </w:p>
    <w:p>
      <w:pPr>
        <w:spacing w:after="0" w:line="140"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(52.5%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31" w:name="page32"/>
    <w:bookmarkEnd w:id="31"/>
    <w:p>
      <w:pPr>
        <w:jc w:val="both"/>
        <w:ind w:right="60" w:firstLine="921"/>
        <w:spacing w:after="0" w:line="298" w:lineRule="auto"/>
        <w:tabs>
          <w:tab w:leader="none" w:pos="1152" w:val="left"/>
        </w:tabs>
        <w:numPr>
          <w:ilvl w:val="1"/>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salary, for the incentive period, based upon the Company’s targeted performance as defined in the LTIP documents in effect at the time of the award.</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53" w:lineRule="exact"/>
        <w:rPr>
          <w:sz w:val="20"/>
          <w:szCs w:val="20"/>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921"/>
        <w:spacing w:after="0" w:line="335" w:lineRule="auto"/>
        <w:tabs>
          <w:tab w:leader="none" w:pos="1152" w:val="left"/>
        </w:tabs>
        <w:numPr>
          <w:ilvl w:val="1"/>
          <w:numId w:val="45"/>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firstLine="921"/>
        <w:spacing w:after="0" w:line="298" w:lineRule="auto"/>
        <w:tabs>
          <w:tab w:leader="none" w:pos="1162"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00/100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220" w:firstLine="921"/>
        <w:spacing w:after="0" w:line="370" w:lineRule="auto"/>
        <w:tabs>
          <w:tab w:leader="none" w:pos="1152" w:val="left"/>
        </w:tabs>
        <w:numPr>
          <w:ilvl w:val="1"/>
          <w:numId w:val="45"/>
        </w:numPr>
        <w:rPr>
          <w:rFonts w:ascii="Arial" w:cs="Arial" w:eastAsia="Arial" w:hAnsi="Arial"/>
          <w:sz w:val="15"/>
          <w:szCs w:val="15"/>
          <w:color w:val="auto"/>
        </w:rPr>
      </w:pPr>
      <w:r>
        <w:rPr>
          <w:rFonts w:ascii="Arial" w:cs="Arial" w:eastAsia="Arial" w:hAnsi="Arial"/>
          <w:sz w:val="15"/>
          <w:szCs w:val="15"/>
          <w:color w:val="auto"/>
        </w:rPr>
        <w:t>Executive shall perform such duties and functions consistent with his position as Vice President, Global Sourcing and/or as the Company shall from time to time determine and Executive shall comply in the performance of his duties with the policies of, and be subject to the direction of the Company.</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2" w:name="page33"/>
    <w:bookmarkEnd w:id="32"/>
    <w:p>
      <w:pPr>
        <w:ind w:left="-40" w:right="120" w:firstLine="921"/>
        <w:spacing w:after="0" w:line="298" w:lineRule="auto"/>
        <w:tabs>
          <w:tab w:leader="none" w:pos="1122"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1"/>
          <w:numId w:val="46"/>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28" w:lineRule="exact"/>
        <w:rPr>
          <w:rFonts w:ascii="Arial" w:cs="Arial" w:eastAsia="Arial" w:hAnsi="Arial"/>
          <w:sz w:val="15"/>
          <w:szCs w:val="15"/>
          <w:color w:val="auto"/>
        </w:rPr>
      </w:pPr>
    </w:p>
    <w:p>
      <w:pPr>
        <w:ind w:left="1440" w:hanging="567"/>
        <w:spacing w:after="0"/>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0" w:right="80" w:firstLine="1492"/>
        <w:spacing w:after="0" w:line="259" w:lineRule="auto"/>
        <w:tabs>
          <w:tab w:leader="none" w:pos="1653" w:val="left"/>
        </w:tabs>
        <w:numPr>
          <w:ilvl w:val="2"/>
          <w:numId w:val="47"/>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20" w:hanging="268"/>
        <w:spacing w:after="0"/>
        <w:tabs>
          <w:tab w:leader="none" w:pos="17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760" w:hanging="308"/>
        <w:spacing w:after="0"/>
        <w:tabs>
          <w:tab w:leader="none" w:pos="1760" w:val="left"/>
        </w:tabs>
        <w:numPr>
          <w:ilvl w:val="2"/>
          <w:numId w:val="47"/>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40" w:right="320" w:firstLine="921"/>
        <w:spacing w:after="0" w:line="259" w:lineRule="auto"/>
        <w:tabs>
          <w:tab w:leader="none" w:pos="11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40" w:firstLine="921"/>
        <w:spacing w:after="0" w:line="306" w:lineRule="auto"/>
        <w:tabs>
          <w:tab w:leader="none" w:pos="1122" w:val="left"/>
        </w:tabs>
        <w:numPr>
          <w:ilvl w:val="1"/>
          <w:numId w:val="47"/>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33" w:name="page34"/>
    <w:bookmarkEnd w:id="33"/>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45" w:lineRule="exact"/>
        <w:rPr>
          <w:sz w:val="20"/>
          <w:szCs w:val="20"/>
          <w:color w:val="auto"/>
        </w:rPr>
      </w:pPr>
    </w:p>
    <w:p>
      <w:pPr>
        <w:ind w:right="140" w:firstLine="921"/>
        <w:spacing w:after="0" w:line="287" w:lineRule="auto"/>
        <w:tabs>
          <w:tab w:leader="none" w:pos="11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firstLine="921"/>
        <w:spacing w:after="0" w:line="259" w:lineRule="auto"/>
        <w:tabs>
          <w:tab w:leader="none" w:pos="11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00" w:firstLine="921"/>
        <w:spacing w:after="0" w:line="306" w:lineRule="auto"/>
        <w:tabs>
          <w:tab w:leader="none" w:pos="11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4" w:name="page35"/>
    <w:bookmarkEnd w:id="34"/>
    <w:p>
      <w:pPr>
        <w:ind w:firstLine="921"/>
        <w:spacing w:after="0" w:line="290" w:lineRule="auto"/>
        <w:tabs>
          <w:tab w:leader="none" w:pos="1122"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158" w:lineRule="exact"/>
        <w:rPr>
          <w:rFonts w:ascii="Arial" w:cs="Arial" w:eastAsia="Arial" w:hAnsi="Arial"/>
          <w:sz w:val="16"/>
          <w:szCs w:val="16"/>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right="140" w:firstLine="921"/>
        <w:spacing w:after="0" w:line="370" w:lineRule="auto"/>
        <w:tabs>
          <w:tab w:leader="none" w:pos="1152" w:val="left"/>
        </w:tabs>
        <w:numPr>
          <w:ilvl w:val="1"/>
          <w:numId w:val="50"/>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1"/>
          <w:numId w:val="50"/>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5" w:name="page36"/>
    <w:bookmarkEnd w:id="35"/>
    <w:p>
      <w:pPr>
        <w:ind w:left="1460" w:hanging="567"/>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NON-COMPETITION</w:t>
      </w:r>
    </w:p>
    <w:p>
      <w:pPr>
        <w:spacing w:after="0" w:line="90" w:lineRule="exact"/>
        <w:rPr>
          <w:rFonts w:ascii="Arial" w:cs="Arial" w:eastAsia="Arial" w:hAnsi="Arial"/>
          <w:sz w:val="18"/>
          <w:szCs w:val="18"/>
          <w:color w:val="auto"/>
        </w:rPr>
      </w:pPr>
    </w:p>
    <w:p>
      <w:pPr>
        <w:ind w:left="-20" w:firstLine="921"/>
        <w:spacing w:after="0" w:line="286" w:lineRule="auto"/>
        <w:tabs>
          <w:tab w:leader="none" w:pos="1132" w:val="left"/>
        </w:tabs>
        <w:numPr>
          <w:ilvl w:val="1"/>
          <w:numId w:val="51"/>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left="-20" w:right="140" w:firstLine="921"/>
        <w:spacing w:after="0" w:line="255" w:lineRule="auto"/>
        <w:tabs>
          <w:tab w:leader="none" w:pos="1142" w:val="left"/>
        </w:tabs>
        <w:numPr>
          <w:ilvl w:val="1"/>
          <w:numId w:val="51"/>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firstLine="921"/>
        <w:spacing w:after="0" w:line="294" w:lineRule="auto"/>
        <w:tabs>
          <w:tab w:leader="none" w:pos="1132" w:val="left"/>
        </w:tabs>
        <w:numPr>
          <w:ilvl w:val="1"/>
          <w:numId w:val="51"/>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80" w:firstLine="921"/>
        <w:spacing w:after="0" w:line="256" w:lineRule="auto"/>
        <w:tabs>
          <w:tab w:leader="none" w:pos="114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36" w:name="page37"/>
    <w:bookmarkEnd w:id="36"/>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53" w:lineRule="auto"/>
        <w:tabs>
          <w:tab w:leader="none" w:pos="11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86" w:lineRule="exact"/>
        <w:rPr>
          <w:sz w:val="20"/>
          <w:szCs w:val="20"/>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20" w:firstLine="921"/>
        <w:spacing w:after="0" w:line="287" w:lineRule="auto"/>
        <w:tabs>
          <w:tab w:leader="none" w:pos="11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7" w:name="page38"/>
    <w:bookmarkEnd w:id="3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43" w:lineRule="exact"/>
        <w:rPr>
          <w:sz w:val="20"/>
          <w:szCs w:val="20"/>
          <w:color w:val="auto"/>
        </w:rPr>
      </w:pPr>
    </w:p>
    <w:p>
      <w:pPr>
        <w:ind w:right="560" w:firstLine="921"/>
        <w:spacing w:after="0" w:line="298" w:lineRule="auto"/>
        <w:tabs>
          <w:tab w:leader="none" w:pos="11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53" w:lineRule="exact"/>
        <w:rPr>
          <w:sz w:val="20"/>
          <w:szCs w:val="20"/>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146" w:lineRule="exact"/>
        <w:rPr>
          <w:sz w:val="20"/>
          <w:szCs w:val="20"/>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235"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38" w:name="page39"/>
    <w:bookmarkEnd w:id="38"/>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p>
    <w:p>
      <w:pPr>
        <w:spacing w:after="0" w:line="9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72" w:lineRule="exact"/>
        <w:rPr>
          <w:sz w:val="20"/>
          <w:szCs w:val="20"/>
          <w:color w:val="auto"/>
        </w:rPr>
      </w:pPr>
    </w:p>
    <w:p>
      <w:pPr>
        <w:ind w:left="1480" w:hanging="567"/>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47" w:lineRule="exact"/>
        <w:rPr>
          <w:sz w:val="20"/>
          <w:szCs w:val="20"/>
          <w:color w:val="auto"/>
        </w:rPr>
      </w:pPr>
    </w:p>
    <w:p>
      <w:pPr>
        <w:ind w:left="1480" w:hanging="56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72" w:lineRule="exact"/>
        <w:rPr>
          <w:sz w:val="20"/>
          <w:szCs w:val="20"/>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159" w:lineRule="exact"/>
        <w:rPr>
          <w:sz w:val="20"/>
          <w:szCs w:val="20"/>
          <w:color w:val="auto"/>
        </w:rPr>
      </w:pPr>
    </w:p>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39" w:name="page40"/>
    <w:bookmarkEnd w:id="39"/>
    <w:p>
      <w:pPr>
        <w:ind w:left="1480" w:hanging="567"/>
        <w:spacing w:after="0"/>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129" w:lineRule="exact"/>
        <w:rPr>
          <w:sz w:val="20"/>
          <w:szCs w:val="20"/>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2" w:lineRule="exact"/>
        <w:rPr>
          <w:sz w:val="20"/>
          <w:szCs w:val="20"/>
          <w:color w:val="auto"/>
        </w:rPr>
      </w:pPr>
    </w:p>
    <w:p>
      <w:pPr>
        <w:ind w:left="1480" w:hanging="567"/>
        <w:spacing w:after="0"/>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72" w:lineRule="exact"/>
        <w:rPr>
          <w:sz w:val="20"/>
          <w:szCs w:val="20"/>
          <w:color w:val="auto"/>
        </w:rPr>
      </w:pPr>
    </w:p>
    <w:p>
      <w:pPr>
        <w:ind w:left="1480" w:hanging="567"/>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3240" w:type="dxa"/>
            <w:vAlign w:val="bottom"/>
          </w:tcPr>
          <w:p>
            <w:pPr>
              <w:ind w:left="2260"/>
              <w:spacing w:after="0"/>
              <w:rPr>
                <w:sz w:val="20"/>
                <w:szCs w:val="20"/>
                <w:color w:val="auto"/>
              </w:rPr>
            </w:pPr>
            <w:r>
              <w:rPr>
                <w:rFonts w:ascii="Arial" w:cs="Arial" w:eastAsia="Arial" w:hAnsi="Arial"/>
                <w:sz w:val="18"/>
                <w:szCs w:val="18"/>
                <w:color w:val="auto"/>
                <w:w w:val="95"/>
              </w:rPr>
              <w:t>Date: 5-1-08</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David A. Levin</w:t>
            </w:r>
          </w:p>
        </w:tc>
        <w:tc>
          <w:tcPr>
            <w:tcW w:w="3240" w:type="dxa"/>
            <w:vAlign w:val="bottom"/>
          </w:tcPr>
          <w:p>
            <w:pPr>
              <w:spacing w:after="0"/>
              <w:rPr>
                <w:sz w:val="18"/>
                <w:szCs w:val="18"/>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2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3240" w:type="dxa"/>
            <w:vAlign w:val="bottom"/>
          </w:tcPr>
          <w:p>
            <w:pPr>
              <w:spacing w:after="0"/>
              <w:rPr>
                <w:sz w:val="19"/>
                <w:szCs w:val="19"/>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3240" w:type="dxa"/>
            <w:vAlign w:val="bottom"/>
          </w:tcPr>
          <w:p>
            <w:pPr>
              <w:ind w:left="2260"/>
              <w:spacing w:after="0"/>
              <w:rPr>
                <w:sz w:val="20"/>
                <w:szCs w:val="20"/>
                <w:color w:val="auto"/>
              </w:rPr>
            </w:pPr>
            <w:r>
              <w:rPr>
                <w:rFonts w:ascii="Arial" w:cs="Arial" w:eastAsia="Arial" w:hAnsi="Arial"/>
                <w:sz w:val="18"/>
                <w:szCs w:val="18"/>
                <w:color w:val="auto"/>
                <w:w w:val="95"/>
              </w:rPr>
              <w:t>Date: 5-1-08</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280" w:type="dxa"/>
            <w:vAlign w:val="bottom"/>
          </w:tcPr>
          <w:p>
            <w:pPr>
              <w:spacing w:after="0"/>
              <w:rPr>
                <w:sz w:val="20"/>
                <w:szCs w:val="20"/>
                <w:color w:val="auto"/>
              </w:rPr>
            </w:pPr>
            <w:r>
              <w:rPr>
                <w:rFonts w:ascii="Arial" w:cs="Arial" w:eastAsia="Arial" w:hAnsi="Arial"/>
                <w:sz w:val="18"/>
                <w:szCs w:val="18"/>
                <w:color w:val="auto"/>
              </w:rPr>
              <w:t>Dennis R. Hernreich</w:t>
            </w:r>
          </w:p>
        </w:tc>
        <w:tc>
          <w:tcPr>
            <w:tcW w:w="3240" w:type="dxa"/>
            <w:vAlign w:val="bottom"/>
          </w:tcPr>
          <w:p>
            <w:pPr>
              <w:spacing w:after="0"/>
              <w:rPr>
                <w:sz w:val="18"/>
                <w:szCs w:val="18"/>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280" w:type="dxa"/>
            <w:vAlign w:val="bottom"/>
          </w:tcPr>
          <w:p>
            <w:pPr>
              <w:spacing w:after="0"/>
              <w:rPr>
                <w:sz w:val="20"/>
                <w:szCs w:val="20"/>
                <w:color w:val="auto"/>
              </w:rPr>
            </w:pPr>
            <w:r>
              <w:rPr>
                <w:rFonts w:ascii="Arial" w:cs="Arial" w:eastAsia="Arial" w:hAnsi="Arial"/>
                <w:sz w:val="18"/>
                <w:szCs w:val="18"/>
                <w:color w:val="auto"/>
              </w:rPr>
              <w:t>Executive VP, COO, CFO</w:t>
            </w:r>
          </w:p>
        </w:tc>
        <w:tc>
          <w:tcPr>
            <w:tcW w:w="3240" w:type="dxa"/>
            <w:vAlign w:val="bottom"/>
          </w:tcPr>
          <w:p>
            <w:pPr>
              <w:spacing w:after="0"/>
              <w:rPr>
                <w:sz w:val="19"/>
                <w:szCs w:val="19"/>
                <w:color w:val="auto"/>
              </w:rPr>
            </w:pPr>
          </w:p>
        </w:tc>
      </w:tr>
      <w:tr>
        <w:trPr>
          <w:trHeight w:val="433"/>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Threadgill</w:t>
            </w:r>
          </w:p>
        </w:tc>
        <w:tc>
          <w:tcPr>
            <w:tcW w:w="3240" w:type="dxa"/>
            <w:vAlign w:val="bottom"/>
          </w:tcPr>
          <w:p>
            <w:pPr>
              <w:ind w:left="2260"/>
              <w:spacing w:after="0"/>
              <w:rPr>
                <w:sz w:val="20"/>
                <w:szCs w:val="20"/>
                <w:color w:val="auto"/>
              </w:rPr>
            </w:pPr>
            <w:r>
              <w:rPr>
                <w:rFonts w:ascii="Arial" w:cs="Arial" w:eastAsia="Arial" w:hAnsi="Arial"/>
                <w:sz w:val="18"/>
                <w:szCs w:val="18"/>
                <w:color w:val="auto"/>
                <w:w w:val="87"/>
              </w:rPr>
              <w:t>Date: 4-30-08</w:t>
            </w: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Ronald Threadgill</w:t>
            </w:r>
          </w:p>
        </w:tc>
        <w:tc>
          <w:tcPr>
            <w:tcW w:w="3240" w:type="dxa"/>
            <w:vAlign w:val="bottom"/>
          </w:tcPr>
          <w:p>
            <w:pPr>
              <w:spacing w:after="0"/>
              <w:rPr>
                <w:sz w:val="19"/>
                <w:szCs w:val="19"/>
                <w:color w:val="auto"/>
              </w:rPr>
            </w:pPr>
          </w:p>
        </w:tc>
      </w:tr>
      <w:tr>
        <w:trPr>
          <w:trHeight w:val="365"/>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40" w:type="dxa"/>
            <w:vAlign w:val="bottom"/>
          </w:tcPr>
          <w:p>
            <w:pPr>
              <w:jc w:val="right"/>
              <w:ind w:right="221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320"/>
          </w:cols>
          <w:pgMar w:left="240" w:top="28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Employment Agreement (“Agreement”) is made as of February 19, 2008 between CASUAL MALE RETAIL GROUP, INC., a Delaware corporation with an office at 555 Turnpike Street, Canton, Massachusetts, 02021 (the “Company” which term includes any affiliates and subsidiaries), and Vickie Smith (the “Executive”) having an address at 14755 Snowshill Drive, Frisco, TX 75035.</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Planning &amp; Allocation,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51" w:lineRule="exact"/>
        <w:rPr>
          <w:sz w:val="20"/>
          <w:szCs w:val="20"/>
          <w:color w:val="auto"/>
        </w:rPr>
      </w:pPr>
    </w:p>
    <w:p>
      <w:pPr>
        <w:ind w:left="1480" w:hanging="567"/>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Planning &amp; Allocation.</w:t>
      </w:r>
    </w:p>
    <w:p>
      <w:pPr>
        <w:spacing w:after="0" w:line="205" w:lineRule="exact"/>
        <w:rPr>
          <w:sz w:val="20"/>
          <w:szCs w:val="20"/>
          <w:color w:val="auto"/>
        </w:rPr>
      </w:pPr>
    </w:p>
    <w:p>
      <w:pPr>
        <w:ind w:left="1480" w:hanging="567"/>
        <w:spacing w:after="0"/>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1" w:lineRule="exact"/>
        <w:rPr>
          <w:sz w:val="20"/>
          <w:szCs w:val="20"/>
          <w:color w:val="auto"/>
        </w:rPr>
      </w:pPr>
    </w:p>
    <w:p>
      <w:pPr>
        <w:ind w:left="1480" w:hanging="567"/>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right="220" w:firstLine="921"/>
        <w:spacing w:after="0" w:line="259" w:lineRule="auto"/>
        <w:tabs>
          <w:tab w:leader="none" w:pos="1152" w:val="left"/>
        </w:tabs>
        <w:numPr>
          <w:ilvl w:val="1"/>
          <w:numId w:val="71"/>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Sixty Thousand Dollars and 00/100 Cents ($260,000.00).</w:t>
      </w:r>
    </w:p>
    <w:p>
      <w:pPr>
        <w:spacing w:after="0" w:line="140"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(52.5%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41" w:name="page42"/>
    <w:bookmarkEnd w:id="41"/>
    <w:p>
      <w:pPr>
        <w:jc w:val="both"/>
        <w:ind w:right="100" w:firstLine="921"/>
        <w:spacing w:after="0" w:line="298" w:lineRule="auto"/>
        <w:tabs>
          <w:tab w:leader="none" w:pos="1152" w:val="left"/>
        </w:tabs>
        <w:numPr>
          <w:ilvl w:val="1"/>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salary, for the incentive period, based upon the Company’s targeted performance as defined in the LTIP documents in effect at the time of the award.</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53" w:lineRule="exact"/>
        <w:rPr>
          <w:sz w:val="20"/>
          <w:szCs w:val="20"/>
          <w:color w:val="auto"/>
        </w:rPr>
      </w:pPr>
    </w:p>
    <w:p>
      <w:pPr>
        <w:ind w:left="1480" w:hanging="567"/>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80" w:firstLine="921"/>
        <w:spacing w:after="0" w:line="335" w:lineRule="auto"/>
        <w:tabs>
          <w:tab w:leader="none" w:pos="1152" w:val="left"/>
        </w:tabs>
        <w:numPr>
          <w:ilvl w:val="1"/>
          <w:numId w:val="74"/>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right="80" w:firstLine="921"/>
        <w:spacing w:after="0" w:line="298" w:lineRule="auto"/>
        <w:tabs>
          <w:tab w:leader="none" w:pos="1162"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00/100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firstLine="921"/>
        <w:spacing w:after="0" w:line="259" w:lineRule="auto"/>
        <w:tabs>
          <w:tab w:leader="none" w:pos="1152"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her position as Senior Vice President, Planning &amp; Allocation and/or as the Company shall from time to time determine and Executive shall comply in the performance of her duties with the policies of, and be subject to the direction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2" w:name="page43"/>
    <w:bookmarkEnd w:id="42"/>
    <w:p>
      <w:pPr>
        <w:ind w:left="-40" w:right="140" w:firstLine="921"/>
        <w:spacing w:after="0" w:line="298" w:lineRule="auto"/>
        <w:tabs>
          <w:tab w:leader="none" w:pos="1122" w:val="left"/>
        </w:tabs>
        <w:numPr>
          <w:ilvl w:val="1"/>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her time and attention, vacation time and absences for sickness excepted, to the business of the Company, as necessary to fulfill her duties. Executive shall perform the duties assigned to her with fidelity and to the best of her ability. Notwithstanding anything herein to the contrary, and subject to the foregoing, Executive shall not be prevented from accepting positions in outside charitable organizations so long as such activities do not interfere with Executive’s performance of her duties hereunder and do not violate Section 9 hereof.</w:t>
      </w:r>
    </w:p>
    <w:p>
      <w:pPr>
        <w:spacing w:after="0" w:line="112" w:lineRule="exact"/>
        <w:rPr>
          <w:rFonts w:ascii="Arial" w:cs="Arial" w:eastAsia="Arial" w:hAnsi="Arial"/>
          <w:sz w:val="16"/>
          <w:szCs w:val="16"/>
          <w:color w:val="auto"/>
        </w:rPr>
      </w:pPr>
    </w:p>
    <w:p>
      <w:pPr>
        <w:jc w:val="both"/>
        <w:ind w:left="-40" w:firstLine="921"/>
        <w:spacing w:after="0" w:line="306" w:lineRule="auto"/>
        <w:tabs>
          <w:tab w:leader="none" w:pos="1112"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her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her duties hereunder, and Executive recognizes that such duties may involve travel.</w:t>
      </w:r>
    </w:p>
    <w:p>
      <w:pPr>
        <w:spacing w:after="0" w:line="147" w:lineRule="exact"/>
        <w:rPr>
          <w:rFonts w:ascii="Arial" w:cs="Arial" w:eastAsia="Arial" w:hAnsi="Arial"/>
          <w:sz w:val="16"/>
          <w:szCs w:val="16"/>
          <w:color w:val="auto"/>
        </w:rPr>
      </w:pPr>
    </w:p>
    <w:p>
      <w:pPr>
        <w:ind w:left="1440" w:hanging="567"/>
        <w:spacing w:after="0"/>
        <w:tabs>
          <w:tab w:leader="none" w:pos="144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0" w:right="100" w:firstLine="1492"/>
        <w:spacing w:after="0" w:line="259" w:lineRule="auto"/>
        <w:tabs>
          <w:tab w:leader="none" w:pos="1653" w:val="left"/>
        </w:tabs>
        <w:numPr>
          <w:ilvl w:val="2"/>
          <w:numId w:val="76"/>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her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20" w:hanging="268"/>
        <w:spacing w:after="0"/>
        <w:tabs>
          <w:tab w:leader="none" w:pos="17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760" w:hanging="308"/>
        <w:spacing w:after="0"/>
        <w:tabs>
          <w:tab w:leader="none" w:pos="17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40" w:right="340" w:firstLine="921"/>
        <w:spacing w:after="0" w:line="259" w:lineRule="auto"/>
        <w:tabs>
          <w:tab w:leader="none" w:pos="1112"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60" w:firstLine="921"/>
        <w:spacing w:after="0" w:line="306" w:lineRule="auto"/>
        <w:tabs>
          <w:tab w:leader="none" w:pos="1122" w:val="left"/>
        </w:tabs>
        <w:numPr>
          <w:ilvl w:val="1"/>
          <w:numId w:val="76"/>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her duties in a satisfactory manner; Executive’s performance of any act or her failure to act, as to which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43" w:name="page44"/>
    <w:bookmarkEnd w:id="43"/>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her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her termination of employment.</w:t>
      </w:r>
    </w:p>
    <w:p>
      <w:pPr>
        <w:spacing w:after="0" w:line="118" w:lineRule="exact"/>
        <w:rPr>
          <w:sz w:val="20"/>
          <w:szCs w:val="20"/>
          <w:color w:val="auto"/>
        </w:rPr>
      </w:pPr>
    </w:p>
    <w:p>
      <w:pPr>
        <w:ind w:right="140" w:firstLine="921"/>
        <w:spacing w:after="0" w:line="308" w:lineRule="auto"/>
        <w:tabs>
          <w:tab w:leader="none" w:pos="1152" w:val="left"/>
        </w:tabs>
        <w:numPr>
          <w:ilvl w:val="0"/>
          <w:numId w:val="77"/>
        </w:numPr>
        <w:rPr>
          <w:rFonts w:ascii="Arial" w:cs="Arial" w:eastAsia="Arial" w:hAnsi="Arial"/>
          <w:sz w:val="15"/>
          <w:szCs w:val="15"/>
          <w:color w:val="auto"/>
        </w:rPr>
      </w:pPr>
      <w:r>
        <w:rPr>
          <w:rFonts w:ascii="Arial" w:cs="Arial" w:eastAsia="Arial" w:hAnsi="Arial"/>
          <w:sz w:val="15"/>
          <w:szCs w:val="15"/>
          <w:color w:val="auto"/>
        </w:rPr>
        <w:t>If the Company terminates this Agreement without “justifiable cause” as provided in Subsection 7 (a) (i) the Company shall pay Executive her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she is offered another position by the Company at a comparable salary (“New Employment”) prior to or during the time she receives payment under this Subsection or Subsection 3 (b), the Company is entitled to a credit for all sums paid or earned by Executive during this period of time or which she could have earned had she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she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09" w:lineRule="exact"/>
        <w:rPr>
          <w:rFonts w:ascii="Arial" w:cs="Arial" w:eastAsia="Arial" w:hAnsi="Arial"/>
          <w:sz w:val="15"/>
          <w:szCs w:val="15"/>
          <w:color w:val="auto"/>
        </w:rPr>
      </w:pPr>
    </w:p>
    <w:p>
      <w:pPr>
        <w:ind w:firstLine="921"/>
        <w:spacing w:after="0" w:line="259" w:lineRule="auto"/>
        <w:tabs>
          <w:tab w:leader="none" w:pos="113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her death.</w:t>
      </w:r>
    </w:p>
    <w:p>
      <w:pPr>
        <w:spacing w:after="0" w:line="140" w:lineRule="exact"/>
        <w:rPr>
          <w:rFonts w:ascii="Arial" w:cs="Arial" w:eastAsia="Arial" w:hAnsi="Arial"/>
          <w:sz w:val="18"/>
          <w:szCs w:val="18"/>
          <w:color w:val="auto"/>
        </w:rPr>
      </w:pPr>
    </w:p>
    <w:p>
      <w:pPr>
        <w:ind w:right="300" w:firstLine="921"/>
        <w:spacing w:after="0" w:line="306"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921"/>
        <w:spacing w:after="0" w:line="306" w:lineRule="auto"/>
        <w:tabs>
          <w:tab w:leader="none" w:pos="1162"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she shall be entitled only to receive such portion of her annual base salary and reimbursement of expenses pursuant to Section 4 as have been accrued through the date of her resignation.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4" w:name="page45"/>
    <w:bookmarkEnd w:id="44"/>
    <w:p>
      <w:pPr>
        <w:ind w:firstLine="921"/>
        <w:spacing w:after="0" w:line="290" w:lineRule="auto"/>
        <w:tabs>
          <w:tab w:leader="none" w:pos="1122"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158" w:lineRule="exact"/>
        <w:rPr>
          <w:rFonts w:ascii="Arial" w:cs="Arial" w:eastAsia="Arial" w:hAnsi="Arial"/>
          <w:sz w:val="16"/>
          <w:szCs w:val="16"/>
          <w:color w:val="auto"/>
        </w:rPr>
      </w:pPr>
    </w:p>
    <w:p>
      <w:pPr>
        <w:ind w:left="1480" w:hanging="567"/>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ind w:right="60" w:firstLine="921"/>
        <w:spacing w:after="0" w:line="370" w:lineRule="auto"/>
        <w:tabs>
          <w:tab w:leader="none" w:pos="1152" w:val="left"/>
        </w:tabs>
        <w:numPr>
          <w:ilvl w:val="1"/>
          <w:numId w:val="79"/>
        </w:numPr>
        <w:rPr>
          <w:rFonts w:ascii="Arial" w:cs="Arial" w:eastAsia="Arial" w:hAnsi="Arial"/>
          <w:sz w:val="15"/>
          <w:szCs w:val="15"/>
          <w:color w:val="auto"/>
        </w:rPr>
      </w:pPr>
      <w:r>
        <w:rPr>
          <w:rFonts w:ascii="Arial" w:cs="Arial" w:eastAsia="Arial" w:hAnsi="Arial"/>
          <w:sz w:val="15"/>
          <w:szCs w:val="15"/>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60" w:firstLine="921"/>
        <w:spacing w:after="0" w:line="259" w:lineRule="auto"/>
        <w:tabs>
          <w:tab w:leader="none" w:pos="1152"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40" w:lineRule="exact"/>
        <w:rPr>
          <w:rFonts w:ascii="Arial" w:cs="Arial" w:eastAsia="Arial" w:hAnsi="Arial"/>
          <w:sz w:val="18"/>
          <w:szCs w:val="18"/>
          <w:color w:val="auto"/>
        </w:rPr>
      </w:pPr>
    </w:p>
    <w:p>
      <w:pPr>
        <w:ind w:right="40" w:firstLine="921"/>
        <w:spacing w:after="0" w:line="259" w:lineRule="auto"/>
        <w:tabs>
          <w:tab w:leader="none" w:pos="1162"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 party to any judicial or administrative proceeding that resulted in a judgement, decree, or final order (i) enjoining her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5" w:name="page46"/>
    <w:bookmarkEnd w:id="45"/>
    <w:p>
      <w:pPr>
        <w:ind w:left="1460" w:hanging="567"/>
        <w:spacing w:after="0"/>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NON-COMPETITION</w:t>
      </w:r>
    </w:p>
    <w:p>
      <w:pPr>
        <w:spacing w:after="0" w:line="90" w:lineRule="exact"/>
        <w:rPr>
          <w:rFonts w:ascii="Arial" w:cs="Arial" w:eastAsia="Arial" w:hAnsi="Arial"/>
          <w:sz w:val="18"/>
          <w:szCs w:val="18"/>
          <w:color w:val="auto"/>
        </w:rPr>
      </w:pPr>
    </w:p>
    <w:p>
      <w:pPr>
        <w:ind w:left="-20" w:firstLine="921"/>
        <w:spacing w:after="0" w:line="286" w:lineRule="auto"/>
        <w:tabs>
          <w:tab w:leader="none" w:pos="1132" w:val="left"/>
        </w:tabs>
        <w:numPr>
          <w:ilvl w:val="1"/>
          <w:numId w:val="80"/>
        </w:numPr>
        <w:rPr>
          <w:rFonts w:ascii="Arial" w:cs="Arial" w:eastAsia="Arial" w:hAnsi="Arial"/>
          <w:sz w:val="16"/>
          <w:szCs w:val="16"/>
          <w:color w:val="auto"/>
        </w:rPr>
      </w:pPr>
      <w:r>
        <w:rPr>
          <w:rFonts w:ascii="Arial" w:cs="Arial" w:eastAsia="Arial" w:hAnsi="Arial"/>
          <w:sz w:val="16"/>
          <w:szCs w:val="16"/>
          <w:color w:val="auto"/>
        </w:rPr>
        <w:t>Executive agrees that during her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left="-20" w:right="140" w:firstLine="921"/>
        <w:spacing w:after="0" w:line="255" w:lineRule="auto"/>
        <w:tabs>
          <w:tab w:leader="none" w:pos="1142" w:val="left"/>
        </w:tabs>
        <w:numPr>
          <w:ilvl w:val="1"/>
          <w:numId w:val="80"/>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firstLine="921"/>
        <w:spacing w:after="0" w:line="294" w:lineRule="auto"/>
        <w:tabs>
          <w:tab w:leader="none" w:pos="1132" w:val="left"/>
        </w:tabs>
        <w:numPr>
          <w:ilvl w:val="1"/>
          <w:numId w:val="80"/>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80" w:firstLine="921"/>
        <w:spacing w:after="0" w:line="256" w:lineRule="auto"/>
        <w:tabs>
          <w:tab w:leader="none" w:pos="114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46" w:name="page47"/>
    <w:bookmarkEnd w:id="46"/>
    <w:p>
      <w:pPr>
        <w:ind w:left="1440" w:hanging="567"/>
        <w:spacing w:after="0"/>
        <w:tabs>
          <w:tab w:leader="none" w:pos="14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left="-40" w:right="20" w:firstLine="921"/>
        <w:spacing w:after="0" w:line="253" w:lineRule="auto"/>
        <w:tabs>
          <w:tab w:leader="none" w:pos="11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her as a consequence of her employment or the rendering of advisory and consulting services hereunder (collectively the “Subject Matter”).</w:t>
      </w:r>
    </w:p>
    <w:p>
      <w:pPr>
        <w:spacing w:after="0" w:line="147" w:lineRule="exact"/>
        <w:rPr>
          <w:rFonts w:ascii="Arial" w:cs="Arial" w:eastAsia="Arial" w:hAnsi="Arial"/>
          <w:sz w:val="18"/>
          <w:szCs w:val="18"/>
          <w:color w:val="auto"/>
        </w:rPr>
      </w:pPr>
    </w:p>
    <w:p>
      <w:pPr>
        <w:ind w:left="-40" w:right="60" w:firstLine="921"/>
        <w:spacing w:after="0" w:line="253" w:lineRule="auto"/>
        <w:tabs>
          <w:tab w:leader="none" w:pos="1122"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86" w:lineRule="exact"/>
        <w:rPr>
          <w:sz w:val="20"/>
          <w:szCs w:val="20"/>
          <w:color w:val="auto"/>
        </w:rPr>
      </w:pPr>
    </w:p>
    <w:p>
      <w:pPr>
        <w:ind w:left="1440" w:hanging="567"/>
        <w:spacing w:after="0"/>
        <w:tabs>
          <w:tab w:leader="none" w:pos="14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left="-40" w:firstLine="921"/>
        <w:spacing w:after="0" w:line="287" w:lineRule="auto"/>
        <w:tabs>
          <w:tab w:leader="none" w:pos="1112" w:val="left"/>
        </w:tabs>
        <w:numPr>
          <w:ilvl w:val="0"/>
          <w:numId w:val="84"/>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her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her during the course of, or as an incident to, her employment or the rendering of her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80" w:right="259" w:bottom="1440" w:gutter="0" w:footer="0" w:header="0"/>
        </w:sectPr>
      </w:pPr>
    </w:p>
    <w:bookmarkStart w:id="47" w:name="page48"/>
    <w:bookmarkEnd w:id="4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43" w:lineRule="exact"/>
        <w:rPr>
          <w:sz w:val="20"/>
          <w:szCs w:val="20"/>
          <w:color w:val="auto"/>
        </w:rPr>
      </w:pPr>
    </w:p>
    <w:p>
      <w:pPr>
        <w:ind w:right="560" w:firstLine="921"/>
        <w:spacing w:after="0" w:line="298" w:lineRule="auto"/>
        <w:tabs>
          <w:tab w:leader="none" w:pos="1162"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53" w:lineRule="exact"/>
        <w:rPr>
          <w:sz w:val="20"/>
          <w:szCs w:val="20"/>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Executive agrees that if she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146" w:lineRule="exact"/>
        <w:rPr>
          <w:sz w:val="20"/>
          <w:szCs w:val="20"/>
          <w:color w:val="auto"/>
        </w:rPr>
      </w:pPr>
    </w:p>
    <w:p>
      <w:pPr>
        <w:ind w:left="1480" w:hanging="56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235" w:lineRule="exact"/>
        <w:rPr>
          <w:sz w:val="20"/>
          <w:szCs w:val="20"/>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48" w:name="page49"/>
    <w:bookmarkEnd w:id="48"/>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p>
    <w:p>
      <w:pPr>
        <w:spacing w:after="0" w:line="9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72" w:lineRule="exact"/>
        <w:rPr>
          <w:sz w:val="20"/>
          <w:szCs w:val="20"/>
          <w:color w:val="auto"/>
        </w:rPr>
      </w:pPr>
    </w:p>
    <w:p>
      <w:pPr>
        <w:ind w:left="1480" w:hanging="56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47" w:lineRule="exact"/>
        <w:rPr>
          <w:sz w:val="20"/>
          <w:szCs w:val="20"/>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72" w:lineRule="exact"/>
        <w:rPr>
          <w:sz w:val="20"/>
          <w:szCs w:val="20"/>
          <w:color w:val="auto"/>
        </w:rPr>
      </w:pPr>
    </w:p>
    <w:p>
      <w:pPr>
        <w:ind w:left="1480" w:hanging="567"/>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her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159" w:lineRule="exact"/>
        <w:rPr>
          <w:sz w:val="20"/>
          <w:szCs w:val="20"/>
          <w:color w:val="auto"/>
        </w:rPr>
      </w:pPr>
    </w:p>
    <w:p>
      <w:pPr>
        <w:ind w:left="1480" w:hanging="567"/>
        <w:spacing w:after="0"/>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49" w:name="page50"/>
    <w:bookmarkEnd w:id="49"/>
    <w:p>
      <w:pPr>
        <w:ind w:left="1480" w:hanging="56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129" w:lineRule="exact"/>
        <w:rPr>
          <w:sz w:val="20"/>
          <w:szCs w:val="20"/>
          <w:color w:val="auto"/>
        </w:rPr>
      </w:pPr>
    </w:p>
    <w:p>
      <w:pPr>
        <w:ind w:left="1480" w:hanging="567"/>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2" w:lineRule="exact"/>
        <w:rPr>
          <w:sz w:val="20"/>
          <w:szCs w:val="20"/>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72" w:lineRule="exact"/>
        <w:rPr>
          <w:sz w:val="20"/>
          <w:szCs w:val="20"/>
          <w:color w:val="auto"/>
        </w:rPr>
      </w:pPr>
    </w:p>
    <w:p>
      <w:pPr>
        <w:ind w:left="1480" w:hanging="567"/>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220" w:type="dxa"/>
            <w:vAlign w:val="bottom"/>
          </w:tcPr>
          <w:p>
            <w:pPr>
              <w:ind w:left="1240"/>
              <w:spacing w:after="0"/>
              <w:rPr>
                <w:sz w:val="20"/>
                <w:szCs w:val="20"/>
                <w:color w:val="auto"/>
              </w:rPr>
            </w:pPr>
            <w:r>
              <w:rPr>
                <w:rFonts w:ascii="Arial" w:cs="Arial" w:eastAsia="Arial" w:hAnsi="Arial"/>
                <w:sz w:val="18"/>
                <w:szCs w:val="18"/>
                <w:color w:val="auto"/>
                <w:w w:val="87"/>
              </w:rPr>
              <w:t>Date: 4-24-08</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c>
          <w:tcPr>
            <w:tcW w:w="222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2220" w:type="dxa"/>
            <w:vAlign w:val="bottom"/>
          </w:tcPr>
          <w:p>
            <w:pPr>
              <w:spacing w:after="0"/>
              <w:rPr>
                <w:sz w:val="19"/>
                <w:szCs w:val="19"/>
                <w:color w:val="auto"/>
              </w:rPr>
            </w:pP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2220" w:type="dxa"/>
            <w:vAlign w:val="bottom"/>
          </w:tcPr>
          <w:p>
            <w:pPr>
              <w:ind w:left="1240"/>
              <w:spacing w:after="0"/>
              <w:rPr>
                <w:sz w:val="20"/>
                <w:szCs w:val="20"/>
                <w:color w:val="auto"/>
              </w:rPr>
            </w:pPr>
            <w:r>
              <w:rPr>
                <w:rFonts w:ascii="Arial" w:cs="Arial" w:eastAsia="Arial" w:hAnsi="Arial"/>
                <w:sz w:val="18"/>
                <w:szCs w:val="18"/>
                <w:color w:val="auto"/>
                <w:w w:val="87"/>
              </w:rPr>
              <w:t>Date: 4-24-08</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c>
          <w:tcPr>
            <w:tcW w:w="222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c>
          <w:tcPr>
            <w:tcW w:w="2220" w:type="dxa"/>
            <w:vAlign w:val="bottom"/>
          </w:tcPr>
          <w:p>
            <w:pPr>
              <w:spacing w:after="0"/>
              <w:rPr>
                <w:sz w:val="19"/>
                <w:szCs w:val="19"/>
                <w:color w:val="auto"/>
              </w:rPr>
            </w:pPr>
          </w:p>
        </w:tc>
      </w:tr>
      <w:tr>
        <w:trPr>
          <w:trHeight w:val="434"/>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Vickie Smith</w:t>
            </w:r>
          </w:p>
        </w:tc>
        <w:tc>
          <w:tcPr>
            <w:tcW w:w="2220" w:type="dxa"/>
            <w:vAlign w:val="bottom"/>
          </w:tcPr>
          <w:p>
            <w:pPr>
              <w:ind w:left="1240"/>
              <w:spacing w:after="0"/>
              <w:rPr>
                <w:sz w:val="20"/>
                <w:szCs w:val="20"/>
                <w:color w:val="auto"/>
              </w:rPr>
            </w:pPr>
            <w:r>
              <w:rPr>
                <w:rFonts w:ascii="Arial" w:cs="Arial" w:eastAsia="Arial" w:hAnsi="Arial"/>
                <w:sz w:val="18"/>
                <w:szCs w:val="18"/>
                <w:color w:val="auto"/>
                <w:w w:val="87"/>
              </w:rPr>
              <w:t>Date: 4-23-08</w:t>
            </w:r>
          </w:p>
        </w:tc>
      </w:tr>
      <w:tr>
        <w:trPr>
          <w:trHeight w:val="221"/>
        </w:trPr>
        <w:tc>
          <w:tcPr>
            <w:tcW w:w="5400" w:type="dxa"/>
            <w:vAlign w:val="bottom"/>
            <w:gridSpan w:val="2"/>
          </w:tcPr>
          <w:p>
            <w:pPr>
              <w:spacing w:after="0"/>
              <w:rPr>
                <w:sz w:val="20"/>
                <w:szCs w:val="20"/>
                <w:color w:val="auto"/>
              </w:rPr>
            </w:pPr>
            <w:r>
              <w:rPr>
                <w:rFonts w:ascii="Arial" w:cs="Arial" w:eastAsia="Arial" w:hAnsi="Arial"/>
                <w:sz w:val="18"/>
                <w:szCs w:val="18"/>
                <w:color w:val="auto"/>
              </w:rPr>
              <w:t>Vickie Smith</w:t>
            </w:r>
          </w:p>
        </w:tc>
        <w:tc>
          <w:tcPr>
            <w:tcW w:w="2220" w:type="dxa"/>
            <w:vAlign w:val="bottom"/>
          </w:tcPr>
          <w:p>
            <w:pPr>
              <w:spacing w:after="0"/>
              <w:rPr>
                <w:sz w:val="19"/>
                <w:szCs w:val="19"/>
                <w:color w:val="auto"/>
              </w:rPr>
            </w:pPr>
          </w:p>
        </w:tc>
      </w:tr>
      <w:tr>
        <w:trPr>
          <w:trHeight w:val="365"/>
        </w:trPr>
        <w:tc>
          <w:tcPr>
            <w:tcW w:w="6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20" w:type="dxa"/>
            <w:vAlign w:val="bottom"/>
          </w:tcPr>
          <w:p>
            <w:pPr>
              <w:jc w:val="right"/>
              <w:ind w:right="173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320"/>
          </w:cols>
          <w:pgMar w:left="240" w:top="28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March 28, 2008 between CASUAL MALE RETAIL GROUP, INC., a Delaware corporation with an office at 555 Turnpike Street, Canton, Massachusetts, 02021 (the “Company” which term includes any affiliates and subsidiaries), and Peter E. Schmitz (the “Executive”) having an address at 170 Congdon Street, Providence, Rhode Island 02906.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of Real Estate &amp; Store Development,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51" w:lineRule="exact"/>
        <w:rPr>
          <w:sz w:val="20"/>
          <w:szCs w:val="20"/>
          <w:color w:val="auto"/>
        </w:rPr>
      </w:pPr>
    </w:p>
    <w:p>
      <w:pPr>
        <w:ind w:left="1480" w:hanging="567"/>
        <w:spacing w:after="0"/>
        <w:tabs>
          <w:tab w:leader="none" w:pos="14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of Real Estate &amp; Store Development.</w:t>
      </w:r>
    </w:p>
    <w:p>
      <w:pPr>
        <w:spacing w:after="0" w:line="205" w:lineRule="exact"/>
        <w:rPr>
          <w:sz w:val="20"/>
          <w:szCs w:val="20"/>
          <w:color w:val="auto"/>
        </w:rPr>
      </w:pPr>
    </w:p>
    <w:p>
      <w:pPr>
        <w:ind w:left="1480" w:hanging="567"/>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1" w:lineRule="exact"/>
        <w:rPr>
          <w:sz w:val="20"/>
          <w:szCs w:val="20"/>
          <w:color w:val="auto"/>
        </w:rPr>
      </w:pPr>
    </w:p>
    <w:p>
      <w:pPr>
        <w:ind w:left="1480" w:hanging="567"/>
        <w:spacing w:after="0"/>
        <w:tabs>
          <w:tab w:leader="none" w:pos="148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80" w:firstLine="921"/>
        <w:spacing w:after="0" w:line="259" w:lineRule="auto"/>
        <w:tabs>
          <w:tab w:leader="none" w:pos="115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Seventeen Thousand Five Hundred Dollars and 00/100 Cents ($217,500.00).</w:t>
      </w:r>
    </w:p>
    <w:p>
      <w:pPr>
        <w:spacing w:after="0" w:line="140"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(52.5%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51" w:name="page52"/>
    <w:bookmarkEnd w:id="51"/>
    <w:p>
      <w:pPr>
        <w:jc w:val="both"/>
        <w:ind w:right="60" w:firstLine="921"/>
        <w:spacing w:after="0" w:line="298" w:lineRule="auto"/>
        <w:tabs>
          <w:tab w:leader="none" w:pos="1152" w:val="left"/>
        </w:tabs>
        <w:numPr>
          <w:ilvl w:val="1"/>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salary, for the incentive period, based upon the Company’s targeted performance as defined in the LTIP documents in effect at the time of the award.</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53" w:lineRule="exact"/>
        <w:rPr>
          <w:sz w:val="20"/>
          <w:szCs w:val="20"/>
          <w:color w:val="auto"/>
        </w:rPr>
      </w:pPr>
    </w:p>
    <w:p>
      <w:pPr>
        <w:ind w:left="1480" w:hanging="567"/>
        <w:spacing w:after="0"/>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921"/>
        <w:spacing w:after="0" w:line="335" w:lineRule="auto"/>
        <w:tabs>
          <w:tab w:leader="none" w:pos="1152" w:val="left"/>
        </w:tabs>
        <w:numPr>
          <w:ilvl w:val="1"/>
          <w:numId w:val="103"/>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right="40" w:firstLine="921"/>
        <w:spacing w:after="0" w:line="298" w:lineRule="auto"/>
        <w:tabs>
          <w:tab w:leader="none" w:pos="116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00/100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160" w:firstLine="921"/>
        <w:spacing w:after="0" w:line="259" w:lineRule="auto"/>
        <w:tabs>
          <w:tab w:leader="none" w:pos="115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his position as Senior Vice President of Real Estate &amp; Store Development and/or as the Company shall from time to time determine and Executive shall comply in the performance of his duties with the policies of, and be subject to the direction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2" w:name="page53"/>
    <w:bookmarkEnd w:id="52"/>
    <w:p>
      <w:pPr>
        <w:ind w:left="-40" w:right="120" w:firstLine="921"/>
        <w:spacing w:after="0" w:line="298" w:lineRule="auto"/>
        <w:tabs>
          <w:tab w:leader="none" w:pos="1122" w:val="left"/>
        </w:tabs>
        <w:numPr>
          <w:ilvl w:val="1"/>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1"/>
          <w:numId w:val="104"/>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28" w:lineRule="exact"/>
        <w:rPr>
          <w:rFonts w:ascii="Arial" w:cs="Arial" w:eastAsia="Arial" w:hAnsi="Arial"/>
          <w:sz w:val="15"/>
          <w:szCs w:val="15"/>
          <w:color w:val="auto"/>
        </w:rPr>
      </w:pPr>
    </w:p>
    <w:p>
      <w:pPr>
        <w:ind w:left="1440" w:hanging="567"/>
        <w:spacing w:after="0"/>
        <w:tabs>
          <w:tab w:leader="none" w:pos="14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0" w:right="80" w:firstLine="1492"/>
        <w:spacing w:after="0" w:line="259" w:lineRule="auto"/>
        <w:tabs>
          <w:tab w:leader="none" w:pos="1653" w:val="left"/>
        </w:tabs>
        <w:numPr>
          <w:ilvl w:val="2"/>
          <w:numId w:val="105"/>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20" w:hanging="268"/>
        <w:spacing w:after="0"/>
        <w:tabs>
          <w:tab w:leader="none" w:pos="172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760" w:hanging="308"/>
        <w:spacing w:after="0"/>
        <w:tabs>
          <w:tab w:leader="none" w:pos="176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40" w:right="320" w:firstLine="921"/>
        <w:spacing w:after="0" w:line="259" w:lineRule="auto"/>
        <w:tabs>
          <w:tab w:leader="none" w:pos="111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40" w:firstLine="921"/>
        <w:spacing w:after="0" w:line="306" w:lineRule="auto"/>
        <w:tabs>
          <w:tab w:leader="none" w:pos="1122" w:val="left"/>
        </w:tabs>
        <w:numPr>
          <w:ilvl w:val="1"/>
          <w:numId w:val="10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53" w:name="page54"/>
    <w:bookmarkEnd w:id="53"/>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45" w:lineRule="exact"/>
        <w:rPr>
          <w:sz w:val="20"/>
          <w:szCs w:val="20"/>
          <w:color w:val="auto"/>
        </w:rPr>
      </w:pPr>
    </w:p>
    <w:p>
      <w:pPr>
        <w:ind w:right="140" w:firstLine="921"/>
        <w:spacing w:after="0" w:line="287" w:lineRule="auto"/>
        <w:tabs>
          <w:tab w:leader="none" w:pos="115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firstLine="921"/>
        <w:spacing w:after="0" w:line="259" w:lineRule="auto"/>
        <w:tabs>
          <w:tab w:leader="none" w:pos="113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00" w:firstLine="921"/>
        <w:spacing w:after="0" w:line="306" w:lineRule="auto"/>
        <w:tabs>
          <w:tab w:leader="none" w:pos="11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54" w:name="page55"/>
    <w:bookmarkEnd w:id="54"/>
    <w:p>
      <w:pPr>
        <w:ind w:firstLine="921"/>
        <w:spacing w:after="0" w:line="290" w:lineRule="auto"/>
        <w:tabs>
          <w:tab w:leader="none" w:pos="1122"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158" w:lineRule="exact"/>
        <w:rPr>
          <w:rFonts w:ascii="Arial" w:cs="Arial" w:eastAsia="Arial" w:hAnsi="Arial"/>
          <w:sz w:val="16"/>
          <w:szCs w:val="16"/>
          <w:color w:val="auto"/>
        </w:rPr>
      </w:pPr>
    </w:p>
    <w:p>
      <w:pPr>
        <w:ind w:left="1480" w:hanging="567"/>
        <w:spacing w:after="0"/>
        <w:tabs>
          <w:tab w:leader="none" w:pos="14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right="140" w:firstLine="921"/>
        <w:spacing w:after="0" w:line="370" w:lineRule="auto"/>
        <w:tabs>
          <w:tab w:leader="none" w:pos="1152" w:val="left"/>
        </w:tabs>
        <w:numPr>
          <w:ilvl w:val="1"/>
          <w:numId w:val="108"/>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1"/>
          <w:numId w:val="108"/>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12" w:lineRule="exact"/>
        <w:rPr>
          <w:sz w:val="20"/>
          <w:szCs w:val="20"/>
          <w:color w:val="auto"/>
        </w:rPr>
      </w:pPr>
    </w:p>
    <w:p>
      <w:pPr>
        <w:ind w:left="1480" w:hanging="567"/>
        <w:spacing w:after="0"/>
        <w:tabs>
          <w:tab w:leader="none" w:pos="14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Executive agrees that during his employment by the Company and during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5" w:name="page56"/>
    <w:bookmarkEnd w:id="5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sz w:val="20"/>
          <w:szCs w:val="20"/>
          <w:color w:val="auto"/>
        </w:rPr>
      </w:pPr>
    </w:p>
    <w:p>
      <w:pPr>
        <w:ind w:right="140" w:firstLine="921"/>
        <w:spacing w:after="0" w:line="255" w:lineRule="auto"/>
        <w:tabs>
          <w:tab w:leader="none" w:pos="116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firstLine="921"/>
        <w:spacing w:after="0" w:line="294" w:lineRule="auto"/>
        <w:tabs>
          <w:tab w:leader="none" w:pos="115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6" w:name="page57"/>
    <w:bookmarkEnd w:id="56"/>
    <w:p>
      <w:pPr>
        <w:ind w:left="1480" w:hanging="567"/>
        <w:spacing w:after="0"/>
        <w:tabs>
          <w:tab w:leader="none" w:pos="14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53"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86" w:lineRule="exact"/>
        <w:rPr>
          <w:sz w:val="20"/>
          <w:szCs w:val="20"/>
          <w:color w:val="auto"/>
        </w:rPr>
      </w:pPr>
    </w:p>
    <w:p>
      <w:pPr>
        <w:ind w:left="1480" w:hanging="567"/>
        <w:spacing w:after="0"/>
        <w:tabs>
          <w:tab w:leader="none" w:pos="14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20" w:firstLine="921"/>
        <w:spacing w:after="0" w:line="287" w:lineRule="auto"/>
        <w:tabs>
          <w:tab w:leader="none" w:pos="11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7" w:name="page58"/>
    <w:bookmarkEnd w:id="57"/>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43" w:lineRule="exact"/>
        <w:rPr>
          <w:sz w:val="20"/>
          <w:szCs w:val="20"/>
          <w:color w:val="auto"/>
        </w:rPr>
      </w:pPr>
    </w:p>
    <w:p>
      <w:pPr>
        <w:ind w:right="560" w:firstLine="921"/>
        <w:spacing w:after="0" w:line="298" w:lineRule="auto"/>
        <w:tabs>
          <w:tab w:leader="none" w:pos="11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53" w:lineRule="exact"/>
        <w:rPr>
          <w:sz w:val="20"/>
          <w:szCs w:val="20"/>
          <w:color w:val="auto"/>
        </w:rPr>
      </w:pPr>
    </w:p>
    <w:p>
      <w:pPr>
        <w:ind w:left="1480" w:hanging="567"/>
        <w:spacing w:after="0"/>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146" w:lineRule="exact"/>
        <w:rPr>
          <w:sz w:val="20"/>
          <w:szCs w:val="20"/>
          <w:color w:val="auto"/>
        </w:rPr>
      </w:pPr>
    </w:p>
    <w:p>
      <w:pPr>
        <w:ind w:left="1480" w:hanging="567"/>
        <w:spacing w:after="0"/>
        <w:tabs>
          <w:tab w:leader="none" w:pos="14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235" w:lineRule="exact"/>
        <w:rPr>
          <w:sz w:val="20"/>
          <w:szCs w:val="20"/>
          <w:color w:val="auto"/>
        </w:rPr>
      </w:pPr>
    </w:p>
    <w:p>
      <w:pPr>
        <w:ind w:left="1480" w:hanging="567"/>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72" w:lineRule="exact"/>
        <w:rPr>
          <w:sz w:val="20"/>
          <w:szCs w:val="20"/>
          <w:color w:val="auto"/>
        </w:rPr>
      </w:pPr>
    </w:p>
    <w:p>
      <w:pPr>
        <w:ind w:left="1480" w:hanging="567"/>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8" w:name="page59"/>
    <w:bookmarkEnd w:id="58"/>
    <w:p>
      <w:pPr>
        <w:ind w:left="1480" w:hanging="567"/>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47" w:lineRule="exact"/>
        <w:rPr>
          <w:sz w:val="20"/>
          <w:szCs w:val="20"/>
          <w:color w:val="auto"/>
        </w:rPr>
      </w:pPr>
    </w:p>
    <w:p>
      <w:pPr>
        <w:ind w:left="1480" w:hanging="567"/>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72" w:lineRule="exact"/>
        <w:rPr>
          <w:sz w:val="20"/>
          <w:szCs w:val="20"/>
          <w:color w:val="auto"/>
        </w:rPr>
      </w:pPr>
    </w:p>
    <w:p>
      <w:pPr>
        <w:ind w:left="1480" w:hanging="567"/>
        <w:spacing w:after="0"/>
        <w:tabs>
          <w:tab w:leader="none" w:pos="148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159" w:lineRule="exact"/>
        <w:rPr>
          <w:sz w:val="20"/>
          <w:szCs w:val="20"/>
          <w:color w:val="auto"/>
        </w:rPr>
      </w:pPr>
    </w:p>
    <w:p>
      <w:pPr>
        <w:ind w:left="1480" w:hanging="567"/>
        <w:spacing w:after="0"/>
        <w:tabs>
          <w:tab w:leader="none" w:pos="14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172" w:lineRule="exact"/>
        <w:rPr>
          <w:sz w:val="20"/>
          <w:szCs w:val="20"/>
          <w:color w:val="auto"/>
        </w:rPr>
      </w:pPr>
    </w:p>
    <w:p>
      <w:pPr>
        <w:ind w:left="1480" w:hanging="567"/>
        <w:spacing w:after="0"/>
        <w:tabs>
          <w:tab w:leader="none" w:pos="14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59" w:name="page60"/>
    <w:bookmarkEnd w:id="5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institute action in any state or federal court located within the Commonwealth of Massachusetts and each party consents to the personal jurisdiction of any such state or federal court.</w:t>
      </w:r>
    </w:p>
    <w:p>
      <w:pPr>
        <w:spacing w:after="0" w:line="172" w:lineRule="exact"/>
        <w:rPr>
          <w:sz w:val="20"/>
          <w:szCs w:val="20"/>
          <w:color w:val="auto"/>
        </w:rPr>
      </w:pPr>
    </w:p>
    <w:p>
      <w:pPr>
        <w:ind w:left="1480" w:hanging="567"/>
        <w:spacing w:after="0"/>
        <w:tabs>
          <w:tab w:leader="none" w:pos="14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2" w:lineRule="exact"/>
        <w:rPr>
          <w:sz w:val="20"/>
          <w:szCs w:val="20"/>
          <w:color w:val="auto"/>
        </w:rPr>
      </w:pPr>
    </w:p>
    <w:p>
      <w:pPr>
        <w:ind w:left="1480" w:hanging="567"/>
        <w:spacing w:after="0"/>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72" w:lineRule="exact"/>
        <w:rPr>
          <w:sz w:val="20"/>
          <w:szCs w:val="20"/>
          <w:color w:val="auto"/>
        </w:rPr>
      </w:pPr>
    </w:p>
    <w:p>
      <w:pPr>
        <w:ind w:left="1480" w:hanging="567"/>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3240" w:type="dxa"/>
            <w:vAlign w:val="bottom"/>
          </w:tcPr>
          <w:p>
            <w:pPr>
              <w:ind w:left="2260"/>
              <w:spacing w:after="0"/>
              <w:rPr>
                <w:sz w:val="20"/>
                <w:szCs w:val="20"/>
                <w:color w:val="auto"/>
              </w:rPr>
            </w:pPr>
            <w:r>
              <w:rPr>
                <w:rFonts w:ascii="Arial" w:cs="Arial" w:eastAsia="Arial" w:hAnsi="Arial"/>
                <w:sz w:val="18"/>
                <w:szCs w:val="18"/>
                <w:color w:val="auto"/>
                <w:w w:val="87"/>
              </w:rPr>
              <w:t>Date: 4-24-08</w:t>
            </w: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spacing w:after="0"/>
              <w:rPr>
                <w:sz w:val="20"/>
                <w:szCs w:val="20"/>
                <w:color w:val="auto"/>
              </w:rPr>
            </w:pPr>
            <w:r>
              <w:rPr>
                <w:rFonts w:ascii="Arial" w:cs="Arial" w:eastAsia="Arial" w:hAnsi="Arial"/>
                <w:sz w:val="18"/>
                <w:szCs w:val="18"/>
                <w:color w:val="auto"/>
              </w:rPr>
              <w:t>David A. Levin</w:t>
            </w:r>
          </w:p>
        </w:tc>
        <w:tc>
          <w:tcPr>
            <w:tcW w:w="3240" w:type="dxa"/>
            <w:vAlign w:val="bottom"/>
          </w:tcPr>
          <w:p>
            <w:pPr>
              <w:spacing w:after="0"/>
              <w:rPr>
                <w:sz w:val="18"/>
                <w:szCs w:val="18"/>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34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3240" w:type="dxa"/>
            <w:vAlign w:val="bottom"/>
          </w:tcPr>
          <w:p>
            <w:pPr>
              <w:spacing w:after="0"/>
              <w:rPr>
                <w:sz w:val="19"/>
                <w:szCs w:val="19"/>
                <w:color w:val="auto"/>
              </w:rPr>
            </w:pPr>
          </w:p>
        </w:tc>
      </w:tr>
      <w:tr>
        <w:trPr>
          <w:trHeight w:val="43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3240" w:type="dxa"/>
            <w:vAlign w:val="bottom"/>
          </w:tcPr>
          <w:p>
            <w:pPr>
              <w:ind w:left="2260"/>
              <w:spacing w:after="0"/>
              <w:rPr>
                <w:sz w:val="20"/>
                <w:szCs w:val="20"/>
                <w:color w:val="auto"/>
              </w:rPr>
            </w:pPr>
            <w:r>
              <w:rPr>
                <w:rFonts w:ascii="Arial" w:cs="Arial" w:eastAsia="Arial" w:hAnsi="Arial"/>
                <w:sz w:val="18"/>
                <w:szCs w:val="18"/>
                <w:color w:val="auto"/>
                <w:w w:val="87"/>
              </w:rPr>
              <w:t>Date: 4-24-08</w:t>
            </w: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340" w:type="dxa"/>
            <w:vAlign w:val="bottom"/>
          </w:tcPr>
          <w:p>
            <w:pPr>
              <w:spacing w:after="0"/>
              <w:rPr>
                <w:sz w:val="20"/>
                <w:szCs w:val="20"/>
                <w:color w:val="auto"/>
              </w:rPr>
            </w:pPr>
            <w:r>
              <w:rPr>
                <w:rFonts w:ascii="Arial" w:cs="Arial" w:eastAsia="Arial" w:hAnsi="Arial"/>
                <w:sz w:val="18"/>
                <w:szCs w:val="18"/>
                <w:color w:val="auto"/>
              </w:rPr>
              <w:t>Dennis R. Hernreich</w:t>
            </w:r>
          </w:p>
        </w:tc>
        <w:tc>
          <w:tcPr>
            <w:tcW w:w="3240" w:type="dxa"/>
            <w:vAlign w:val="bottom"/>
          </w:tcPr>
          <w:p>
            <w:pPr>
              <w:spacing w:after="0"/>
              <w:rPr>
                <w:sz w:val="18"/>
                <w:szCs w:val="18"/>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340" w:type="dxa"/>
            <w:vAlign w:val="bottom"/>
          </w:tcPr>
          <w:p>
            <w:pPr>
              <w:spacing w:after="0"/>
              <w:rPr>
                <w:sz w:val="20"/>
                <w:szCs w:val="20"/>
                <w:color w:val="auto"/>
              </w:rPr>
            </w:pPr>
            <w:r>
              <w:rPr>
                <w:rFonts w:ascii="Arial" w:cs="Arial" w:eastAsia="Arial" w:hAnsi="Arial"/>
                <w:sz w:val="18"/>
                <w:szCs w:val="18"/>
                <w:color w:val="auto"/>
              </w:rPr>
              <w:t>Executive VP, COO, CFO</w:t>
            </w:r>
          </w:p>
        </w:tc>
        <w:tc>
          <w:tcPr>
            <w:tcW w:w="3240" w:type="dxa"/>
            <w:vAlign w:val="bottom"/>
          </w:tcPr>
          <w:p>
            <w:pPr>
              <w:spacing w:after="0"/>
              <w:rPr>
                <w:sz w:val="19"/>
                <w:szCs w:val="19"/>
                <w:color w:val="auto"/>
              </w:rPr>
            </w:pPr>
          </w:p>
        </w:tc>
      </w:tr>
      <w:tr>
        <w:trPr>
          <w:trHeight w:val="434"/>
        </w:trPr>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E. Schmitz</w:t>
            </w:r>
          </w:p>
        </w:tc>
        <w:tc>
          <w:tcPr>
            <w:tcW w:w="3240" w:type="dxa"/>
            <w:vAlign w:val="bottom"/>
          </w:tcPr>
          <w:p>
            <w:pPr>
              <w:ind w:left="2260"/>
              <w:spacing w:after="0"/>
              <w:rPr>
                <w:sz w:val="20"/>
                <w:szCs w:val="20"/>
                <w:color w:val="auto"/>
              </w:rPr>
            </w:pPr>
            <w:r>
              <w:rPr>
                <w:rFonts w:ascii="Arial" w:cs="Arial" w:eastAsia="Arial" w:hAnsi="Arial"/>
                <w:sz w:val="18"/>
                <w:szCs w:val="18"/>
                <w:color w:val="auto"/>
                <w:w w:val="87"/>
              </w:rPr>
              <w:t>Date: 4-22-08</w:t>
            </w:r>
          </w:p>
        </w:tc>
      </w:tr>
      <w:tr>
        <w:trPr>
          <w:trHeight w:val="221"/>
        </w:trPr>
        <w:tc>
          <w:tcPr>
            <w:tcW w:w="4940" w:type="dxa"/>
            <w:vAlign w:val="bottom"/>
            <w:gridSpan w:val="2"/>
          </w:tcPr>
          <w:p>
            <w:pPr>
              <w:spacing w:after="0"/>
              <w:rPr>
                <w:sz w:val="20"/>
                <w:szCs w:val="20"/>
                <w:color w:val="auto"/>
              </w:rPr>
            </w:pPr>
            <w:r>
              <w:rPr>
                <w:rFonts w:ascii="Arial" w:cs="Arial" w:eastAsia="Arial" w:hAnsi="Arial"/>
                <w:sz w:val="18"/>
                <w:szCs w:val="18"/>
                <w:color w:val="auto"/>
              </w:rPr>
              <w:t>Peter E. Schmitz</w:t>
            </w:r>
          </w:p>
        </w:tc>
        <w:tc>
          <w:tcPr>
            <w:tcW w:w="3240" w:type="dxa"/>
            <w:vAlign w:val="bottom"/>
          </w:tcPr>
          <w:p>
            <w:pPr>
              <w:spacing w:after="0"/>
              <w:rPr>
                <w:sz w:val="19"/>
                <w:szCs w:val="19"/>
                <w:color w:val="auto"/>
              </w:rPr>
            </w:pPr>
          </w:p>
        </w:tc>
      </w:tr>
      <w:tr>
        <w:trPr>
          <w:trHeight w:val="365"/>
        </w:trPr>
        <w:tc>
          <w:tcPr>
            <w:tcW w:w="6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40" w:type="dxa"/>
            <w:vAlign w:val="bottom"/>
          </w:tcPr>
          <w:p>
            <w:pPr>
              <w:jc w:val="right"/>
              <w:ind w:right="229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00"/>
          </w:cols>
          <w:pgMar w:left="240" w:top="280" w:right="2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This Employment Agreement (“Agreement”) is made as of June, 9, 2008 between CASUAL MALE RETAIL GROUP, INC., a Delaware corporation with an office at 555 Turnpike Street, Canton, Massachusetts, 02021 (the “Company”, which term includes its subsidiaries and affiliates), and Francis Chane (the “Executive”) having an address at 45 Saddleworthy Way, Middleboro, MA 02346.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WHEREAS, the Company desires that Executive serve as Vice President Distribution and Logistics,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51" w:lineRule="exact"/>
        <w:rPr>
          <w:sz w:val="20"/>
          <w:szCs w:val="20"/>
          <w:color w:val="auto"/>
        </w:rPr>
      </w:pPr>
    </w:p>
    <w:p>
      <w:pPr>
        <w:ind w:left="1480" w:hanging="567"/>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Vice President Distribution and Logistics.</w:t>
      </w:r>
    </w:p>
    <w:p>
      <w:pPr>
        <w:spacing w:after="0" w:line="205" w:lineRule="exact"/>
        <w:rPr>
          <w:sz w:val="20"/>
          <w:szCs w:val="20"/>
          <w:color w:val="auto"/>
        </w:rPr>
      </w:pPr>
    </w:p>
    <w:p>
      <w:pPr>
        <w:ind w:left="1480" w:hanging="567"/>
        <w:spacing w:after="0"/>
        <w:tabs>
          <w:tab w:leader="none" w:pos="14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181" w:lineRule="exact"/>
        <w:rPr>
          <w:sz w:val="20"/>
          <w:szCs w:val="20"/>
          <w:color w:val="auto"/>
        </w:rPr>
      </w:pPr>
    </w:p>
    <w:p>
      <w:pPr>
        <w:ind w:left="1480" w:hanging="567"/>
        <w:spacing w:after="0"/>
        <w:tabs>
          <w:tab w:leader="none" w:pos="148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140" w:firstLine="921"/>
        <w:spacing w:after="0" w:line="259" w:lineRule="auto"/>
        <w:tabs>
          <w:tab w:leader="none" w:pos="115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One Hundred Eighty Thousand Dollars and No Cents ($180,000.00).</w:t>
      </w:r>
    </w:p>
    <w:p>
      <w:pPr>
        <w:spacing w:after="0" w:line="140"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(50%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61" w:name="page62"/>
    <w:bookmarkEnd w:id="61"/>
    <w:p>
      <w:pPr>
        <w:jc w:val="both"/>
        <w:ind w:right="80" w:firstLine="921"/>
        <w:spacing w:after="0" w:line="298" w:lineRule="auto"/>
        <w:tabs>
          <w:tab w:leader="none" w:pos="1152" w:val="left"/>
        </w:tabs>
        <w:numPr>
          <w:ilvl w:val="1"/>
          <w:numId w:val="1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earnings, for the incentive period, based upon the Company’s targeted performance as defined in the LTIP documents in effect at the time of the award.</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53" w:lineRule="exact"/>
        <w:rPr>
          <w:sz w:val="20"/>
          <w:szCs w:val="20"/>
          <w:color w:val="auto"/>
        </w:rPr>
      </w:pPr>
    </w:p>
    <w:p>
      <w:pPr>
        <w:ind w:left="1480" w:hanging="567"/>
        <w:spacing w:after="0"/>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60" w:firstLine="921"/>
        <w:spacing w:after="0" w:line="335" w:lineRule="auto"/>
        <w:tabs>
          <w:tab w:leader="none" w:pos="1152" w:val="left"/>
        </w:tabs>
        <w:numPr>
          <w:ilvl w:val="1"/>
          <w:numId w:val="133"/>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right="140" w:firstLine="921"/>
        <w:spacing w:after="0" w:line="298" w:lineRule="auto"/>
        <w:tabs>
          <w:tab w:leader="none" w:pos="116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No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11" w:lineRule="exact"/>
        <w:rPr>
          <w:rFonts w:ascii="Arial" w:cs="Arial" w:eastAsia="Arial" w:hAnsi="Arial"/>
          <w:sz w:val="18"/>
          <w:szCs w:val="18"/>
          <w:color w:val="auto"/>
        </w:rPr>
      </w:pPr>
    </w:p>
    <w:p>
      <w:pPr>
        <w:ind w:left="1480" w:hanging="567"/>
        <w:spacing w:after="0"/>
        <w:tabs>
          <w:tab w:leader="none" w:pos="14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firstLine="921"/>
        <w:spacing w:after="0" w:line="259" w:lineRule="auto"/>
        <w:tabs>
          <w:tab w:leader="none" w:pos="115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his position as Vice President Distribution and Logistics and/or as the Company shall from time to time determine and Executive shall comply in the performance of his duties with the policies of, and be subject to the direction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2" w:name="page63"/>
    <w:bookmarkEnd w:id="62"/>
    <w:p>
      <w:pPr>
        <w:ind w:left="-40" w:right="120" w:firstLine="921"/>
        <w:spacing w:after="0" w:line="298" w:lineRule="auto"/>
        <w:tabs>
          <w:tab w:leader="none" w:pos="1122" w:val="left"/>
        </w:tabs>
        <w:numPr>
          <w:ilvl w:val="1"/>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1"/>
          <w:numId w:val="134"/>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28" w:lineRule="exact"/>
        <w:rPr>
          <w:rFonts w:ascii="Arial" w:cs="Arial" w:eastAsia="Arial" w:hAnsi="Arial"/>
          <w:sz w:val="15"/>
          <w:szCs w:val="15"/>
          <w:color w:val="auto"/>
        </w:rPr>
      </w:pPr>
    </w:p>
    <w:p>
      <w:pPr>
        <w:ind w:left="1440" w:hanging="567"/>
        <w:spacing w:after="0"/>
        <w:tabs>
          <w:tab w:leader="none" w:pos="14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0" w:right="80" w:firstLine="1492"/>
        <w:spacing w:after="0" w:line="259" w:lineRule="auto"/>
        <w:tabs>
          <w:tab w:leader="none" w:pos="1653" w:val="left"/>
        </w:tabs>
        <w:numPr>
          <w:ilvl w:val="2"/>
          <w:numId w:val="135"/>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20" w:hanging="268"/>
        <w:spacing w:after="0"/>
        <w:tabs>
          <w:tab w:leader="none" w:pos="17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760" w:hanging="308"/>
        <w:spacing w:after="0"/>
        <w:tabs>
          <w:tab w:leader="none" w:pos="176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40" w:right="320" w:firstLine="921"/>
        <w:spacing w:after="0" w:line="259" w:lineRule="auto"/>
        <w:tabs>
          <w:tab w:leader="none" w:pos="111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40" w:firstLine="921"/>
        <w:spacing w:after="0" w:line="306" w:lineRule="auto"/>
        <w:tabs>
          <w:tab w:leader="none" w:pos="112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63" w:name="page64"/>
    <w:bookmarkEnd w:id="63"/>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45" w:lineRule="exact"/>
        <w:rPr>
          <w:sz w:val="20"/>
          <w:szCs w:val="20"/>
          <w:color w:val="auto"/>
        </w:rPr>
      </w:pPr>
    </w:p>
    <w:p>
      <w:pPr>
        <w:ind w:right="140" w:firstLine="921"/>
        <w:spacing w:after="0" w:line="287" w:lineRule="auto"/>
        <w:tabs>
          <w:tab w:leader="none" w:pos="115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firstLine="921"/>
        <w:spacing w:after="0" w:line="259" w:lineRule="auto"/>
        <w:tabs>
          <w:tab w:leader="none" w:pos="113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00" w:firstLine="921"/>
        <w:spacing w:after="0" w:line="306" w:lineRule="auto"/>
        <w:tabs>
          <w:tab w:leader="none" w:pos="11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to receive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such portion of his annual base salary and reimbursement of expenses pursuant to Section 4 as have been accrued through the date of his resignation.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64" w:name="page65"/>
    <w:bookmarkEnd w:id="64"/>
    <w:p>
      <w:pPr>
        <w:ind w:firstLine="921"/>
        <w:spacing w:after="0" w:line="290" w:lineRule="auto"/>
        <w:tabs>
          <w:tab w:leader="none" w:pos="1122"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payable in equal payments in accordance with the Company’s customary payroll practices,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w:t>
      </w:r>
    </w:p>
    <w:p>
      <w:pPr>
        <w:spacing w:after="0" w:line="158" w:lineRule="exact"/>
        <w:rPr>
          <w:rFonts w:ascii="Arial" w:cs="Arial" w:eastAsia="Arial" w:hAnsi="Arial"/>
          <w:sz w:val="16"/>
          <w:szCs w:val="16"/>
          <w:color w:val="auto"/>
        </w:rPr>
      </w:pPr>
    </w:p>
    <w:p>
      <w:pPr>
        <w:ind w:left="1480" w:hanging="567"/>
        <w:spacing w:after="0"/>
        <w:tabs>
          <w:tab w:leader="none" w:pos="148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right="140" w:firstLine="921"/>
        <w:spacing w:after="0" w:line="370" w:lineRule="auto"/>
        <w:tabs>
          <w:tab w:leader="none" w:pos="1152" w:val="left"/>
        </w:tabs>
        <w:numPr>
          <w:ilvl w:val="1"/>
          <w:numId w:val="138"/>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1"/>
          <w:numId w:val="138"/>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5" w:name="page66"/>
    <w:bookmarkEnd w:id="65"/>
    <w:p>
      <w:pPr>
        <w:ind w:left="1480" w:hanging="567"/>
        <w:spacing w:after="0"/>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NON-COMPETITION</w:t>
      </w:r>
    </w:p>
    <w:p>
      <w:pPr>
        <w:spacing w:after="0" w:line="90" w:lineRule="exact"/>
        <w:rPr>
          <w:sz w:val="20"/>
          <w:szCs w:val="20"/>
          <w:color w:val="auto"/>
        </w:rPr>
      </w:pPr>
    </w:p>
    <w:p>
      <w:pPr>
        <w:ind w:right="780" w:firstLine="913"/>
        <w:spacing w:after="0" w:line="268" w:lineRule="auto"/>
        <w:rPr>
          <w:sz w:val="20"/>
          <w:szCs w:val="20"/>
          <w:color w:val="auto"/>
        </w:rPr>
      </w:pPr>
      <w:r>
        <w:rPr>
          <w:rFonts w:ascii="Arial" w:cs="Arial" w:eastAsia="Arial" w:hAnsi="Arial"/>
          <w:sz w:val="18"/>
          <w:szCs w:val="18"/>
          <w:color w:val="auto"/>
        </w:rPr>
        <w:t>Executive agrees that during his employment by the Company and during the two (2) year period following the termination of Executive’s employment hereunder (the “Non-compete and Non-solicitation Period””), Executive shall not:</w:t>
      </w:r>
    </w:p>
    <w:p>
      <w:pPr>
        <w:spacing w:after="0" w:line="51" w:lineRule="exact"/>
        <w:rPr>
          <w:sz w:val="20"/>
          <w:szCs w:val="20"/>
          <w:color w:val="auto"/>
        </w:rPr>
      </w:pPr>
    </w:p>
    <w:p>
      <w:pPr>
        <w:ind w:firstLine="921"/>
        <w:spacing w:after="0" w:line="290" w:lineRule="auto"/>
        <w:tabs>
          <w:tab w:leader="none" w:pos="115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w:t>
      </w:r>
    </w:p>
    <w:p>
      <w:pPr>
        <w:spacing w:after="0" w:line="118" w:lineRule="exact"/>
        <w:rPr>
          <w:rFonts w:ascii="Arial" w:cs="Arial" w:eastAsia="Arial" w:hAnsi="Arial"/>
          <w:sz w:val="16"/>
          <w:szCs w:val="16"/>
          <w:color w:val="auto"/>
        </w:rPr>
      </w:pPr>
    </w:p>
    <w:p>
      <w:pPr>
        <w:ind w:right="100" w:firstLine="921"/>
        <w:spacing w:after="0" w:line="255" w:lineRule="auto"/>
        <w:tabs>
          <w:tab w:leader="none" w:pos="1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offer employment to, or in any manner encourage current employees of the Company to leave its employ. Employee further agrees that the same prohibition applies to any former employees who were employed by the Company at any time during Employee’s final six months of employment with the Company.</w:t>
      </w:r>
    </w:p>
    <w:p>
      <w:pPr>
        <w:spacing w:after="0" w:line="142" w:lineRule="exact"/>
        <w:rPr>
          <w:rFonts w:ascii="Arial" w:cs="Arial" w:eastAsia="Arial" w:hAnsi="Arial"/>
          <w:sz w:val="18"/>
          <w:szCs w:val="18"/>
          <w:color w:val="auto"/>
        </w:rPr>
      </w:pPr>
    </w:p>
    <w:p>
      <w:pPr>
        <w:ind w:right="160" w:firstLine="921"/>
        <w:spacing w:after="0" w:line="255" w:lineRule="auto"/>
        <w:tabs>
          <w:tab w:leader="none" w:pos="11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right="20" w:firstLine="921"/>
        <w:spacing w:after="0" w:line="294" w:lineRule="auto"/>
        <w:tabs>
          <w:tab w:leader="none" w:pos="116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380" w:firstLine="921"/>
        <w:spacing w:after="0" w:line="332" w:lineRule="auto"/>
        <w:tabs>
          <w:tab w:leader="none" w:pos="1152"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6" w:name="page67"/>
    <w:bookmarkEnd w:id="66"/>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2" w:lineRule="exact"/>
        <w:rPr>
          <w:sz w:val="20"/>
          <w:szCs w:val="20"/>
          <w:color w:val="auto"/>
        </w:rPr>
      </w:pPr>
    </w:p>
    <w:p>
      <w:pPr>
        <w:ind w:right="100" w:firstLine="921"/>
        <w:spacing w:after="0" w:line="268" w:lineRule="auto"/>
        <w:tabs>
          <w:tab w:leader="none" w:pos="113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the event that Employee breaches any of the provisions of Paragraph 9 of this Agreement, the Non-Compete and Non-Solicitation period shall be tolled until such breach has been duly cured.</w:t>
      </w:r>
    </w:p>
    <w:p>
      <w:pPr>
        <w:spacing w:after="0" w:line="131" w:lineRule="exact"/>
        <w:rPr>
          <w:rFonts w:ascii="Arial" w:cs="Arial" w:eastAsia="Arial" w:hAnsi="Arial"/>
          <w:sz w:val="18"/>
          <w:szCs w:val="18"/>
          <w:color w:val="auto"/>
        </w:rPr>
      </w:pPr>
    </w:p>
    <w:p>
      <w:pPr>
        <w:ind w:right="20" w:firstLine="921"/>
        <w:spacing w:after="0" w:line="255" w:lineRule="auto"/>
        <w:tabs>
          <w:tab w:leader="none" w:pos="116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the event that Employee believes that employment otherwise in violation of this Agreement would not harm the Company’s legitimate business interests, Employee may request Company to waive the restrictions contained in this Agreement. Any such request shall be made in writing to the Senior Vice President, Human Resources at the Company and shall identify the business with which Employee seeks to associate and describe the duties that Employee seeks to perform. The Company has the sole discretion whether to grant such a waiver and no waiver of any restrictions under this Agreement shall be effective unless in writing and signed by the CFO/COO or CEO of the Company.</w:t>
      </w:r>
    </w:p>
    <w:p>
      <w:pPr>
        <w:spacing w:after="0" w:line="183" w:lineRule="exact"/>
        <w:rPr>
          <w:rFonts w:ascii="Arial" w:cs="Arial" w:eastAsia="Arial" w:hAnsi="Arial"/>
          <w:sz w:val="18"/>
          <w:szCs w:val="18"/>
          <w:color w:val="auto"/>
        </w:rPr>
      </w:pPr>
    </w:p>
    <w:p>
      <w:pPr>
        <w:ind w:left="1480" w:hanging="567"/>
        <w:spacing w:after="0"/>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rFonts w:ascii="Arial" w:cs="Arial" w:eastAsia="Arial" w:hAnsi="Arial"/>
          <w:sz w:val="18"/>
          <w:szCs w:val="18"/>
          <w:color w:val="auto"/>
        </w:rPr>
      </w:pPr>
    </w:p>
    <w:p>
      <w:pPr>
        <w:ind w:firstLine="921"/>
        <w:spacing w:after="0" w:line="291" w:lineRule="auto"/>
        <w:tabs>
          <w:tab w:leader="none" w:pos="1152" w:val="left"/>
        </w:tabs>
        <w:numPr>
          <w:ilvl w:val="1"/>
          <w:numId w:val="142"/>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53" w:lineRule="auto"/>
        <w:tabs>
          <w:tab w:leader="none" w:pos="116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7" w:name="page68"/>
    <w:bookmarkEnd w:id="67"/>
    <w:p>
      <w:pPr>
        <w:ind w:left="1480" w:hanging="567"/>
        <w:spacing w:after="0"/>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NON-DISCLOSURE OF CONFIDENTIAL INFORMATION</w:t>
      </w:r>
    </w:p>
    <w:p>
      <w:pPr>
        <w:spacing w:after="0" w:line="90" w:lineRule="exact"/>
        <w:rPr>
          <w:sz w:val="20"/>
          <w:szCs w:val="20"/>
          <w:color w:val="auto"/>
        </w:rPr>
      </w:pPr>
    </w:p>
    <w:p>
      <w:pPr>
        <w:ind w:firstLine="921"/>
        <w:spacing w:after="0" w:line="285" w:lineRule="auto"/>
        <w:tabs>
          <w:tab w:leader="none" w:pos="115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26" w:lineRule="exact"/>
        <w:rPr>
          <w:rFonts w:ascii="Arial" w:cs="Arial" w:eastAsia="Arial" w:hAnsi="Arial"/>
          <w:sz w:val="16"/>
          <w:szCs w:val="16"/>
          <w:color w:val="auto"/>
        </w:rPr>
      </w:pPr>
    </w:p>
    <w:p>
      <w:pPr>
        <w:ind w:right="580" w:firstLine="921"/>
        <w:spacing w:after="0" w:line="298" w:lineRule="auto"/>
        <w:tabs>
          <w:tab w:leader="none" w:pos="1162"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53" w:lineRule="exact"/>
        <w:rPr>
          <w:sz w:val="20"/>
          <w:szCs w:val="20"/>
          <w:color w:val="auto"/>
        </w:rPr>
      </w:pPr>
    </w:p>
    <w:p>
      <w:pPr>
        <w:ind w:left="1480" w:hanging="567"/>
        <w:spacing w:after="0"/>
        <w:tabs>
          <w:tab w:leader="none" w:pos="14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68" w:name="page69"/>
    <w:bookmarkEnd w:id="68"/>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181" w:lineRule="exact"/>
        <w:rPr>
          <w:sz w:val="20"/>
          <w:szCs w:val="20"/>
          <w:color w:val="auto"/>
        </w:rPr>
      </w:pPr>
    </w:p>
    <w:p>
      <w:pPr>
        <w:ind w:left="1480" w:hanging="567"/>
        <w:spacing w:after="0"/>
        <w:tabs>
          <w:tab w:leader="none" w:pos="14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235" w:lineRule="exact"/>
        <w:rPr>
          <w:sz w:val="20"/>
          <w:szCs w:val="20"/>
          <w:color w:val="auto"/>
        </w:rPr>
      </w:pPr>
    </w:p>
    <w:p>
      <w:pPr>
        <w:ind w:left="1480" w:hanging="567"/>
        <w:spacing w:after="0"/>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72" w:lineRule="exact"/>
        <w:rPr>
          <w:sz w:val="20"/>
          <w:szCs w:val="20"/>
          <w:color w:val="auto"/>
        </w:rPr>
      </w:pPr>
    </w:p>
    <w:p>
      <w:pPr>
        <w:ind w:left="1480" w:hanging="567"/>
        <w:spacing w:after="0"/>
        <w:tabs>
          <w:tab w:leader="none" w:pos="148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72" w:lineRule="exact"/>
        <w:rPr>
          <w:sz w:val="20"/>
          <w:szCs w:val="20"/>
          <w:color w:val="auto"/>
        </w:rPr>
      </w:pPr>
    </w:p>
    <w:p>
      <w:pPr>
        <w:ind w:left="1480" w:hanging="567"/>
        <w:spacing w:after="0"/>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340" w:firstLine="913"/>
        <w:spacing w:after="0" w:line="256"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by a reputable overnight courier with receipt acknowledgement capabilities,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84" w:lineRule="exact"/>
        <w:rPr>
          <w:sz w:val="20"/>
          <w:szCs w:val="20"/>
          <w:color w:val="auto"/>
        </w:rPr>
      </w:pPr>
    </w:p>
    <w:p>
      <w:pPr>
        <w:ind w:left="1480" w:hanging="567"/>
        <w:spacing w:after="0"/>
        <w:tabs>
          <w:tab w:leader="none" w:pos="148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72" w:lineRule="exact"/>
        <w:rPr>
          <w:sz w:val="20"/>
          <w:szCs w:val="20"/>
          <w:color w:val="auto"/>
        </w:rPr>
      </w:pPr>
    </w:p>
    <w:p>
      <w:pPr>
        <w:ind w:left="1480" w:hanging="567"/>
        <w:spacing w:after="0"/>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340" w:firstLine="913"/>
        <w:spacing w:after="0" w:line="294"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181" w:lineRule="exact"/>
        <w:rPr>
          <w:sz w:val="20"/>
          <w:szCs w:val="20"/>
          <w:color w:val="auto"/>
        </w:rPr>
      </w:pPr>
    </w:p>
    <w:p>
      <w:pPr>
        <w:ind w:left="1480" w:hanging="567"/>
        <w:spacing w:after="0"/>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172" w:lineRule="exact"/>
        <w:rPr>
          <w:sz w:val="20"/>
          <w:szCs w:val="20"/>
          <w:color w:val="auto"/>
        </w:rPr>
      </w:pPr>
    </w:p>
    <w:p>
      <w:pPr>
        <w:ind w:left="1480" w:hanging="567"/>
        <w:spacing w:after="0"/>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40" w:firstLine="913"/>
        <w:spacing w:after="0" w:line="335" w:lineRule="auto"/>
        <w:rPr>
          <w:sz w:val="20"/>
          <w:szCs w:val="20"/>
          <w:color w:val="auto"/>
        </w:rPr>
      </w:pPr>
      <w:r>
        <w:rPr>
          <w:rFonts w:ascii="Arial" w:cs="Arial" w:eastAsia="Arial" w:hAnsi="Arial"/>
          <w:sz w:val="15"/>
          <w:szCs w:val="15"/>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129" w:lineRule="exact"/>
        <w:rPr>
          <w:sz w:val="20"/>
          <w:szCs w:val="20"/>
          <w:color w:val="auto"/>
        </w:rPr>
      </w:pPr>
    </w:p>
    <w:p>
      <w:pPr>
        <w:ind w:left="1480" w:hanging="567"/>
        <w:spacing w:after="0"/>
        <w:tabs>
          <w:tab w:leader="none" w:pos="14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2" w:lineRule="exact"/>
        <w:rPr>
          <w:sz w:val="20"/>
          <w:szCs w:val="20"/>
          <w:color w:val="auto"/>
        </w:rPr>
      </w:pPr>
    </w:p>
    <w:p>
      <w:pPr>
        <w:ind w:left="1480" w:hanging="567"/>
        <w:spacing w:after="0"/>
        <w:tabs>
          <w:tab w:leader="none" w:pos="14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70" w:name="page71"/>
    <w:bookmarkEnd w:id="70"/>
    <w:p>
      <w:pPr>
        <w:ind w:left="1480" w:hanging="567"/>
        <w:spacing w:after="0"/>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p>
    <w:p>
      <w:pPr>
        <w:spacing w:after="0" w:line="9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Its subsidiaries and affiliates</w:t>
      </w:r>
    </w:p>
    <w:p>
      <w:pPr>
        <w:sectPr>
          <w:pgSz w:w="11900" w:h="16838" w:orient="portrait"/>
          <w:cols w:equalWidth="0" w:num="1">
            <w:col w:w="11220"/>
          </w:cols>
          <w:pgMar w:left="240" w:top="280" w:right="439" w:bottom="1440" w:gutter="0" w:footer="0" w:header="0"/>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354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354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Francis C. Chane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327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Francis Chane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Date: 6-16-08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Date: 6-16-08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760"/>
        <w:spacing w:after="0"/>
        <w:rPr>
          <w:sz w:val="20"/>
          <w:szCs w:val="20"/>
          <w:color w:val="auto"/>
        </w:rPr>
      </w:pPr>
      <w:r>
        <w:rPr>
          <w:rFonts w:ascii="Arial" w:cs="Arial" w:eastAsia="Arial" w:hAnsi="Arial"/>
          <w:sz w:val="18"/>
          <w:szCs w:val="18"/>
          <w:color w:val="auto"/>
        </w:rPr>
        <w:t>Date: 6-16-08</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4900" w:space="720"/>
            <w:col w:w="5600"/>
          </w:cols>
          <w:pgMar w:left="240" w:top="280" w:right="43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u w:val="single" w:color="auto"/>
          <w:color w:val="auto"/>
        </w:rPr>
        <w:t>EXHIBIT 10.6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DESCRIPTION OF NON-EMPLOYEE DIRECTOR COMPENSATION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ARRANGEMENT</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Board of Directors of the Company at a meeting held on July 31, 2008 adopted the following revised arrangement for the compensation to be paid to Directors of the Company who are not serving as employees of the Company (“Non-Employee Directors”). Currently, all of the members of the Board of Directors are Non-Employee Directors except David Levin and Seymour Holtzman.</w:t>
      </w:r>
    </w:p>
    <w:p>
      <w:pPr>
        <w:spacing w:after="0" w:line="59" w:lineRule="exact"/>
        <w:rPr>
          <w:sz w:val="20"/>
          <w:szCs w:val="20"/>
          <w:color w:val="auto"/>
        </w:rPr>
      </w:pPr>
    </w:p>
    <w:p>
      <w:pPr>
        <w:ind w:left="900" w:right="100" w:hanging="325"/>
        <w:spacing w:after="0" w:line="291"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Non-Employee Directors re-elected at the 2008 annual meeting of stockholders were granted options to acquire 25,000 shares of Company common stock vesting in increments of one-third on the date of grant, one-third on the first anniversary of the date of grant and one-third on the second anniversary of the date of grant. These options had an exercise price of $4.06 per share, the closing price of the Company’s common stock on the date of grant. In addition, each Non-Employee Director was paid an amount equal to $49,000.00. The total value of the options granted (based on a Black-Scholes valuation) and the cash payment received for each Non-Employee Director equaled the total value of the options granted (based on a Black-Scholes valuation) to each Non-Employee Director upon their re-election in 2007.</w:t>
      </w:r>
    </w:p>
    <w:p>
      <w:pPr>
        <w:spacing w:after="0" w:line="39" w:lineRule="exact"/>
        <w:rPr>
          <w:rFonts w:ascii="Arial" w:cs="Arial" w:eastAsia="Arial" w:hAnsi="Arial"/>
          <w:sz w:val="16"/>
          <w:szCs w:val="16"/>
          <w:color w:val="auto"/>
        </w:rPr>
      </w:pPr>
    </w:p>
    <w:p>
      <w:pPr>
        <w:ind w:left="900" w:right="100" w:hanging="325"/>
        <w:spacing w:after="0" w:line="332"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Effective January 1, 2009, annually upon their re-election to the Board of Directors, each Non-Employee Director shall be paid $82,250. Previously, Non-Employee Directors received options to acquire 25,000 shares of Company common stock upon their re-election.</w:t>
      </w:r>
    </w:p>
    <w:p>
      <w:pPr>
        <w:spacing w:after="0" w:line="4"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Chairperson of the Audit Committee shall be paid an annual fee equal to $10,000 upon his/her selection to serve as such. This continues the Company’s prior practice.</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Effective January 1, 2009, the respective Chairperson of the Nominating and Corporate Governance Committee and the Compensation Committee shall each be paid an annual fee equal to $5,000 upon his/her selection to serve as such. Previously, these chairpersons did not receive a fee for such services.</w:t>
      </w:r>
    </w:p>
    <w:p>
      <w:pPr>
        <w:spacing w:after="0" w:line="59"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Effective January 1, 2009, each Non-Employee Director shall be paid a fee of $1,500 per meeting for his/her attendance at in-person meetings of the Board of Directors and committees and $750 per meeting for his/her attendance at telephonic meetings of the Board of Directors and committees. Previously, Non-Employee Directors were paid $4,000 for their attendance at in-person Board meetings and $3,000 per meeting for their attendance at in-person committee meetings and $500 per meeting for their attendance at telephonic meetings.</w:t>
      </w:r>
    </w:p>
    <w:p>
      <w:pPr>
        <w:sectPr>
          <w:pgSz w:w="11900" w:h="16838" w:orient="portrait"/>
          <w:cols w:equalWidth="0" w:num="1">
            <w:col w:w="11420"/>
          </w:cols>
          <w:pgMar w:left="240" w:top="125" w:right="239" w:bottom="1440" w:gutter="0" w:footer="0" w:header="0"/>
        </w:sectPr>
      </w:pPr>
    </w:p>
    <w:bookmarkStart w:id="72" w:name="page73"/>
    <w:bookmarkEnd w:id="72"/>
    <w:p>
      <w:pPr>
        <w:ind w:left="900" w:right="120" w:hanging="325"/>
        <w:spacing w:after="0" w:line="268"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January 1, 2009, each Non-Employee Director shall be paid an annual retainer equal to $20,000. Previously, Non-Employee Directors did not receive an annual retainer.</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The Non-Employee Directors will have the right to elect payments of the values set forth above in any combination of cash, Company restricted stock or Company stock options assuming there is an adequate number of shares of restricted stock or stock options available under the Company’s 2006 Incentive Compensation Plan. In the event that the Company does not have a sufficient number of shares or options remaining under the 2006 Incentive Compensation Plan, the payments will be made in cash to the extent of such insufficiency. The elections by the Non-Employee Directors must be made in writing and submitted</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to the General Counsel of the Company no later than December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year preceding the year for which the election is to be effective. All elections, once submitted, are irrevocable for that year. In the event a timely election is not made, the payments will be made in cash for that year. For the purposes of determining the relative values of restricted stock and options, each share of Company restricted stock shall be assigned a value equal to the closing price of a share of the Company’s common stock as reported by the NASDAQ Stock Market, Inc. on the effective grant date and each option to acquire a share of Company common stock shall be assigned a value equal to the Black-Scholes value of an option to acquire a share of Company common stock on the effective grant date with an exercise price equal to the closing price of a share of the Company’s common stock as reported by the NASDAQ Stock Market, Inc. on such grant date. Any options issued pursuant to the foregoing shall be exercisable for 10 years after the date of grant and shall vest in increments of one-third on the date of grant, one-third on the first anniversary of the date of grant and one-third on the second anniversary of the date of grant. Any shares of restricted stock issued pursuant to the foregoing shall have terms providing that the restrictions thereon lapse in increments of one-third on the date of issuance, one-third on the first anniversary of the date of issuance and one-third on the second anniversary of the date of issuance.</w:t>
      </w:r>
    </w:p>
    <w:p>
      <w:pPr>
        <w:spacing w:after="0" w:line="17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It is anticipated that the Non-Employee Director compensation arrangement described above will be memorialized in a formal written plan that will be subject to approval of the Board.</w:t>
      </w:r>
    </w:p>
    <w:p>
      <w:pPr>
        <w:sectPr>
          <w:pgSz w:w="11900" w:h="16838" w:orient="portrait"/>
          <w:cols w:equalWidth="0" w:num="1">
            <w:col w:w="11380"/>
          </w:cols>
          <w:pgMar w:left="240" w:top="280" w:right="27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22, 2008</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6985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22,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August 2, 2008,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22, 2008</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August 2, 2008,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22, 2008</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decimal"/>
      <w:start w:val="1"/>
    </w:lvl>
  </w:abstractNum>
  <w:abstractNum w:abstractNumId="1">
    <w:nsid w:val="14330624"/>
    <w:multiLevelType w:val="hybridMultilevel"/>
    <w:lvl w:ilvl="0">
      <w:lvlJc w:val="left"/>
      <w:lvlText w:val="%1."/>
      <w:numFmt w:val="decimal"/>
      <w:start w:val="2"/>
    </w:lvl>
  </w:abstractNum>
  <w:abstractNum w:abstractNumId="2">
    <w:nsid w:val="7FFFCA11"/>
    <w:multiLevelType w:val="hybridMultilevel"/>
    <w:lvl w:ilvl="0">
      <w:lvlJc w:val="left"/>
      <w:lvlText w:val="%1."/>
      <w:numFmt w:val="decimal"/>
      <w:start w:val="3"/>
    </w:lvl>
  </w:abstractNum>
  <w:abstractNum w:abstractNumId="3">
    <w:nsid w:val="1A27709E"/>
    <w:multiLevelType w:val="hybridMultilevel"/>
    <w:lvl w:ilvl="0">
      <w:lvlJc w:val="left"/>
      <w:lvlText w:val="%1."/>
      <w:numFmt w:val="decimal"/>
      <w:start w:val="4"/>
    </w:lvl>
  </w:abstractNum>
  <w:abstractNum w:abstractNumId="4">
    <w:nsid w:val="71EA1109"/>
    <w:multiLevelType w:val="hybridMultilevel"/>
    <w:lvl w:ilvl="0">
      <w:lvlJc w:val="left"/>
      <w:lvlText w:val="%1."/>
      <w:numFmt w:val="decimal"/>
      <w:start w:val="5"/>
    </w:lvl>
  </w:abstractNum>
  <w:abstractNum w:abstractNumId="5">
    <w:nsid w:val="100F59DC"/>
    <w:multiLevelType w:val="hybridMultilevel"/>
    <w:lvl w:ilvl="0">
      <w:lvlJc w:val="left"/>
      <w:lvlText w:val="%1."/>
      <w:numFmt w:val="decimal"/>
      <w:start w:val="6"/>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1)"/>
      <w:numFmt w:val="lowerRoman"/>
      <w:start w:val="1"/>
    </w:lvl>
  </w:abstractNum>
  <w:abstractNum w:abstractNumId="8">
    <w:nsid w:val="6F6DD9AC"/>
    <w:multiLevelType w:val="hybridMultilevel"/>
    <w:lvl w:ilvl="0">
      <w:lvlJc w:val="left"/>
      <w:lvlText w:val="(%1)"/>
      <w:numFmt w:val="lowerRoman"/>
      <w:start w:val="2"/>
    </w:lvl>
  </w:abstractNum>
  <w:abstractNum w:abstractNumId="9">
    <w:nsid w:val="94211F2"/>
    <w:multiLevelType w:val="hybridMultilevel"/>
    <w:lvl w:ilvl="0">
      <w:lvlJc w:val="left"/>
      <w:lvlText w:val="%1."/>
      <w:numFmt w:val="decimal"/>
      <w:start w:val="1"/>
    </w:lvl>
  </w:abstractNum>
  <w:abstractNum w:abstractNumId="10">
    <w:nsid w:val="885E1B"/>
    <w:multiLevelType w:val="hybridMultilevel"/>
    <w:lvl w:ilvl="0">
      <w:lvlJc w:val="left"/>
      <w:lvlText w:val="%1."/>
      <w:numFmt w:val="decimal"/>
      <w:start w:val="2"/>
    </w:lvl>
  </w:abstractNum>
  <w:abstractNum w:abstractNumId="11">
    <w:nsid w:val="76272110"/>
    <w:multiLevelType w:val="hybridMultilevel"/>
    <w:lvl w:ilvl="0">
      <w:lvlJc w:val="left"/>
      <w:lvlText w:val="%1."/>
      <w:numFmt w:val="decimal"/>
      <w:start w:val="3"/>
    </w:lvl>
    <w:lvl w:ilvl="1">
      <w:lvlJc w:val="left"/>
      <w:lvlText w:val="(%2)"/>
      <w:numFmt w:val="lowerLetter"/>
      <w:start w:val="1"/>
    </w:lvl>
  </w:abstractNum>
  <w:abstractNum w:abstractNumId="12">
    <w:nsid w:val="4C04A8AF"/>
    <w:multiLevelType w:val="hybridMultilevel"/>
    <w:lvl w:ilvl="0">
      <w:lvlJc w:val="left"/>
      <w:lvlText w:val="%1"/>
      <w:numFmt w:val="decimal"/>
      <w:start w:val="1"/>
    </w:lvl>
    <w:lvl w:ilvl="1">
      <w:lvlJc w:val="left"/>
      <w:lvlText w:val="(%2)"/>
      <w:numFmt w:val="lowerLetter"/>
      <w:start w:val="3"/>
    </w:lvl>
  </w:abstractNum>
  <w:abstractNum w:abstractNumId="13">
    <w:nsid w:val="1716703B"/>
    <w:multiLevelType w:val="hybridMultilevel"/>
    <w:lvl w:ilvl="0">
      <w:lvlJc w:val="left"/>
      <w:lvlText w:val="%1."/>
      <w:numFmt w:val="decimal"/>
      <w:start w:val="4"/>
    </w:lvl>
    <w:lvl w:ilvl="1">
      <w:lvlJc w:val="left"/>
      <w:lvlText w:val="%2"/>
      <w:numFmt w:val="lowerLetter"/>
      <w:start w:val="1"/>
    </w:lvl>
  </w:abstractNum>
  <w:abstractNum w:abstractNumId="14">
    <w:nsid w:val="14E17E33"/>
    <w:multiLevelType w:val="hybridMultilevel"/>
    <w:lvl w:ilvl="0">
      <w:lvlJc w:val="left"/>
      <w:lvlText w:val="%1."/>
      <w:numFmt w:val="decimal"/>
      <w:start w:val="5"/>
    </w:lvl>
    <w:lvl w:ilvl="1">
      <w:lvlJc w:val="left"/>
      <w:lvlText w:val="(%2)"/>
      <w:numFmt w:val="lowerLetter"/>
      <w:start w:val="1"/>
    </w:lvl>
  </w:abstractNum>
  <w:abstractNum w:abstractNumId="15">
    <w:nsid w:val="3222E7C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
    <w:nsid w:val="74DE0EE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
    <w:nsid w:val="68EBC550"/>
    <w:multiLevelType w:val="hybridMultilevel"/>
    <w:lvl w:ilvl="0">
      <w:lvlJc w:val="left"/>
      <w:lvlText w:val="(%1)"/>
      <w:numFmt w:val="lowerLetter"/>
      <w:start w:val="5"/>
    </w:lvl>
  </w:abstractNum>
  <w:abstractNum w:abstractNumId="18">
    <w:nsid w:val="2DF6D648"/>
    <w:multiLevelType w:val="hybridMultilevel"/>
    <w:lvl w:ilvl="0">
      <w:lvlJc w:val="left"/>
      <w:lvlText w:val="%1"/>
      <w:numFmt w:val="decimal"/>
      <w:start w:val="1"/>
    </w:lvl>
    <w:lvl w:ilvl="1">
      <w:lvlJc w:val="left"/>
      <w:lvlText w:val="(%2)"/>
      <w:numFmt w:val="lowerLetter"/>
      <w:start w:val="9"/>
    </w:lvl>
  </w:abstractNum>
  <w:abstractNum w:abstractNumId="19">
    <w:nsid w:val="46B7D447"/>
    <w:multiLevelType w:val="hybridMultilevel"/>
    <w:lvl w:ilvl="0">
      <w:lvlJc w:val="left"/>
      <w:lvlText w:val="%1."/>
      <w:numFmt w:val="decimal"/>
      <w:start w:val="8"/>
    </w:lvl>
    <w:lvl w:ilvl="1">
      <w:lvlJc w:val="left"/>
      <w:lvlText w:val="(%2)"/>
      <w:numFmt w:val="lowerLetter"/>
      <w:start w:val="1"/>
    </w:lvl>
  </w:abstractNum>
  <w:abstractNum w:abstractNumId="20">
    <w:nsid w:val="4A2AC315"/>
    <w:multiLevelType w:val="hybridMultilevel"/>
    <w:lvl w:ilvl="0">
      <w:lvlJc w:val="left"/>
      <w:lvlText w:val="%1."/>
      <w:numFmt w:val="decimal"/>
      <w:start w:val="9"/>
    </w:lvl>
    <w:lvl w:ilvl="1">
      <w:lvlJc w:val="left"/>
      <w:lvlText w:val="(%2)"/>
      <w:numFmt w:val="lowerLetter"/>
      <w:start w:val="1"/>
    </w:lvl>
  </w:abstractNum>
  <w:abstractNum w:abstractNumId="21">
    <w:nsid w:val="39EE015C"/>
    <w:multiLevelType w:val="hybridMultilevel"/>
    <w:lvl w:ilvl="0">
      <w:lvlJc w:val="left"/>
      <w:lvlText w:val="(%1)"/>
      <w:numFmt w:val="lowerLetter"/>
      <w:start w:val="2"/>
    </w:lvl>
  </w:abstractNum>
  <w:abstractNum w:abstractNumId="22">
    <w:nsid w:val="57FC4FBB"/>
    <w:multiLevelType w:val="hybridMultilevel"/>
    <w:lvl w:ilvl="0">
      <w:lvlJc w:val="left"/>
      <w:lvlText w:val="%1."/>
      <w:numFmt w:val="decimal"/>
      <w:start w:val="10"/>
    </w:lvl>
  </w:abstractNum>
  <w:abstractNum w:abstractNumId="23">
    <w:nsid w:val="CC1016F"/>
    <w:multiLevelType w:val="hybridMultilevel"/>
    <w:lvl w:ilvl="0">
      <w:lvlJc w:val="left"/>
      <w:lvlText w:val="(%1)"/>
      <w:numFmt w:val="lowerLetter"/>
      <w:start w:val="1"/>
    </w:lvl>
  </w:abstractNum>
  <w:abstractNum w:abstractNumId="24">
    <w:nsid w:val="43F18422"/>
    <w:multiLevelType w:val="hybridMultilevel"/>
    <w:lvl w:ilvl="0">
      <w:lvlJc w:val="left"/>
      <w:lvlText w:val="(%1)"/>
      <w:numFmt w:val="lowerLetter"/>
      <w:start w:val="2"/>
    </w:lvl>
  </w:abstractNum>
  <w:abstractNum w:abstractNumId="25">
    <w:nsid w:val="60EF0119"/>
    <w:multiLevelType w:val="hybridMultilevel"/>
    <w:lvl w:ilvl="0">
      <w:lvlJc w:val="left"/>
      <w:lvlText w:val="%1."/>
      <w:numFmt w:val="decimal"/>
      <w:start w:val="11"/>
    </w:lvl>
  </w:abstractNum>
  <w:abstractNum w:abstractNumId="26">
    <w:nsid w:val="26F324BA"/>
    <w:multiLevelType w:val="hybridMultilevel"/>
    <w:lvl w:ilvl="0">
      <w:lvlJc w:val="left"/>
      <w:lvlText w:val="(%1)"/>
      <w:numFmt w:val="lowerLetter"/>
      <w:start w:val="1"/>
    </w:lvl>
  </w:abstractNum>
  <w:abstractNum w:abstractNumId="27">
    <w:nsid w:val="7F01579B"/>
    <w:multiLevelType w:val="hybridMultilevel"/>
    <w:lvl w:ilvl="0">
      <w:lvlJc w:val="left"/>
      <w:lvlText w:val="%1."/>
      <w:numFmt w:val="decimal"/>
      <w:start w:val="12"/>
    </w:lvl>
  </w:abstractNum>
  <w:abstractNum w:abstractNumId="28">
    <w:nsid w:val="49DA307D"/>
    <w:multiLevelType w:val="hybridMultilevel"/>
    <w:lvl w:ilvl="0">
      <w:lvlJc w:val="left"/>
      <w:lvlText w:val="%1."/>
      <w:numFmt w:val="decimal"/>
      <w:start w:val="13"/>
    </w:lvl>
  </w:abstractNum>
  <w:abstractNum w:abstractNumId="29">
    <w:nsid w:val="7055A5F5"/>
    <w:multiLevelType w:val="hybridMultilevel"/>
    <w:lvl w:ilvl="0">
      <w:lvlJc w:val="left"/>
      <w:lvlText w:val="%1."/>
      <w:numFmt w:val="decimal"/>
      <w:start w:val="14"/>
    </w:lvl>
  </w:abstractNum>
  <w:abstractNum w:abstractNumId="30">
    <w:nsid w:val="5FB8370B"/>
    <w:multiLevelType w:val="hybridMultilevel"/>
    <w:lvl w:ilvl="0">
      <w:lvlJc w:val="left"/>
      <w:lvlText w:val="%1."/>
      <w:numFmt w:val="decimal"/>
      <w:start w:val="15"/>
    </w:lvl>
  </w:abstractNum>
  <w:abstractNum w:abstractNumId="31">
    <w:nsid w:val="50801EE1"/>
    <w:multiLevelType w:val="hybridMultilevel"/>
    <w:lvl w:ilvl="0">
      <w:lvlJc w:val="left"/>
      <w:lvlText w:val="%1."/>
      <w:numFmt w:val="decimal"/>
      <w:start w:val="16"/>
    </w:lvl>
  </w:abstractNum>
  <w:abstractNum w:abstractNumId="32">
    <w:nsid w:val="488AC1A"/>
    <w:multiLevelType w:val="hybridMultilevel"/>
    <w:lvl w:ilvl="0">
      <w:lvlJc w:val="left"/>
      <w:lvlText w:val="%1."/>
      <w:numFmt w:val="decimal"/>
      <w:start w:val="17"/>
    </w:lvl>
  </w:abstractNum>
  <w:abstractNum w:abstractNumId="33">
    <w:nsid w:val="5FB8011C"/>
    <w:multiLevelType w:val="hybridMultilevel"/>
    <w:lvl w:ilvl="0">
      <w:lvlJc w:val="left"/>
      <w:lvlText w:val="%1."/>
      <w:numFmt w:val="decimal"/>
      <w:start w:val="18"/>
    </w:lvl>
  </w:abstractNum>
  <w:abstractNum w:abstractNumId="34">
    <w:nsid w:val="6AA78F7F"/>
    <w:multiLevelType w:val="hybridMultilevel"/>
    <w:lvl w:ilvl="0">
      <w:lvlJc w:val="left"/>
      <w:lvlText w:val="%1."/>
      <w:numFmt w:val="decimal"/>
      <w:start w:val="19"/>
    </w:lvl>
  </w:abstractNum>
  <w:abstractNum w:abstractNumId="35">
    <w:nsid w:val="7672BD23"/>
    <w:multiLevelType w:val="hybridMultilevel"/>
    <w:lvl w:ilvl="0">
      <w:lvlJc w:val="left"/>
      <w:lvlText w:val="%1."/>
      <w:numFmt w:val="decimal"/>
      <w:start w:val="20"/>
    </w:lvl>
  </w:abstractNum>
  <w:abstractNum w:abstractNumId="36">
    <w:nsid w:val="6FC75AF8"/>
    <w:multiLevelType w:val="hybridMultilevel"/>
    <w:lvl w:ilvl="0">
      <w:lvlJc w:val="left"/>
      <w:lvlText w:val="%1."/>
      <w:numFmt w:val="decimal"/>
      <w:start w:val="21"/>
    </w:lvl>
  </w:abstractNum>
  <w:abstractNum w:abstractNumId="37">
    <w:nsid w:val="6A5F7029"/>
    <w:multiLevelType w:val="hybridMultilevel"/>
    <w:lvl w:ilvl="0">
      <w:lvlJc w:val="left"/>
      <w:lvlText w:val="%1."/>
      <w:numFmt w:val="decimal"/>
      <w:start w:val="22"/>
    </w:lvl>
  </w:abstractNum>
  <w:abstractNum w:abstractNumId="38">
    <w:nsid w:val="7D5E18F8"/>
    <w:multiLevelType w:val="hybridMultilevel"/>
    <w:lvl w:ilvl="0">
      <w:lvlJc w:val="left"/>
      <w:lvlText w:val="%1."/>
      <w:numFmt w:val="decimal"/>
      <w:start w:val="23"/>
    </w:lvl>
  </w:abstractNum>
  <w:abstractNum w:abstractNumId="39">
    <w:nsid w:val="5F3534A4"/>
    <w:multiLevelType w:val="hybridMultilevel"/>
    <w:lvl w:ilvl="0">
      <w:lvlJc w:val="left"/>
      <w:lvlText w:val="%1."/>
      <w:numFmt w:val="decimal"/>
      <w:start w:val="1"/>
    </w:lvl>
  </w:abstractNum>
  <w:abstractNum w:abstractNumId="40">
    <w:nsid w:val="73A1821B"/>
    <w:multiLevelType w:val="hybridMultilevel"/>
    <w:lvl w:ilvl="0">
      <w:lvlJc w:val="left"/>
      <w:lvlText w:val="%1."/>
      <w:numFmt w:val="decimal"/>
      <w:start w:val="2"/>
    </w:lvl>
  </w:abstractNum>
  <w:abstractNum w:abstractNumId="41">
    <w:nsid w:val="7DE67713"/>
    <w:multiLevelType w:val="hybridMultilevel"/>
    <w:lvl w:ilvl="0">
      <w:lvlJc w:val="left"/>
      <w:lvlText w:val="%1."/>
      <w:numFmt w:val="decimal"/>
      <w:start w:val="3"/>
    </w:lvl>
    <w:lvl w:ilvl="1">
      <w:lvlJc w:val="left"/>
      <w:lvlText w:val="(%2)"/>
      <w:numFmt w:val="lowerLetter"/>
      <w:start w:val="1"/>
    </w:lvl>
  </w:abstractNum>
  <w:abstractNum w:abstractNumId="42">
    <w:nsid w:val="555C55B5"/>
    <w:multiLevelType w:val="hybridMultilevel"/>
    <w:lvl w:ilvl="0">
      <w:lvlJc w:val="left"/>
      <w:lvlText w:val="%1"/>
      <w:numFmt w:val="decimal"/>
      <w:start w:val="1"/>
    </w:lvl>
    <w:lvl w:ilvl="1">
      <w:lvlJc w:val="left"/>
      <w:lvlText w:val="(%2)"/>
      <w:numFmt w:val="lowerLetter"/>
      <w:start w:val="3"/>
    </w:lvl>
  </w:abstractNum>
  <w:abstractNum w:abstractNumId="43">
    <w:nsid w:val="3FA62ACA"/>
    <w:multiLevelType w:val="hybridMultilevel"/>
    <w:lvl w:ilvl="0">
      <w:lvlJc w:val="left"/>
      <w:lvlText w:val="%1."/>
      <w:numFmt w:val="decimal"/>
      <w:start w:val="4"/>
    </w:lvl>
    <w:lvl w:ilvl="1">
      <w:lvlJc w:val="left"/>
      <w:lvlText w:val="%2"/>
      <w:numFmt w:val="lowerLetter"/>
      <w:start w:val="1"/>
    </w:lvl>
  </w:abstractNum>
  <w:abstractNum w:abstractNumId="44">
    <w:nsid w:val="14FCE74E"/>
    <w:multiLevelType w:val="hybridMultilevel"/>
    <w:lvl w:ilvl="0">
      <w:lvlJc w:val="left"/>
      <w:lvlText w:val="%1."/>
      <w:numFmt w:val="decimal"/>
      <w:start w:val="5"/>
    </w:lvl>
    <w:lvl w:ilvl="1">
      <w:lvlJc w:val="left"/>
      <w:lvlText w:val="(%2)"/>
      <w:numFmt w:val="lowerLetter"/>
      <w:start w:val="1"/>
    </w:lvl>
  </w:abstractNum>
  <w:abstractNum w:abstractNumId="45">
    <w:nsid w:val="6A3DD3E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
    <w:nsid w:val="71C9129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9DAF632"/>
    <w:multiLevelType w:val="hybridMultilevel"/>
    <w:lvl w:ilvl="0">
      <w:lvlJc w:val="left"/>
      <w:lvlText w:val="(%1)"/>
      <w:numFmt w:val="lowerLetter"/>
      <w:start w:val="5"/>
    </w:lvl>
  </w:abstractNum>
  <w:abstractNum w:abstractNumId="48">
    <w:nsid w:val="53299938"/>
    <w:multiLevelType w:val="hybridMultilevel"/>
    <w:lvl w:ilvl="0">
      <w:lvlJc w:val="left"/>
      <w:lvlText w:val="%1"/>
      <w:numFmt w:val="decimal"/>
      <w:start w:val="1"/>
    </w:lvl>
    <w:lvl w:ilvl="1">
      <w:lvlJc w:val="left"/>
      <w:lvlText w:val="(%2)"/>
      <w:numFmt w:val="lowerLetter"/>
      <w:start w:val="9"/>
    </w:lvl>
  </w:abstractNum>
  <w:abstractNum w:abstractNumId="49">
    <w:nsid w:val="1FBFE8E0"/>
    <w:multiLevelType w:val="hybridMultilevel"/>
    <w:lvl w:ilvl="0">
      <w:lvlJc w:val="left"/>
      <w:lvlText w:val="%1."/>
      <w:numFmt w:val="decimal"/>
      <w:start w:val="8"/>
    </w:lvl>
    <w:lvl w:ilvl="1">
      <w:lvlJc w:val="left"/>
      <w:lvlText w:val="(%2)"/>
      <w:numFmt w:val="lowerLetter"/>
      <w:start w:val="1"/>
    </w:lvl>
  </w:abstractNum>
  <w:abstractNum w:abstractNumId="50">
    <w:nsid w:val="5092CA79"/>
    <w:multiLevelType w:val="hybridMultilevel"/>
    <w:lvl w:ilvl="0">
      <w:lvlJc w:val="left"/>
      <w:lvlText w:val="%1."/>
      <w:numFmt w:val="decimal"/>
      <w:start w:val="9"/>
    </w:lvl>
    <w:lvl w:ilvl="1">
      <w:lvlJc w:val="left"/>
      <w:lvlText w:val="(%2)"/>
      <w:numFmt w:val="lowerLetter"/>
      <w:start w:val="1"/>
    </w:lvl>
  </w:abstractNum>
  <w:abstractNum w:abstractNumId="51">
    <w:nsid w:val="1D545C4D"/>
    <w:multiLevelType w:val="hybridMultilevel"/>
    <w:lvl w:ilvl="0">
      <w:lvlJc w:val="left"/>
      <w:lvlText w:val="%1."/>
      <w:numFmt w:val="decimal"/>
      <w:start w:val="10"/>
    </w:lvl>
  </w:abstractNum>
  <w:abstractNum w:abstractNumId="52">
    <w:nsid w:val="59ADEA3D"/>
    <w:multiLevelType w:val="hybridMultilevel"/>
    <w:lvl w:ilvl="0">
      <w:lvlJc w:val="left"/>
      <w:lvlText w:val="(%1)"/>
      <w:numFmt w:val="lowerLetter"/>
      <w:start w:val="1"/>
    </w:lvl>
  </w:abstractNum>
  <w:abstractNum w:abstractNumId="53">
    <w:nsid w:val="288F1A34"/>
    <w:multiLevelType w:val="hybridMultilevel"/>
    <w:lvl w:ilvl="0">
      <w:lvlJc w:val="left"/>
      <w:lvlText w:val="%1."/>
      <w:numFmt w:val="decimal"/>
      <w:start w:val="11"/>
    </w:lvl>
  </w:abstractNum>
  <w:abstractNum w:abstractNumId="54">
    <w:nsid w:val="2A155DBC"/>
    <w:multiLevelType w:val="hybridMultilevel"/>
    <w:lvl w:ilvl="0">
      <w:lvlJc w:val="left"/>
      <w:lvlText w:val="(%1)"/>
      <w:numFmt w:val="lowerLetter"/>
      <w:start w:val="1"/>
    </w:lvl>
  </w:abstractNum>
  <w:abstractNum w:abstractNumId="55">
    <w:nsid w:val="1D9F6E5F"/>
    <w:multiLevelType w:val="hybridMultilevel"/>
    <w:lvl w:ilvl="0">
      <w:lvlJc w:val="left"/>
      <w:lvlText w:val="(%1)"/>
      <w:numFmt w:val="lowerLetter"/>
      <w:start w:val="2"/>
    </w:lvl>
  </w:abstractNum>
  <w:abstractNum w:abstractNumId="56">
    <w:nsid w:val="97E1B4E"/>
    <w:multiLevelType w:val="hybridMultilevel"/>
    <w:lvl w:ilvl="0">
      <w:lvlJc w:val="left"/>
      <w:lvlText w:val="%1."/>
      <w:numFmt w:val="decimal"/>
      <w:start w:val="12"/>
    </w:lvl>
  </w:abstractNum>
  <w:abstractNum w:abstractNumId="57">
    <w:nsid w:val="51088277"/>
    <w:multiLevelType w:val="hybridMultilevel"/>
    <w:lvl w:ilvl="0">
      <w:lvlJc w:val="left"/>
      <w:lvlText w:val="%1."/>
      <w:numFmt w:val="decimal"/>
      <w:start w:val="13"/>
    </w:lvl>
  </w:abstractNum>
  <w:abstractNum w:abstractNumId="58">
    <w:nsid w:val="1CA0C5FA"/>
    <w:multiLevelType w:val="hybridMultilevel"/>
    <w:lvl w:ilvl="0">
      <w:lvlJc w:val="left"/>
      <w:lvlText w:val="%1."/>
      <w:numFmt w:val="decimal"/>
      <w:start w:val="14"/>
    </w:lvl>
  </w:abstractNum>
  <w:abstractNum w:abstractNumId="59">
    <w:nsid w:val="53584BCB"/>
    <w:multiLevelType w:val="hybridMultilevel"/>
    <w:lvl w:ilvl="0">
      <w:lvlJc w:val="left"/>
      <w:lvlText w:val="%1."/>
      <w:numFmt w:val="decimal"/>
      <w:start w:val="15"/>
    </w:lvl>
  </w:abstractNum>
  <w:abstractNum w:abstractNumId="60">
    <w:nsid w:val="415E286C"/>
    <w:multiLevelType w:val="hybridMultilevel"/>
    <w:lvl w:ilvl="0">
      <w:lvlJc w:val="left"/>
      <w:lvlText w:val="%1."/>
      <w:numFmt w:val="decimal"/>
      <w:start w:val="16"/>
    </w:lvl>
  </w:abstractNum>
  <w:abstractNum w:abstractNumId="61">
    <w:nsid w:val="7C58FD05"/>
    <w:multiLevelType w:val="hybridMultilevel"/>
    <w:lvl w:ilvl="0">
      <w:lvlJc w:val="left"/>
      <w:lvlText w:val="%1."/>
      <w:numFmt w:val="decimal"/>
      <w:start w:val="17"/>
    </w:lvl>
  </w:abstractNum>
  <w:abstractNum w:abstractNumId="62">
    <w:nsid w:val="23D86AAC"/>
    <w:multiLevelType w:val="hybridMultilevel"/>
    <w:lvl w:ilvl="0">
      <w:lvlJc w:val="left"/>
      <w:lvlText w:val="%1."/>
      <w:numFmt w:val="decimal"/>
      <w:start w:val="18"/>
    </w:lvl>
  </w:abstractNum>
  <w:abstractNum w:abstractNumId="63">
    <w:nsid w:val="45E6D486"/>
    <w:multiLevelType w:val="hybridMultilevel"/>
    <w:lvl w:ilvl="0">
      <w:lvlJc w:val="left"/>
      <w:lvlText w:val="%1."/>
      <w:numFmt w:val="decimal"/>
      <w:start w:val="19"/>
    </w:lvl>
  </w:abstractNum>
  <w:abstractNum w:abstractNumId="64">
    <w:nsid w:val="5C10FE21"/>
    <w:multiLevelType w:val="hybridMultilevel"/>
    <w:lvl w:ilvl="0">
      <w:lvlJc w:val="left"/>
      <w:lvlText w:val="%1."/>
      <w:numFmt w:val="decimal"/>
      <w:start w:val="20"/>
    </w:lvl>
  </w:abstractNum>
  <w:abstractNum w:abstractNumId="65">
    <w:nsid w:val="E7FFA2B"/>
    <w:multiLevelType w:val="hybridMultilevel"/>
    <w:lvl w:ilvl="0">
      <w:lvlJc w:val="left"/>
      <w:lvlText w:val="%1."/>
      <w:numFmt w:val="decimal"/>
      <w:start w:val="21"/>
    </w:lvl>
  </w:abstractNum>
  <w:abstractNum w:abstractNumId="66">
    <w:nsid w:val="3C5991AA"/>
    <w:multiLevelType w:val="hybridMultilevel"/>
    <w:lvl w:ilvl="0">
      <w:lvlJc w:val="left"/>
      <w:lvlText w:val="%1."/>
      <w:numFmt w:val="decimal"/>
      <w:start w:val="22"/>
    </w:lvl>
  </w:abstractNum>
  <w:abstractNum w:abstractNumId="67">
    <w:nsid w:val="4BD8591A"/>
    <w:multiLevelType w:val="hybridMultilevel"/>
    <w:lvl w:ilvl="0">
      <w:lvlJc w:val="left"/>
      <w:lvlText w:val="%1."/>
      <w:numFmt w:val="decimal"/>
      <w:start w:val="23"/>
    </w:lvl>
  </w:abstractNum>
  <w:abstractNum w:abstractNumId="68">
    <w:nsid w:val="78DF6A55"/>
    <w:multiLevelType w:val="hybridMultilevel"/>
    <w:lvl w:ilvl="0">
      <w:lvlJc w:val="left"/>
      <w:lvlText w:val="%1."/>
      <w:numFmt w:val="decimal"/>
      <w:start w:val="1"/>
    </w:lvl>
  </w:abstractNum>
  <w:abstractNum w:abstractNumId="69">
    <w:nsid w:val="39B7AAA2"/>
    <w:multiLevelType w:val="hybridMultilevel"/>
    <w:lvl w:ilvl="0">
      <w:lvlJc w:val="left"/>
      <w:lvlText w:val="%1."/>
      <w:numFmt w:val="decimal"/>
      <w:start w:val="2"/>
    </w:lvl>
  </w:abstractNum>
  <w:abstractNum w:abstractNumId="70">
    <w:nsid w:val="2B0D8DBE"/>
    <w:multiLevelType w:val="hybridMultilevel"/>
    <w:lvl w:ilvl="0">
      <w:lvlJc w:val="left"/>
      <w:lvlText w:val="%1."/>
      <w:numFmt w:val="decimal"/>
      <w:start w:val="3"/>
    </w:lvl>
    <w:lvl w:ilvl="1">
      <w:lvlJc w:val="left"/>
      <w:lvlText w:val="(%2)"/>
      <w:numFmt w:val="lowerLetter"/>
      <w:start w:val="1"/>
    </w:lvl>
  </w:abstractNum>
  <w:abstractNum w:abstractNumId="71">
    <w:nsid w:val="6C80EC70"/>
    <w:multiLevelType w:val="hybridMultilevel"/>
    <w:lvl w:ilvl="0">
      <w:lvlJc w:val="left"/>
      <w:lvlText w:val="%1"/>
      <w:numFmt w:val="decimal"/>
      <w:start w:val="1"/>
    </w:lvl>
    <w:lvl w:ilvl="1">
      <w:lvlJc w:val="left"/>
      <w:lvlText w:val="(%2)"/>
      <w:numFmt w:val="lowerLetter"/>
      <w:start w:val="3"/>
    </w:lvl>
  </w:abstractNum>
  <w:abstractNum w:abstractNumId="72">
    <w:nsid w:val="379E21B5"/>
    <w:multiLevelType w:val="hybridMultilevel"/>
    <w:lvl w:ilvl="0">
      <w:lvlJc w:val="left"/>
      <w:lvlText w:val="%1."/>
      <w:numFmt w:val="decimal"/>
      <w:start w:val="4"/>
    </w:lvl>
    <w:lvl w:ilvl="1">
      <w:lvlJc w:val="left"/>
      <w:lvlText w:val="%2"/>
      <w:numFmt w:val="lowerLetter"/>
      <w:start w:val="1"/>
    </w:lvl>
  </w:abstractNum>
  <w:abstractNum w:abstractNumId="73">
    <w:nsid w:val="69E373"/>
    <w:multiLevelType w:val="hybridMultilevel"/>
    <w:lvl w:ilvl="0">
      <w:lvlJc w:val="left"/>
      <w:lvlText w:val="%1."/>
      <w:numFmt w:val="decimal"/>
      <w:start w:val="5"/>
    </w:lvl>
    <w:lvl w:ilvl="1">
      <w:lvlJc w:val="left"/>
      <w:lvlText w:val="(%2)"/>
      <w:numFmt w:val="lowerLetter"/>
      <w:start w:val="1"/>
    </w:lvl>
  </w:abstractNum>
  <w:abstractNum w:abstractNumId="74">
    <w:nsid w:val="2C2717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5">
    <w:nsid w:val="4C9B090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6">
    <w:nsid w:val="6AA7B75C"/>
    <w:multiLevelType w:val="hybridMultilevel"/>
    <w:lvl w:ilvl="0">
      <w:lvlJc w:val="left"/>
      <w:lvlText w:val="(%1)"/>
      <w:numFmt w:val="lowerLetter"/>
      <w:start w:val="5"/>
    </w:lvl>
  </w:abstractNum>
  <w:abstractNum w:abstractNumId="77">
    <w:nsid w:val="1DF029D3"/>
    <w:multiLevelType w:val="hybridMultilevel"/>
    <w:lvl w:ilvl="0">
      <w:lvlJc w:val="left"/>
      <w:lvlText w:val="%1"/>
      <w:numFmt w:val="decimal"/>
      <w:start w:val="1"/>
    </w:lvl>
    <w:lvl w:ilvl="1">
      <w:lvlJc w:val="left"/>
      <w:lvlText w:val="(%2)"/>
      <w:numFmt w:val="lowerLetter"/>
      <w:start w:val="9"/>
    </w:lvl>
  </w:abstractNum>
  <w:abstractNum w:abstractNumId="78">
    <w:nsid w:val="5675FF36"/>
    <w:multiLevelType w:val="hybridMultilevel"/>
    <w:lvl w:ilvl="0">
      <w:lvlJc w:val="left"/>
      <w:lvlText w:val="%1."/>
      <w:numFmt w:val="decimal"/>
      <w:start w:val="8"/>
    </w:lvl>
    <w:lvl w:ilvl="1">
      <w:lvlJc w:val="left"/>
      <w:lvlText w:val="(%2)"/>
      <w:numFmt w:val="lowerLetter"/>
      <w:start w:val="1"/>
    </w:lvl>
  </w:abstractNum>
  <w:abstractNum w:abstractNumId="79">
    <w:nsid w:val="3DD15094"/>
    <w:multiLevelType w:val="hybridMultilevel"/>
    <w:lvl w:ilvl="0">
      <w:lvlJc w:val="left"/>
      <w:lvlText w:val="%1."/>
      <w:numFmt w:val="decimal"/>
      <w:start w:val="9"/>
    </w:lvl>
    <w:lvl w:ilvl="1">
      <w:lvlJc w:val="left"/>
      <w:lvlText w:val="(%2)"/>
      <w:numFmt w:val="lowerLetter"/>
      <w:start w:val="1"/>
    </w:lvl>
  </w:abstractNum>
  <w:abstractNum w:abstractNumId="80">
    <w:nsid w:val="3DB012B3"/>
    <w:multiLevelType w:val="hybridMultilevel"/>
    <w:lvl w:ilvl="0">
      <w:lvlJc w:val="left"/>
      <w:lvlText w:val="%1."/>
      <w:numFmt w:val="decimal"/>
      <w:start w:val="10"/>
    </w:lvl>
  </w:abstractNum>
  <w:abstractNum w:abstractNumId="81">
    <w:nsid w:val="2708C9AF"/>
    <w:multiLevelType w:val="hybridMultilevel"/>
    <w:lvl w:ilvl="0">
      <w:lvlJc w:val="left"/>
      <w:lvlText w:val="(%1)"/>
      <w:numFmt w:val="lowerLetter"/>
      <w:start w:val="1"/>
    </w:lvl>
  </w:abstractNum>
  <w:abstractNum w:abstractNumId="82">
    <w:nsid w:val="5B25ACE2"/>
    <w:multiLevelType w:val="hybridMultilevel"/>
    <w:lvl w:ilvl="0">
      <w:lvlJc w:val="left"/>
      <w:lvlText w:val="%1."/>
      <w:numFmt w:val="decimal"/>
      <w:start w:val="11"/>
    </w:lvl>
  </w:abstractNum>
  <w:abstractNum w:abstractNumId="83">
    <w:nsid w:val="175DFCF0"/>
    <w:multiLevelType w:val="hybridMultilevel"/>
    <w:lvl w:ilvl="0">
      <w:lvlJc w:val="left"/>
      <w:lvlText w:val="(%1)"/>
      <w:numFmt w:val="lowerLetter"/>
      <w:start w:val="1"/>
    </w:lvl>
  </w:abstractNum>
  <w:abstractNum w:abstractNumId="84">
    <w:nsid w:val="4F97E3E4"/>
    <w:multiLevelType w:val="hybridMultilevel"/>
    <w:lvl w:ilvl="0">
      <w:lvlJc w:val="left"/>
      <w:lvlText w:val="(%1)"/>
      <w:numFmt w:val="lowerLetter"/>
      <w:start w:val="2"/>
    </w:lvl>
  </w:abstractNum>
  <w:abstractNum w:abstractNumId="85">
    <w:nsid w:val="53B0A9E"/>
    <w:multiLevelType w:val="hybridMultilevel"/>
    <w:lvl w:ilvl="0">
      <w:lvlJc w:val="left"/>
      <w:lvlText w:val="%1."/>
      <w:numFmt w:val="decimal"/>
      <w:start w:val="12"/>
    </w:lvl>
  </w:abstractNum>
  <w:abstractNum w:abstractNumId="86">
    <w:nsid w:val="34FD6B4F"/>
    <w:multiLevelType w:val="hybridMultilevel"/>
    <w:lvl w:ilvl="0">
      <w:lvlJc w:val="left"/>
      <w:lvlText w:val="%1."/>
      <w:numFmt w:val="decimal"/>
      <w:start w:val="13"/>
    </w:lvl>
  </w:abstractNum>
  <w:abstractNum w:abstractNumId="87">
    <w:nsid w:val="5915FF32"/>
    <w:multiLevelType w:val="hybridMultilevel"/>
    <w:lvl w:ilvl="0">
      <w:lvlJc w:val="left"/>
      <w:lvlText w:val="%1."/>
      <w:numFmt w:val="decimal"/>
      <w:start w:val="14"/>
    </w:lvl>
  </w:abstractNum>
  <w:abstractNum w:abstractNumId="88">
    <w:nsid w:val="56438D15"/>
    <w:multiLevelType w:val="hybridMultilevel"/>
    <w:lvl w:ilvl="0">
      <w:lvlJc w:val="left"/>
      <w:lvlText w:val="%1."/>
      <w:numFmt w:val="decimal"/>
      <w:start w:val="15"/>
    </w:lvl>
  </w:abstractNum>
  <w:abstractNum w:abstractNumId="89">
    <w:nsid w:val="519E3149"/>
    <w:multiLevelType w:val="hybridMultilevel"/>
    <w:lvl w:ilvl="0">
      <w:lvlJc w:val="left"/>
      <w:lvlText w:val="%1."/>
      <w:numFmt w:val="decimal"/>
      <w:start w:val="16"/>
    </w:lvl>
  </w:abstractNum>
  <w:abstractNum w:abstractNumId="90">
    <w:nsid w:val="2C6E4AFD"/>
    <w:multiLevelType w:val="hybridMultilevel"/>
    <w:lvl w:ilvl="0">
      <w:lvlJc w:val="left"/>
      <w:lvlText w:val="%1."/>
      <w:numFmt w:val="decimal"/>
      <w:start w:val="17"/>
    </w:lvl>
  </w:abstractNum>
  <w:abstractNum w:abstractNumId="91">
    <w:nsid w:val="17A1B582"/>
    <w:multiLevelType w:val="hybridMultilevel"/>
    <w:lvl w:ilvl="0">
      <w:lvlJc w:val="left"/>
      <w:lvlText w:val="%1."/>
      <w:numFmt w:val="decimal"/>
      <w:start w:val="18"/>
    </w:lvl>
  </w:abstractNum>
  <w:abstractNum w:abstractNumId="92">
    <w:nsid w:val="4DF72E4E"/>
    <w:multiLevelType w:val="hybridMultilevel"/>
    <w:lvl w:ilvl="0">
      <w:lvlJc w:val="left"/>
      <w:lvlText w:val="%1."/>
      <w:numFmt w:val="decimal"/>
      <w:start w:val="19"/>
    </w:lvl>
  </w:abstractNum>
  <w:abstractNum w:abstractNumId="93">
    <w:nsid w:val="5046B5A9"/>
    <w:multiLevelType w:val="hybridMultilevel"/>
    <w:lvl w:ilvl="0">
      <w:lvlJc w:val="left"/>
      <w:lvlText w:val="%1."/>
      <w:numFmt w:val="decimal"/>
      <w:start w:val="20"/>
    </w:lvl>
  </w:abstractNum>
  <w:abstractNum w:abstractNumId="94">
    <w:nsid w:val="5D888A08"/>
    <w:multiLevelType w:val="hybridMultilevel"/>
    <w:lvl w:ilvl="0">
      <w:lvlJc w:val="left"/>
      <w:lvlText w:val="%1."/>
      <w:numFmt w:val="decimal"/>
      <w:start w:val="21"/>
    </w:lvl>
  </w:abstractNum>
  <w:abstractNum w:abstractNumId="95">
    <w:nsid w:val="2A082C70"/>
    <w:multiLevelType w:val="hybridMultilevel"/>
    <w:lvl w:ilvl="0">
      <w:lvlJc w:val="left"/>
      <w:lvlText w:val="%1."/>
      <w:numFmt w:val="decimal"/>
      <w:start w:val="22"/>
    </w:lvl>
  </w:abstractNum>
  <w:abstractNum w:abstractNumId="96">
    <w:nsid w:val="5EC6AFD4"/>
    <w:multiLevelType w:val="hybridMultilevel"/>
    <w:lvl w:ilvl="0">
      <w:lvlJc w:val="left"/>
      <w:lvlText w:val="%1."/>
      <w:numFmt w:val="decimal"/>
      <w:start w:val="23"/>
    </w:lvl>
  </w:abstractNum>
  <w:abstractNum w:abstractNumId="97">
    <w:nsid w:val="19E21BB2"/>
    <w:multiLevelType w:val="hybridMultilevel"/>
    <w:lvl w:ilvl="0">
      <w:lvlJc w:val="left"/>
      <w:lvlText w:val="%1."/>
      <w:numFmt w:val="decimal"/>
      <w:start w:val="1"/>
    </w:lvl>
  </w:abstractNum>
  <w:abstractNum w:abstractNumId="98">
    <w:nsid w:val="75E0858A"/>
    <w:multiLevelType w:val="hybridMultilevel"/>
    <w:lvl w:ilvl="0">
      <w:lvlJc w:val="left"/>
      <w:lvlText w:val="%1."/>
      <w:numFmt w:val="decimal"/>
      <w:start w:val="2"/>
    </w:lvl>
  </w:abstractNum>
  <w:abstractNum w:abstractNumId="99">
    <w:nsid w:val="57A61A29"/>
    <w:multiLevelType w:val="hybridMultilevel"/>
    <w:lvl w:ilvl="0">
      <w:lvlJc w:val="left"/>
      <w:lvlText w:val="%1."/>
      <w:numFmt w:val="decimal"/>
      <w:start w:val="3"/>
    </w:lvl>
    <w:lvl w:ilvl="1">
      <w:lvlJc w:val="left"/>
      <w:lvlText w:val="(%2)"/>
      <w:numFmt w:val="lowerLetter"/>
      <w:start w:val="1"/>
    </w:lvl>
  </w:abstractNum>
  <w:abstractNum w:abstractNumId="100">
    <w:nsid w:val="5399C654"/>
    <w:multiLevelType w:val="hybridMultilevel"/>
    <w:lvl w:ilvl="0">
      <w:lvlJc w:val="left"/>
      <w:lvlText w:val="%1"/>
      <w:numFmt w:val="decimal"/>
      <w:start w:val="1"/>
    </w:lvl>
    <w:lvl w:ilvl="1">
      <w:lvlJc w:val="left"/>
      <w:lvlText w:val="(%2)"/>
      <w:numFmt w:val="lowerLetter"/>
      <w:start w:val="3"/>
    </w:lvl>
  </w:abstractNum>
  <w:abstractNum w:abstractNumId="101">
    <w:nsid w:val="20EE1348"/>
    <w:multiLevelType w:val="hybridMultilevel"/>
    <w:lvl w:ilvl="0">
      <w:lvlJc w:val="left"/>
      <w:lvlText w:val="%1."/>
      <w:numFmt w:val="decimal"/>
      <w:start w:val="4"/>
    </w:lvl>
    <w:lvl w:ilvl="1">
      <w:lvlJc w:val="left"/>
      <w:lvlText w:val="%2"/>
      <w:numFmt w:val="lowerLetter"/>
      <w:start w:val="1"/>
    </w:lvl>
  </w:abstractNum>
  <w:abstractNum w:abstractNumId="102">
    <w:nsid w:val="4427069A"/>
    <w:multiLevelType w:val="hybridMultilevel"/>
    <w:lvl w:ilvl="0">
      <w:lvlJc w:val="left"/>
      <w:lvlText w:val="%1."/>
      <w:numFmt w:val="decimal"/>
      <w:start w:val="5"/>
    </w:lvl>
    <w:lvl w:ilvl="1">
      <w:lvlJc w:val="left"/>
      <w:lvlText w:val="(%2)"/>
      <w:numFmt w:val="lowerLetter"/>
      <w:start w:val="1"/>
    </w:lvl>
  </w:abstractNum>
  <w:abstractNum w:abstractNumId="103">
    <w:nsid w:val="B37E80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4">
    <w:nsid w:val="2157F6B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5">
    <w:nsid w:val="704E1DD5"/>
    <w:multiLevelType w:val="hybridMultilevel"/>
    <w:lvl w:ilvl="0">
      <w:lvlJc w:val="left"/>
      <w:lvlText w:val="(%1)"/>
      <w:numFmt w:val="lowerLetter"/>
      <w:start w:val="5"/>
    </w:lvl>
  </w:abstractNum>
  <w:abstractNum w:abstractNumId="106">
    <w:nsid w:val="57D2F10E"/>
    <w:multiLevelType w:val="hybridMultilevel"/>
    <w:lvl w:ilvl="0">
      <w:lvlJc w:val="left"/>
      <w:lvlText w:val="%1"/>
      <w:numFmt w:val="decimal"/>
      <w:start w:val="1"/>
    </w:lvl>
    <w:lvl w:ilvl="1">
      <w:lvlJc w:val="left"/>
      <w:lvlText w:val="(%2)"/>
      <w:numFmt w:val="lowerLetter"/>
      <w:start w:val="9"/>
    </w:lvl>
  </w:abstractNum>
  <w:abstractNum w:abstractNumId="107">
    <w:nsid w:val="BFFAE18"/>
    <w:multiLevelType w:val="hybridMultilevel"/>
    <w:lvl w:ilvl="0">
      <w:lvlJc w:val="left"/>
      <w:lvlText w:val="%1."/>
      <w:numFmt w:val="decimal"/>
      <w:start w:val="8"/>
    </w:lvl>
    <w:lvl w:ilvl="1">
      <w:lvlJc w:val="left"/>
      <w:lvlText w:val="(%2)"/>
      <w:numFmt w:val="lowerLetter"/>
      <w:start w:val="1"/>
    </w:lvl>
  </w:abstractNum>
  <w:abstractNum w:abstractNumId="108">
    <w:nsid w:val="E3E47A8"/>
    <w:multiLevelType w:val="hybridMultilevel"/>
    <w:lvl w:ilvl="0">
      <w:lvlJc w:val="left"/>
      <w:lvlText w:val="%1."/>
      <w:numFmt w:val="decimal"/>
      <w:start w:val="9"/>
    </w:lvl>
    <w:lvl w:ilvl="1">
      <w:lvlJc w:val="left"/>
      <w:lvlText w:val="(%2)"/>
      <w:numFmt w:val="lowerLetter"/>
      <w:start w:val="1"/>
    </w:lvl>
  </w:abstractNum>
  <w:abstractNum w:abstractNumId="109">
    <w:nsid w:val="2E48F044"/>
    <w:multiLevelType w:val="hybridMultilevel"/>
    <w:lvl w:ilvl="0">
      <w:lvlJc w:val="left"/>
      <w:lvlText w:val="(%1)"/>
      <w:numFmt w:val="lowerLetter"/>
      <w:start w:val="2"/>
    </w:lvl>
  </w:abstractNum>
  <w:abstractNum w:abstractNumId="110">
    <w:nsid w:val="49D0FEAC"/>
    <w:multiLevelType w:val="hybridMultilevel"/>
    <w:lvl w:ilvl="0">
      <w:lvlJc w:val="left"/>
      <w:lvlText w:val="%1."/>
      <w:numFmt w:val="decimal"/>
      <w:start w:val="10"/>
    </w:lvl>
  </w:abstractNum>
  <w:abstractNum w:abstractNumId="111">
    <w:nsid w:val="4BEE5A5B"/>
    <w:multiLevelType w:val="hybridMultilevel"/>
    <w:lvl w:ilvl="0">
      <w:lvlJc w:val="left"/>
      <w:lvlText w:val="(%1)"/>
      <w:numFmt w:val="lowerLetter"/>
      <w:start w:val="1"/>
    </w:lvl>
  </w:abstractNum>
  <w:abstractNum w:abstractNumId="112">
    <w:nsid w:val="5551B9F3"/>
    <w:multiLevelType w:val="hybridMultilevel"/>
    <w:lvl w:ilvl="0">
      <w:lvlJc w:val="left"/>
      <w:lvlText w:val="%1."/>
      <w:numFmt w:val="decimal"/>
      <w:start w:val="11"/>
    </w:lvl>
  </w:abstractNum>
  <w:abstractNum w:abstractNumId="113">
    <w:nsid w:val="24F6AB8E"/>
    <w:multiLevelType w:val="hybridMultilevel"/>
    <w:lvl w:ilvl="0">
      <w:lvlJc w:val="left"/>
      <w:lvlText w:val="(%1)"/>
      <w:numFmt w:val="lowerLetter"/>
      <w:start w:val="1"/>
    </w:lvl>
  </w:abstractNum>
  <w:abstractNum w:abstractNumId="114">
    <w:nsid w:val="634C574C"/>
    <w:multiLevelType w:val="hybridMultilevel"/>
    <w:lvl w:ilvl="0">
      <w:lvlJc w:val="left"/>
      <w:lvlText w:val="(%1)"/>
      <w:numFmt w:val="lowerLetter"/>
      <w:start w:val="2"/>
    </w:lvl>
  </w:abstractNum>
  <w:abstractNum w:abstractNumId="115">
    <w:nsid w:val="24E99DD7"/>
    <w:multiLevelType w:val="hybridMultilevel"/>
    <w:lvl w:ilvl="0">
      <w:lvlJc w:val="left"/>
      <w:lvlText w:val="%1."/>
      <w:numFmt w:val="decimal"/>
      <w:start w:val="12"/>
    </w:lvl>
  </w:abstractNum>
  <w:abstractNum w:abstractNumId="116">
    <w:nsid w:val="2A31B62D"/>
    <w:multiLevelType w:val="hybridMultilevel"/>
    <w:lvl w:ilvl="0">
      <w:lvlJc w:val="left"/>
      <w:lvlText w:val="%1."/>
      <w:numFmt w:val="decimal"/>
      <w:start w:val="13"/>
    </w:lvl>
  </w:abstractNum>
  <w:abstractNum w:abstractNumId="117">
    <w:nsid w:val="1849C29B"/>
    <w:multiLevelType w:val="hybridMultilevel"/>
    <w:lvl w:ilvl="0">
      <w:lvlJc w:val="left"/>
      <w:lvlText w:val="%1."/>
      <w:numFmt w:val="decimal"/>
      <w:start w:val="14"/>
    </w:lvl>
  </w:abstractNum>
  <w:abstractNum w:abstractNumId="118">
    <w:nsid w:val="7DFF9D09"/>
    <w:multiLevelType w:val="hybridMultilevel"/>
    <w:lvl w:ilvl="0">
      <w:lvlJc w:val="left"/>
      <w:lvlText w:val="%1."/>
      <w:numFmt w:val="decimal"/>
      <w:start w:val="15"/>
    </w:lvl>
  </w:abstractNum>
  <w:abstractNum w:abstractNumId="119">
    <w:nsid w:val="754342"/>
    <w:multiLevelType w:val="hybridMultilevel"/>
    <w:lvl w:ilvl="0">
      <w:lvlJc w:val="left"/>
      <w:lvlText w:val="%1."/>
      <w:numFmt w:val="decimal"/>
      <w:start w:val="16"/>
    </w:lvl>
  </w:abstractNum>
  <w:abstractNum w:abstractNumId="120">
    <w:nsid w:val="69E7F3E5"/>
    <w:multiLevelType w:val="hybridMultilevel"/>
    <w:lvl w:ilvl="0">
      <w:lvlJc w:val="left"/>
      <w:lvlText w:val="%1."/>
      <w:numFmt w:val="decimal"/>
      <w:start w:val="17"/>
    </w:lvl>
  </w:abstractNum>
  <w:abstractNum w:abstractNumId="121">
    <w:nsid w:val="2A6DE806"/>
    <w:multiLevelType w:val="hybridMultilevel"/>
    <w:lvl w:ilvl="0">
      <w:lvlJc w:val="left"/>
      <w:lvlText w:val="%1."/>
      <w:numFmt w:val="decimal"/>
      <w:start w:val="18"/>
    </w:lvl>
  </w:abstractNum>
  <w:abstractNum w:abstractNumId="122">
    <w:nsid w:val="1816F8C4"/>
    <w:multiLevelType w:val="hybridMultilevel"/>
    <w:lvl w:ilvl="0">
      <w:lvlJc w:val="left"/>
      <w:lvlText w:val="%1."/>
      <w:numFmt w:val="decimal"/>
      <w:start w:val="19"/>
    </w:lvl>
  </w:abstractNum>
  <w:abstractNum w:abstractNumId="123">
    <w:nsid w:val="37DF2233"/>
    <w:multiLevelType w:val="hybridMultilevel"/>
    <w:lvl w:ilvl="0">
      <w:lvlJc w:val="left"/>
      <w:lvlText w:val="%1."/>
      <w:numFmt w:val="decimal"/>
      <w:start w:val="20"/>
    </w:lvl>
  </w:abstractNum>
  <w:abstractNum w:abstractNumId="124">
    <w:nsid w:val="7AB49DAF"/>
    <w:multiLevelType w:val="hybridMultilevel"/>
    <w:lvl w:ilvl="0">
      <w:lvlJc w:val="left"/>
      <w:lvlText w:val="%1."/>
      <w:numFmt w:val="decimal"/>
      <w:start w:val="21"/>
    </w:lvl>
  </w:abstractNum>
  <w:abstractNum w:abstractNumId="125">
    <w:nsid w:val="759F82CD"/>
    <w:multiLevelType w:val="hybridMultilevel"/>
    <w:lvl w:ilvl="0">
      <w:lvlJc w:val="left"/>
      <w:lvlText w:val="%1."/>
      <w:numFmt w:val="decimal"/>
      <w:start w:val="22"/>
    </w:lvl>
  </w:abstractNum>
  <w:abstractNum w:abstractNumId="126">
    <w:nsid w:val="61E74EA3"/>
    <w:multiLevelType w:val="hybridMultilevel"/>
    <w:lvl w:ilvl="0">
      <w:lvlJc w:val="left"/>
      <w:lvlText w:val="%1."/>
      <w:numFmt w:val="decimal"/>
      <w:start w:val="23"/>
    </w:lvl>
  </w:abstractNum>
  <w:abstractNum w:abstractNumId="127">
    <w:nsid w:val="597B4D84"/>
    <w:multiLevelType w:val="hybridMultilevel"/>
    <w:lvl w:ilvl="0">
      <w:lvlJc w:val="left"/>
      <w:lvlText w:val="%1."/>
      <w:numFmt w:val="decimal"/>
      <w:start w:val="1"/>
    </w:lvl>
  </w:abstractNum>
  <w:abstractNum w:abstractNumId="128">
    <w:nsid w:val="F819E7F"/>
    <w:multiLevelType w:val="hybridMultilevel"/>
    <w:lvl w:ilvl="0">
      <w:lvlJc w:val="left"/>
      <w:lvlText w:val="%1."/>
      <w:numFmt w:val="decimal"/>
      <w:start w:val="2"/>
    </w:lvl>
  </w:abstractNum>
  <w:abstractNum w:abstractNumId="129">
    <w:nsid w:val="57C7D42D"/>
    <w:multiLevelType w:val="hybridMultilevel"/>
    <w:lvl w:ilvl="0">
      <w:lvlJc w:val="left"/>
      <w:lvlText w:val="%1."/>
      <w:numFmt w:val="decimal"/>
      <w:start w:val="3"/>
    </w:lvl>
    <w:lvl w:ilvl="1">
      <w:lvlJc w:val="left"/>
      <w:lvlText w:val="(%2)"/>
      <w:numFmt w:val="lowerLetter"/>
      <w:start w:val="1"/>
    </w:lvl>
  </w:abstractNum>
  <w:abstractNum w:abstractNumId="130">
    <w:nsid w:val="312167AD"/>
    <w:multiLevelType w:val="hybridMultilevel"/>
    <w:lvl w:ilvl="0">
      <w:lvlJc w:val="left"/>
      <w:lvlText w:val="%1"/>
      <w:numFmt w:val="decimal"/>
      <w:start w:val="1"/>
    </w:lvl>
    <w:lvl w:ilvl="1">
      <w:lvlJc w:val="left"/>
      <w:lvlText w:val="(%2)"/>
      <w:numFmt w:val="lowerLetter"/>
      <w:start w:val="3"/>
    </w:lvl>
  </w:abstractNum>
  <w:abstractNum w:abstractNumId="131">
    <w:nsid w:val="631B64D4"/>
    <w:multiLevelType w:val="hybridMultilevel"/>
    <w:lvl w:ilvl="0">
      <w:lvlJc w:val="left"/>
      <w:lvlText w:val="%1."/>
      <w:numFmt w:val="decimal"/>
      <w:start w:val="4"/>
    </w:lvl>
    <w:lvl w:ilvl="1">
      <w:lvlJc w:val="left"/>
      <w:lvlText w:val="%2"/>
      <w:numFmt w:val="lowerLetter"/>
      <w:start w:val="1"/>
    </w:lvl>
  </w:abstractNum>
  <w:abstractNum w:abstractNumId="132">
    <w:nsid w:val="78B5E776"/>
    <w:multiLevelType w:val="hybridMultilevel"/>
    <w:lvl w:ilvl="0">
      <w:lvlJc w:val="left"/>
      <w:lvlText w:val="%1."/>
      <w:numFmt w:val="decimal"/>
      <w:start w:val="5"/>
    </w:lvl>
    <w:lvl w:ilvl="1">
      <w:lvlJc w:val="left"/>
      <w:lvlText w:val="(%2)"/>
      <w:numFmt w:val="lowerLetter"/>
      <w:start w:val="1"/>
    </w:lvl>
  </w:abstractNum>
  <w:abstractNum w:abstractNumId="133">
    <w:nsid w:val="75486E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4">
    <w:nsid w:val="6E534CD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5">
    <w:nsid w:val="1A0DDE32"/>
    <w:multiLevelType w:val="hybridMultilevel"/>
    <w:lvl w:ilvl="0">
      <w:lvlJc w:val="left"/>
      <w:lvlText w:val="(%1)"/>
      <w:numFmt w:val="lowerLetter"/>
      <w:start w:val="5"/>
    </w:lvl>
  </w:abstractNum>
  <w:abstractNum w:abstractNumId="136">
    <w:nsid w:val="65968C1C"/>
    <w:multiLevelType w:val="hybridMultilevel"/>
    <w:lvl w:ilvl="0">
      <w:lvlJc w:val="left"/>
      <w:lvlText w:val="%1"/>
      <w:numFmt w:val="decimal"/>
      <w:start w:val="1"/>
    </w:lvl>
    <w:lvl w:ilvl="1">
      <w:lvlJc w:val="left"/>
      <w:lvlText w:val="(%2)"/>
      <w:numFmt w:val="lowerLetter"/>
      <w:start w:val="9"/>
    </w:lvl>
  </w:abstractNum>
  <w:abstractNum w:abstractNumId="137">
    <w:nsid w:val="46263DEC"/>
    <w:multiLevelType w:val="hybridMultilevel"/>
    <w:lvl w:ilvl="0">
      <w:lvlJc w:val="left"/>
      <w:lvlText w:val="%1."/>
      <w:numFmt w:val="decimal"/>
      <w:start w:val="8"/>
    </w:lvl>
    <w:lvl w:ilvl="1">
      <w:lvlJc w:val="left"/>
      <w:lvlText w:val="(%2)"/>
      <w:numFmt w:val="lowerLetter"/>
      <w:start w:val="1"/>
    </w:lvl>
  </w:abstractNum>
  <w:abstractNum w:abstractNumId="138">
    <w:nsid w:val="260D8C4A"/>
    <w:multiLevelType w:val="hybridMultilevel"/>
    <w:lvl w:ilvl="0">
      <w:lvlJc w:val="left"/>
      <w:lvlText w:val="%1."/>
      <w:numFmt w:val="decimal"/>
      <w:start w:val="9"/>
    </w:lvl>
  </w:abstractNum>
  <w:abstractNum w:abstractNumId="139">
    <w:nsid w:val="73D4D3C4"/>
    <w:multiLevelType w:val="hybridMultilevel"/>
    <w:lvl w:ilvl="0">
      <w:lvlJc w:val="left"/>
      <w:lvlText w:val="(%1)"/>
      <w:numFmt w:val="lowerLetter"/>
      <w:start w:val="1"/>
    </w:lvl>
  </w:abstractNum>
  <w:abstractNum w:abstractNumId="140">
    <w:nsid w:val="746F2E30"/>
    <w:multiLevelType w:val="hybridMultilevel"/>
    <w:lvl w:ilvl="0">
      <w:lvlJc w:val="left"/>
      <w:lvlText w:val="%1"/>
      <w:numFmt w:val="decimal"/>
      <w:start w:val="1"/>
    </w:lvl>
    <w:lvl w:ilvl="1">
      <w:lvlJc w:val="left"/>
      <w:lvlText w:val="(%2)"/>
      <w:numFmt w:val="lowerLetter"/>
      <w:start w:val="6"/>
    </w:lvl>
  </w:abstractNum>
  <w:abstractNum w:abstractNumId="141">
    <w:nsid w:val="6FDE8AF6"/>
    <w:multiLevelType w:val="hybridMultilevel"/>
    <w:lvl w:ilvl="0">
      <w:lvlJc w:val="left"/>
      <w:lvlText w:val="%1."/>
      <w:numFmt w:val="decimal"/>
      <w:start w:val="10"/>
    </w:lvl>
    <w:lvl w:ilvl="1">
      <w:lvlJc w:val="left"/>
      <w:lvlText w:val="(%2)"/>
      <w:numFmt w:val="lowerLetter"/>
      <w:start w:val="1"/>
    </w:lvl>
  </w:abstractNum>
  <w:abstractNum w:abstractNumId="142">
    <w:nsid w:val="3FC32E20"/>
    <w:multiLevelType w:val="hybridMultilevel"/>
    <w:lvl w:ilvl="0">
      <w:lvlJc w:val="left"/>
      <w:lvlText w:val="%1."/>
      <w:numFmt w:val="decimal"/>
      <w:start w:val="11"/>
    </w:lvl>
  </w:abstractNum>
  <w:abstractNum w:abstractNumId="143">
    <w:nsid w:val="49C0E823"/>
    <w:multiLevelType w:val="hybridMultilevel"/>
    <w:lvl w:ilvl="0">
      <w:lvlJc w:val="left"/>
      <w:lvlText w:val="(%1)"/>
      <w:numFmt w:val="lowerLetter"/>
      <w:start w:val="1"/>
    </w:lvl>
  </w:abstractNum>
  <w:abstractNum w:abstractNumId="144">
    <w:nsid w:val="14D53685"/>
    <w:multiLevelType w:val="hybridMultilevel"/>
    <w:lvl w:ilvl="0">
      <w:lvlJc w:val="left"/>
      <w:lvlText w:val="%1."/>
      <w:numFmt w:val="decimal"/>
      <w:start w:val="12"/>
    </w:lvl>
  </w:abstractNum>
  <w:abstractNum w:abstractNumId="145">
    <w:nsid w:val="230F856C"/>
    <w:multiLevelType w:val="hybridMultilevel"/>
    <w:lvl w:ilvl="0">
      <w:lvlJc w:val="left"/>
      <w:lvlText w:val="%1."/>
      <w:numFmt w:val="decimal"/>
      <w:start w:val="13"/>
    </w:lvl>
  </w:abstractNum>
  <w:abstractNum w:abstractNumId="146">
    <w:nsid w:val="6EAA85FB"/>
    <w:multiLevelType w:val="hybridMultilevel"/>
    <w:lvl w:ilvl="0">
      <w:lvlJc w:val="left"/>
      <w:lvlText w:val="%1."/>
      <w:numFmt w:val="decimal"/>
      <w:start w:val="14"/>
    </w:lvl>
  </w:abstractNum>
  <w:abstractNum w:abstractNumId="147">
    <w:nsid w:val="3F06ECB2"/>
    <w:multiLevelType w:val="hybridMultilevel"/>
    <w:lvl w:ilvl="0">
      <w:lvlJc w:val="left"/>
      <w:lvlText w:val="%1."/>
      <w:numFmt w:val="decimal"/>
      <w:start w:val="15"/>
    </w:lvl>
  </w:abstractNum>
  <w:abstractNum w:abstractNumId="148">
    <w:nsid w:val="3B594807"/>
    <w:multiLevelType w:val="hybridMultilevel"/>
    <w:lvl w:ilvl="0">
      <w:lvlJc w:val="left"/>
      <w:lvlText w:val="%1."/>
      <w:numFmt w:val="decimal"/>
      <w:start w:val="16"/>
    </w:lvl>
  </w:abstractNum>
  <w:abstractNum w:abstractNumId="149">
    <w:nsid w:val="6CAA2304"/>
    <w:multiLevelType w:val="hybridMultilevel"/>
    <w:lvl w:ilvl="0">
      <w:lvlJc w:val="left"/>
      <w:lvlText w:val="%1."/>
      <w:numFmt w:val="decimal"/>
      <w:start w:val="17"/>
    </w:lvl>
  </w:abstractNum>
  <w:abstractNum w:abstractNumId="150">
    <w:nsid w:val="3F7C2FF4"/>
    <w:multiLevelType w:val="hybridMultilevel"/>
    <w:lvl w:ilvl="0">
      <w:lvlJc w:val="left"/>
      <w:lvlText w:val="%1."/>
      <w:numFmt w:val="decimal"/>
      <w:start w:val="18"/>
    </w:lvl>
  </w:abstractNum>
  <w:abstractNum w:abstractNumId="151">
    <w:nsid w:val="25413BEC"/>
    <w:multiLevelType w:val="hybridMultilevel"/>
    <w:lvl w:ilvl="0">
      <w:lvlJc w:val="left"/>
      <w:lvlText w:val="%1."/>
      <w:numFmt w:val="decimal"/>
      <w:start w:val="19"/>
    </w:lvl>
  </w:abstractNum>
  <w:abstractNum w:abstractNumId="152">
    <w:nsid w:val="17180B0B"/>
    <w:multiLevelType w:val="hybridMultilevel"/>
    <w:lvl w:ilvl="0">
      <w:lvlJc w:val="left"/>
      <w:lvlText w:val="%1."/>
      <w:numFmt w:val="decimal"/>
      <w:start w:val="20"/>
    </w:lvl>
  </w:abstractNum>
  <w:abstractNum w:abstractNumId="153">
    <w:nsid w:val="579328B9"/>
    <w:multiLevelType w:val="hybridMultilevel"/>
    <w:lvl w:ilvl="0">
      <w:lvlJc w:val="left"/>
      <w:lvlText w:val="%1."/>
      <w:numFmt w:val="decimal"/>
      <w:start w:val="21"/>
    </w:lvl>
  </w:abstractNum>
  <w:abstractNum w:abstractNumId="154">
    <w:nsid w:val="5D205E20"/>
    <w:multiLevelType w:val="hybridMultilevel"/>
    <w:lvl w:ilvl="0">
      <w:lvlJc w:val="left"/>
      <w:lvlText w:val="%1."/>
      <w:numFmt w:val="decimal"/>
      <w:start w:val="22"/>
    </w:lvl>
  </w:abstractNum>
  <w:abstractNum w:abstractNumId="155">
    <w:nsid w:val="11CCA8BA"/>
    <w:multiLevelType w:val="hybridMultilevel"/>
    <w:lvl w:ilvl="0">
      <w:lvlJc w:val="left"/>
      <w:lvlText w:val="%1."/>
      <w:numFmt w:val="decimal"/>
      <w:start w:val="23"/>
    </w:lvl>
  </w:abstractNum>
  <w:abstractNum w:abstractNumId="156">
    <w:nsid w:val="4D32AB86"/>
    <w:multiLevelType w:val="hybridMultilevel"/>
    <w:lvl w:ilvl="0">
      <w:lvlJc w:val="left"/>
      <w:lvlText w:val="•"/>
      <w:numFmt w:val="bullet"/>
      <w:start w:val="1"/>
    </w:lvl>
  </w:abstractNum>
  <w:abstractNum w:abstractNumId="157">
    <w:nsid w:val="3F07ACC3"/>
    <w:multiLevelType w:val="hybridMultilevel"/>
    <w:lvl w:ilvl="0">
      <w:lvlJc w:val="left"/>
      <w:lvlText w:val="•"/>
      <w:numFmt w:val="bullet"/>
      <w:start w:val="1"/>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2019-12-20T18:35:50Z</dcterms:created>
  <dcterms:modified xsi:type="dcterms:W3CDTF">2019-12-20T18:35:50Z</dcterms:modified>
</cp:coreProperties>
</file>