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561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KANTER HARVEY 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6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DXLG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7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15"/>
        </w:trPr>
        <w:tc>
          <w:tcPr>
            <w:tcW w:w="2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</w:tr>
      <w:tr>
        <w:trPr>
          <w:trHeight w:val="3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247,431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729,857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247,431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247,431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Restricted stock units ("RSU") convert into common stock on a one-for-one basis.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7"/>
              </w:rPr>
              <w:t>2. Represents RSUs for performance-based compensation granted to the Reporting Person on April 15, 2025 under the 2022-2024 Long-Term Incentive Plan.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Harvey S. Kanter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09/03/2025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-2649220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240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2025-09-03T15:26:20Z</dcterms:created>
  <dcterms:modified xsi:type="dcterms:W3CDTF">2025-09-03T15:26:20Z</dcterms:modified>
</cp:coreProperties>
</file>