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Destination XL Group, Inc.</w:t>
      </w:r>
    </w:p>
    <w:p>
      <w:pPr>
        <w:ind w:left="12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25065K104</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28,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13G is filed:</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8239" w:firstLine="8"/>
        <w:spacing w:after="0" w:line="279" w:lineRule="auto"/>
        <w:tabs>
          <w:tab w:leader="none" w:pos="52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00" w:lineRule="exact"/>
        <w:rPr>
          <w:sz w:val="24"/>
          <w:szCs w:val="24"/>
          <w:color w:val="auto"/>
        </w:rPr>
      </w:pPr>
    </w:p>
    <w:p>
      <w:pPr>
        <w:spacing w:after="0" w:line="383"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25065K104</w:t>
      </w:r>
    </w:p>
    <w:p>
      <w:pPr>
        <w:spacing w:after="0" w:line="4" w:lineRule="exact"/>
        <w:rPr>
          <w:sz w:val="24"/>
          <w:szCs w:val="24"/>
          <w:color w:val="auto"/>
        </w:rPr>
      </w:pPr>
    </w:p>
    <w:p>
      <w:pPr>
        <w:ind w:right="317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AWM Investment Company, Inc.</w:t>
      </w:r>
    </w:p>
    <w:p>
      <w:pPr>
        <w:spacing w:after="0" w:line="4" w:lineRule="exact"/>
        <w:rPr>
          <w:rFonts w:ascii="Courier New" w:cs="Courier New" w:eastAsia="Courier New" w:hAnsi="Courier New"/>
          <w:sz w:val="18"/>
          <w:szCs w:val="18"/>
          <w:color w:val="auto"/>
        </w:rPr>
      </w:pPr>
    </w:p>
    <w:p>
      <w:pPr>
        <w:ind w:right="369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(a)___ b)___</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right="275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 United States Number of Shares Beneficially</w:t>
      </w:r>
    </w:p>
    <w:p>
      <w:pPr>
        <w:spacing w:after="0" w:line="5" w:lineRule="exact"/>
        <w:rPr>
          <w:rFonts w:ascii="Courier New" w:cs="Courier New" w:eastAsia="Courier New" w:hAnsi="Courier New"/>
          <w:sz w:val="18"/>
          <w:szCs w:val="18"/>
          <w:color w:val="auto"/>
        </w:rPr>
      </w:pPr>
    </w:p>
    <w:p>
      <w:pPr>
        <w:ind w:right="69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Owned by Each Reporting Person With</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38" w:lineRule="auto"/>
        <w:rPr>
          <w:sz w:val="20"/>
          <w:szCs w:val="20"/>
          <w:color w:val="auto"/>
        </w:rPr>
      </w:pPr>
      <w:r>
        <w:rPr>
          <w:rFonts w:ascii="Courier New" w:cs="Courier New" w:eastAsia="Courier New" w:hAnsi="Courier New"/>
          <w:sz w:val="18"/>
          <w:szCs w:val="18"/>
          <w:color w:val="auto"/>
        </w:rPr>
        <w:t>11,111,111**</w:t>
      </w:r>
    </w:p>
    <w:p>
      <w:pPr>
        <w:spacing w:after="0" w:line="202" w:lineRule="exact"/>
        <w:rPr>
          <w:sz w:val="24"/>
          <w:szCs w:val="24"/>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6"/>
          <w:szCs w:val="16"/>
          <w:color w:val="auto"/>
        </w:rPr>
        <w:t>0**</w:t>
      </w:r>
    </w:p>
    <w:p>
      <w:pPr>
        <w:spacing w:after="0" w:line="207" w:lineRule="exact"/>
        <w:rPr>
          <w:sz w:val="24"/>
          <w:szCs w:val="24"/>
          <w:color w:val="auto"/>
        </w:rPr>
      </w:pPr>
    </w:p>
    <w:p>
      <w:pPr>
        <w:ind w:right="727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11,111,111**</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right="3699" w:firstLine="8"/>
        <w:spacing w:after="0" w:line="235"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11,111,111**</w:t>
      </w:r>
    </w:p>
    <w:p>
      <w:pPr>
        <w:spacing w:after="0" w:line="5" w:lineRule="exact"/>
        <w:rPr>
          <w:rFonts w:ascii="Courier New" w:cs="Courier New" w:eastAsia="Courier New" w:hAnsi="Courier New"/>
          <w:sz w:val="18"/>
          <w:szCs w:val="18"/>
          <w:color w:val="auto"/>
        </w:rPr>
      </w:pPr>
    </w:p>
    <w:p>
      <w:pPr>
        <w:ind w:right="2559" w:firstLine="8"/>
        <w:spacing w:after="0" w:line="235"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17.6%**</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5" w:lineRule="exact"/>
        <w:rPr>
          <w:sz w:val="24"/>
          <w:szCs w:val="24"/>
          <w:color w:val="auto"/>
        </w:rPr>
      </w:pPr>
    </w:p>
    <w:p>
      <w:pPr>
        <w:ind w:right="2759"/>
        <w:spacing w:after="0" w:line="272" w:lineRule="auto"/>
        <w:rPr>
          <w:sz w:val="20"/>
          <w:szCs w:val="20"/>
          <w:color w:val="auto"/>
        </w:rPr>
      </w:pPr>
      <w:r>
        <w:rPr>
          <w:rFonts w:ascii="Courier New" w:cs="Courier New" w:eastAsia="Courier New" w:hAnsi="Courier New"/>
          <w:sz w:val="16"/>
          <w:szCs w:val="16"/>
          <w:color w:val="auto"/>
        </w:rPr>
        <w:t>**AWM Investment Company, Inc., a Delaware corporation (?AWM?), is the investment adviser to Special Situations Cayman Fund, L.P. (?CAYMAN?), Special Situations Fund III QP, L.P. (?SSFQP?) and Special Situations Private Equity Fund, L.P. (?SSPE?). (CAYMAN, SSFQP and SSPE will hereafter be referred to as the ?Funds?). As the investment adviser to the Funds, AWM holds sole voting and investment power over</w:t>
      </w:r>
    </w:p>
    <w:p>
      <w:pPr>
        <w:sectPr>
          <w:pgSz w:w="11900" w:h="16870" w:orient="portrait"/>
          <w:cols w:equalWidth="0" w:num="1">
            <w:col w:w="10139"/>
          </w:cols>
          <w:pgMar w:left="320" w:top="244" w:right="1440" w:bottom="0" w:gutter="0" w:footer="0" w:header="0"/>
        </w:sectPr>
      </w:pPr>
    </w:p>
    <w:bookmarkStart w:id="1" w:name="page2"/>
    <w:bookmarkEnd w:id="1"/>
    <w:p>
      <w:pPr>
        <w:ind w:right="2859"/>
        <w:spacing w:after="0" w:line="279" w:lineRule="auto"/>
        <w:rPr>
          <w:sz w:val="20"/>
          <w:szCs w:val="20"/>
          <w:color w:val="auto"/>
        </w:rPr>
      </w:pPr>
      <w:r>
        <w:rPr>
          <w:rFonts w:ascii="Courier New" w:cs="Courier New" w:eastAsia="Courier New" w:hAnsi="Courier New"/>
          <w:sz w:val="16"/>
          <w:szCs w:val="16"/>
          <w:color w:val="auto"/>
        </w:rPr>
        <w:t>2,293,378 shares of Common Stock of the Issuer (the ?Shares?) held by CAYMAN, 6,595,511 Shares held by SSFQP and 2,222,222 Shares held by SSPE. See Items 2 and 4 of this Schedule for additional information.</w:t>
      </w:r>
    </w:p>
    <w:p>
      <w:pPr>
        <w:spacing w:after="0" w:line="375" w:lineRule="exact"/>
        <w:rPr>
          <w:sz w:val="20"/>
          <w:szCs w:val="20"/>
          <w:color w:val="auto"/>
        </w:rPr>
      </w:pPr>
    </w:p>
    <w:p>
      <w:pPr>
        <w:spacing w:after="0"/>
        <w:tabs>
          <w:tab w:leader="none" w:pos="1260" w:val="left"/>
          <w:tab w:leader="none" w:pos="3040" w:val="left"/>
        </w:tabs>
        <w:rPr>
          <w:sz w:val="20"/>
          <w:szCs w:val="20"/>
          <w:color w:val="auto"/>
        </w:rPr>
      </w:pPr>
      <w:r>
        <w:rPr>
          <w:rFonts w:ascii="Courier New" w:cs="Courier New" w:eastAsia="Courier New" w:hAnsi="Courier New"/>
          <w:sz w:val="18"/>
          <w:szCs w:val="18"/>
          <w:color w:val="auto"/>
        </w:rPr>
        <w:t>Item 1(a).</w:t>
        <w:tab/>
        <w:t>Name Of Issuer:</w:t>
      </w:r>
      <w:r>
        <w:rPr>
          <w:sz w:val="20"/>
          <w:szCs w:val="20"/>
          <w:color w:val="auto"/>
        </w:rPr>
        <w:tab/>
      </w:r>
      <w:r>
        <w:rPr>
          <w:rFonts w:ascii="Courier New" w:cs="Courier New" w:eastAsia="Courier New" w:hAnsi="Courier New"/>
          <w:sz w:val="16"/>
          <w:szCs w:val="16"/>
          <w:color w:val="auto"/>
        </w:rPr>
        <w:t>Destination XL Group,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Turnpike Street</w:t>
      </w:r>
    </w:p>
    <w:p>
      <w:pPr>
        <w:spacing w:after="0" w:line="238" w:lineRule="auto"/>
        <w:rPr>
          <w:sz w:val="20"/>
          <w:szCs w:val="20"/>
          <w:color w:val="auto"/>
        </w:rPr>
      </w:pPr>
      <w:r>
        <w:rPr>
          <w:rFonts w:ascii="Courier New" w:cs="Courier New" w:eastAsia="Courier New" w:hAnsi="Courier New"/>
          <w:sz w:val="18"/>
          <w:szCs w:val="18"/>
          <w:color w:val="auto"/>
        </w:rPr>
        <w:t>Canton, Massachusetts 02021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3499"/>
        <w:spacing w:after="0" w:line="271" w:lineRule="auto"/>
        <w:rPr>
          <w:sz w:val="20"/>
          <w:szCs w:val="20"/>
          <w:color w:val="auto"/>
        </w:rPr>
      </w:pPr>
      <w:r>
        <w:rPr>
          <w:rFonts w:ascii="Courier New" w:cs="Courier New" w:eastAsia="Courier New" w:hAnsi="Courier New"/>
          <w:sz w:val="16"/>
          <w:szCs w:val="16"/>
          <w:color w:val="auto"/>
        </w:rPr>
        <w:t>The person filing this report is AWM Investment Company, Inc., a Delaware corporation (?AWM?), which is the investment adviser to Special Situations Cayman Fund, L.P., a Cayman Islands Limited Partnership (?CAYMAN?), Special Situations Fund III QP, L.P., a Delaware limited partnership (?SSFQP?) and Special Situations Private Equity Fund, L.P., a Delaware limited partnership (?SSPE?), (CAYMAN, SSFQP and SSPE, will hereafter be referred to as the ?Funds?). The principal business of each Fund is to invest in equity and equity-related securities and other securities of any kind or nature.</w:t>
      </w:r>
    </w:p>
    <w:p>
      <w:pPr>
        <w:spacing w:after="0" w:line="386"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8"/>
          <w:szCs w:val="18"/>
          <w:color w:val="auto"/>
        </w:rPr>
        <w:t>Austin W. Marxe (?Marxe?), David M. Greenhouse (?Greenhouse?) and Adam C. Stettner (?Stettner?) are members of SSCayman, L.L.C., a Delaware limited liability company (?SSCAY?), the general partner of CAYMAN. Greenhouse and Stettner are members of MGP Advisers Limited Partnership, a Delaware limited partnership (?MGP?), the general partner of SSFQP and MG Advisers, L.L.C., a New York limited liability company (?MG?), the general partner of SSPE. Marxe, Greenhouse and Stettner are also controlling principals of AWM.</w:t>
      </w:r>
    </w:p>
    <w:p>
      <w:pPr>
        <w:spacing w:after="0" w:line="213"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6" w:lineRule="exact"/>
        <w:rPr>
          <w:sz w:val="20"/>
          <w:szCs w:val="20"/>
          <w:color w:val="auto"/>
        </w:rPr>
      </w:pPr>
    </w:p>
    <w:p>
      <w:pPr>
        <w:ind w:right="3599"/>
        <w:spacing w:after="0" w:line="236" w:lineRule="auto"/>
        <w:rPr>
          <w:sz w:val="20"/>
          <w:szCs w:val="20"/>
          <w:color w:val="auto"/>
        </w:rPr>
      </w:pPr>
      <w:r>
        <w:rPr>
          <w:rFonts w:ascii="Courier New" w:cs="Courier New" w:eastAsia="Courier New" w:hAnsi="Courier New"/>
          <w:sz w:val="18"/>
          <w:szCs w:val="18"/>
          <w:color w:val="auto"/>
        </w:rPr>
        <w:t>The principal business address for AWM is c/o Special Situations Funds, 527 Madison Avenue, Suite 2600, New York, NY 10022.</w:t>
      </w: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AWM is a Delaware Corporation.</w:t>
      </w: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 Common Stock</w:t>
      </w:r>
    </w:p>
    <w:p>
      <w:pPr>
        <w:spacing w:after="0" w:line="201" w:lineRule="exact"/>
        <w:rPr>
          <w:sz w:val="20"/>
          <w:szCs w:val="20"/>
          <w:color w:val="auto"/>
        </w:rPr>
      </w:pPr>
    </w:p>
    <w:p>
      <w:pPr>
        <w:spacing w:after="0"/>
        <w:tabs>
          <w:tab w:leader="none" w:pos="1260" w:val="left"/>
          <w:tab w:leader="none" w:pos="2520" w:val="left"/>
        </w:tabs>
        <w:rPr>
          <w:sz w:val="20"/>
          <w:szCs w:val="20"/>
          <w:color w:val="auto"/>
        </w:rPr>
      </w:pPr>
      <w:r>
        <w:rPr>
          <w:rFonts w:ascii="Courier New" w:cs="Courier New" w:eastAsia="Courier New" w:hAnsi="Courier New"/>
          <w:sz w:val="18"/>
          <w:szCs w:val="18"/>
          <w:color w:val="auto"/>
        </w:rPr>
        <w:t>Item 2(e).</w:t>
        <w:tab/>
        <w:t>CUSIP No.:</w:t>
      </w:r>
      <w:r>
        <w:rPr>
          <w:sz w:val="20"/>
          <w:szCs w:val="20"/>
          <w:color w:val="auto"/>
        </w:rPr>
        <w:tab/>
      </w:r>
      <w:r>
        <w:rPr>
          <w:rFonts w:ascii="Courier New" w:cs="Courier New" w:eastAsia="Courier New" w:hAnsi="Courier New"/>
          <w:sz w:val="16"/>
          <w:szCs w:val="16"/>
          <w:color w:val="auto"/>
        </w:rPr>
        <w:t>25065K104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w:t>
      </w:r>
    </w:p>
    <w:p>
      <w:pPr>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ind w:left="138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11,111,111**</w:t>
      </w:r>
    </w:p>
    <w:p>
      <w:pPr>
        <w:spacing w:after="0" w:line="201" w:lineRule="exact"/>
        <w:rPr>
          <w:sz w:val="20"/>
          <w:szCs w:val="20"/>
          <w:color w:val="auto"/>
        </w:rPr>
      </w:pPr>
    </w:p>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17.6%**</w:t>
      </w:r>
    </w:p>
    <w:p>
      <w:pPr>
        <w:spacing w:after="0" w:line="201" w:lineRule="exact"/>
        <w:rPr>
          <w:sz w:val="20"/>
          <w:szCs w:val="20"/>
          <w:color w:val="auto"/>
        </w:rPr>
      </w:pPr>
    </w:p>
    <w:p>
      <w:pPr>
        <w:ind w:left="1700" w:hanging="849"/>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2540" w:hanging="847"/>
        <w:spacing w:after="0"/>
        <w:tabs>
          <w:tab w:leader="none" w:pos="2540"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11,111,111**</w:t>
      </w:r>
    </w:p>
    <w:p>
      <w:pPr>
        <w:spacing w:after="0" w:line="218" w:lineRule="exact"/>
        <w:rPr>
          <w:rFonts w:ascii="Courier New" w:cs="Courier New" w:eastAsia="Courier New" w:hAnsi="Courier New"/>
          <w:sz w:val="16"/>
          <w:szCs w:val="16"/>
          <w:color w:val="auto"/>
        </w:rPr>
      </w:pPr>
    </w:p>
    <w:p>
      <w:pPr>
        <w:ind w:left="2540" w:hanging="1163"/>
        <w:spacing w:after="0"/>
        <w:tabs>
          <w:tab w:leader="none" w:pos="2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6" w:lineRule="exact"/>
        <w:rPr>
          <w:rFonts w:ascii="Courier New" w:cs="Courier New" w:eastAsia="Courier New" w:hAnsi="Courier New"/>
          <w:sz w:val="18"/>
          <w:szCs w:val="18"/>
          <w:color w:val="auto"/>
        </w:rPr>
      </w:pPr>
    </w:p>
    <w:p>
      <w:pPr>
        <w:ind w:left="2000" w:right="1919" w:hanging="728"/>
        <w:spacing w:after="0" w:line="235" w:lineRule="auto"/>
        <w:tabs>
          <w:tab w:leader="none" w:pos="252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11,111,111**</w:t>
      </w:r>
    </w:p>
    <w:p>
      <w:pPr>
        <w:spacing w:after="0" w:line="208" w:lineRule="exact"/>
        <w:rPr>
          <w:rFonts w:ascii="Courier New" w:cs="Courier New" w:eastAsia="Courier New" w:hAnsi="Courier New"/>
          <w:sz w:val="18"/>
          <w:szCs w:val="18"/>
          <w:color w:val="auto"/>
        </w:rPr>
      </w:pPr>
    </w:p>
    <w:p>
      <w:pPr>
        <w:ind w:left="2000" w:right="2119" w:hanging="623"/>
        <w:spacing w:after="0" w:line="235" w:lineRule="auto"/>
        <w:tabs>
          <w:tab w:leader="none" w:pos="252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w:t>
      </w:r>
    </w:p>
    <w:p>
      <w:pPr>
        <w:spacing w:after="0" w:line="207" w:lineRule="exact"/>
        <w:rPr>
          <w:sz w:val="20"/>
          <w:szCs w:val="20"/>
          <w:color w:val="auto"/>
        </w:rPr>
      </w:pPr>
    </w:p>
    <w:p>
      <w:pPr>
        <w:ind w:right="2759" w:firstLine="8"/>
        <w:spacing w:after="0" w:line="271"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AWM is the investment adviser to each of the Funds. As the investment adviser to the Funds, AWM holds sole voting and investment power over 2,293,378 shares of common stock of the Issuer (the ?Shares?) held by CAYMAN, 6,595,511 Shares held by SSFQP and 2,222,222 Shares held by SSPE. Marxe, Greenhouse and Stettner are members of SSCAY, the general partner of CAYMAN. Greenhouse and Stettner are members of MGP, the general partner of SSFQP and MG, the general partner of SSPE. Marxe, Greenhouse and Stettner are also controlling</w:t>
      </w:r>
    </w:p>
    <w:p>
      <w:pPr>
        <w:sectPr>
          <w:pgSz w:w="11900" w:h="16838" w:orient="portrait"/>
          <w:cols w:equalWidth="0" w:num="1">
            <w:col w:w="10139"/>
          </w:cols>
          <w:pgMar w:left="32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principals of AWM.</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75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___</w:t>
      </w:r>
    </w:p>
    <w:p>
      <w:pPr>
        <w:spacing w:after="0" w:line="20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55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85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8,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AWM INVESTMENT COMPANY,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Adam Stettner___</w:t>
      </w:r>
    </w:p>
    <w:p>
      <w:pPr>
        <w:ind w:left="420"/>
        <w:spacing w:after="0" w:line="238" w:lineRule="auto"/>
        <w:tabs>
          <w:tab w:leader="none" w:pos="1140" w:val="left"/>
        </w:tabs>
        <w:rPr>
          <w:sz w:val="20"/>
          <w:szCs w:val="20"/>
          <w:color w:val="auto"/>
        </w:rPr>
      </w:pPr>
      <w:r>
        <w:rPr>
          <w:rFonts w:ascii="Courier New" w:cs="Courier New" w:eastAsia="Courier New" w:hAnsi="Courier New"/>
          <w:sz w:val="18"/>
          <w:szCs w:val="18"/>
          <w:color w:val="auto"/>
        </w:rPr>
        <w:t>Name:</w:t>
        <w:tab/>
        <w:t>Adam Stettner</w:t>
      </w:r>
    </w:p>
    <w:p>
      <w:pPr>
        <w:ind w:left="320"/>
        <w:spacing w:after="0" w:line="238" w:lineRule="auto"/>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859"/>
        <w:spacing w:after="0"/>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 -1-</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2021-03-10T15:43:21Z</dcterms:created>
  <dcterms:modified xsi:type="dcterms:W3CDTF">2021-03-10T15:43:21Z</dcterms:modified>
</cp:coreProperties>
</file>