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5"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55"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January 5, 2007</w:t>
      </w:r>
    </w:p>
    <w:p>
      <w:pPr>
        <w:spacing w:after="0" w:line="200" w:lineRule="exact"/>
        <w:rPr>
          <w:sz w:val="24"/>
          <w:szCs w:val="24"/>
          <w:color w:val="auto"/>
        </w:rPr>
      </w:pPr>
    </w:p>
    <w:p>
      <w:pPr>
        <w:sectPr>
          <w:pgSz w:w="11900" w:h="16855" w:orient="portrait"/>
          <w:cols w:equalWidth="0" w:num="2">
            <w:col w:w="5180" w:space="720"/>
            <w:col w:w="4319"/>
          </w:cols>
          <w:pgMar w:left="240" w:top="244" w:right="1440" w:bottom="0" w:gutter="0" w:footer="0" w:header="0"/>
          <w:type w:val="continuous"/>
        </w:sectPr>
      </w:pPr>
    </w:p>
    <w:p>
      <w:pPr>
        <w:spacing w:after="0" w:line="1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ind w:left="2220"/>
        <w:spacing w:after="0" w:line="237" w:lineRule="auto"/>
        <w:rPr>
          <w:sz w:val="20"/>
          <w:szCs w:val="20"/>
          <w:color w:val="auto"/>
        </w:rPr>
      </w:pPr>
      <w:r>
        <w:rPr>
          <w:rFonts w:ascii="Courier New" w:cs="Courier New" w:eastAsia="Courier New" w:hAnsi="Courier New"/>
          <w:sz w:val="18"/>
          <w:szCs w:val="18"/>
          <w:color w:val="auto"/>
        </w:rPr>
        <w:t>CASUAL MALE RETAIL GROUP, INC.</w:t>
      </w:r>
    </w:p>
    <w:p>
      <w:pPr>
        <w:spacing w:after="0" w:line="5"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55"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55" w:orient="portrait"/>
          <w:cols w:equalWidth="0" w:num="2">
            <w:col w:w="5300" w:space="720"/>
            <w:col w:w="4199"/>
          </w:cols>
          <w:pgMar w:left="240" w:top="244" w:right="1440" w:bottom="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6"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6" w:lineRule="exact"/>
        <w:rPr>
          <w:sz w:val="24"/>
          <w:szCs w:val="24"/>
          <w:color w:val="auto"/>
        </w:rPr>
      </w:pPr>
    </w:p>
    <w:p>
      <w:pPr>
        <w:ind w:left="420" w:right="2739" w:hanging="420"/>
        <w:spacing w:after="0" w:line="235" w:lineRule="auto"/>
        <w:rPr>
          <w:sz w:val="20"/>
          <w:szCs w:val="20"/>
          <w:color w:val="auto"/>
        </w:rPr>
      </w:pPr>
      <w:r>
        <w:rPr>
          <w:rFonts w:ascii="Courier New" w:cs="Courier New" w:eastAsia="Courier New" w:hAnsi="Courier New"/>
          <w:sz w:val="18"/>
          <w:szCs w:val="18"/>
          <w:color w:val="auto"/>
        </w:rPr>
        <w:t>[ ] Pre-commencement communications pursuant to Rule 14d-2(b) under the Exchange Act(17 CFR 240.14d-2(b))</w:t>
      </w:r>
    </w:p>
    <w:p>
      <w:pPr>
        <w:spacing w:after="0" w:line="6"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2.04 Triggering Events That Accelerate or Increase a Direct Financial Obligation or an Obligation under an Off-Balance Sheet Arrangement.</w:t>
      </w:r>
    </w:p>
    <w:p>
      <w:pPr>
        <w:spacing w:after="0" w:line="200" w:lineRule="exact"/>
        <w:rPr>
          <w:sz w:val="24"/>
          <w:szCs w:val="24"/>
          <w:color w:val="auto"/>
        </w:rPr>
      </w:pPr>
    </w:p>
    <w:p>
      <w:pPr>
        <w:spacing w:after="0" w:line="211" w:lineRule="exact"/>
        <w:rPr>
          <w:sz w:val="24"/>
          <w:szCs w:val="24"/>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On January 8, 2007, Casual Male Retail Group, Inc. (the "Company") provided a second final notice to the holders of the Company's 5% Convertible Senior Subordinated Notes due January 1, 2024 (the "Convertible Notes") that it will be redeeming the remaining $53.3 million principal amount of the Convertible Notes on January 29, 2007. Approximately $40 million in principal amount of the Convertible Notes previously called for redemption were converted to approximately 3.76 million shares by the close of business on January 5, 2007.</w:t>
      </w:r>
    </w:p>
    <w:p>
      <w:pPr>
        <w:spacing w:after="0" w:line="188" w:lineRule="exact"/>
        <w:rPr>
          <w:sz w:val="24"/>
          <w:szCs w:val="24"/>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This second and final notice requires that all note-holders who wish to convert their Convertible Notes into shares of Casual Male's Common Stock must give proper notice to the trustee on or before January 26, 2007. Each $1,000 in principal amount of Convertible Notes may be converted into 93.8967 shares of Common Stock. The Company will issue cash in lieu of any fractional shares.</w:t>
      </w:r>
    </w:p>
    <w:p>
      <w:pPr>
        <w:spacing w:after="0" w:line="185"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Because the shares of the Company's Common Stock are currently trading above the conversion price of the Convertible Notes ($10.65 per share), the Company expects that note-holders will choose to convert their Convertible Notes into Common Stock, as a result of the redemption.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notice of redemption was included in a press release that was</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issued on January 8, 2007, which is attached hereto as Exhibit 99.1.</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17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3.02</w:t>
      </w:r>
      <w:r>
        <w:rPr>
          <w:sz w:val="20"/>
          <w:szCs w:val="20"/>
          <w:color w:val="auto"/>
        </w:rPr>
        <w:tab/>
      </w:r>
      <w:r>
        <w:rPr>
          <w:rFonts w:ascii="Courier New" w:cs="Courier New" w:eastAsia="Courier New" w:hAnsi="Courier New"/>
          <w:sz w:val="16"/>
          <w:szCs w:val="16"/>
          <w:color w:val="auto"/>
        </w:rPr>
        <w:t>Unregistered Sales of Equity Securities</w:t>
      </w:r>
    </w:p>
    <w:p>
      <w:pPr>
        <w:spacing w:after="0" w:line="207"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Between January 2, 2007 and January 5, 2007, the Company issued an aggregate of 3,897,745 shares of Common Stock upon conversion of approximately $41.5 million principal amount of Convertible Notes. Approximately $40 million of the $41.5 million of Convertible Notes converted to Common Stock was as a result of the Company's notice of redemption to note-holders on</w:t>
      </w:r>
    </w:p>
    <w:p>
      <w:pPr>
        <w:spacing w:after="0" w:line="1"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December 18, 2006. These shares were issued pursuant to an exemption provided by Section 3(a)(9) of the Securities Act of 1933.</w:t>
      </w:r>
    </w:p>
    <w:p>
      <w:pPr>
        <w:spacing w:after="0" w:line="16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280" w:hanging="429"/>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380"/>
        <w:spacing w:after="0"/>
        <w:tabs>
          <w:tab w:leader="none" w:pos="25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announcing notice of redemption for</w:t>
      </w:r>
    </w:p>
    <w:p>
      <w:pPr>
        <w:ind w:left="2540"/>
        <w:spacing w:after="0" w:line="238" w:lineRule="auto"/>
        <w:rPr>
          <w:sz w:val="20"/>
          <w:szCs w:val="20"/>
          <w:color w:val="auto"/>
        </w:rPr>
      </w:pPr>
      <w:r>
        <w:rPr>
          <w:rFonts w:ascii="Courier New" w:cs="Courier New" w:eastAsia="Courier New" w:hAnsi="Courier New"/>
          <w:sz w:val="18"/>
          <w:szCs w:val="18"/>
          <w:color w:val="auto"/>
        </w:rPr>
        <w:t>$53.3 million of the Company's 5% Convertible Senior</w:t>
      </w:r>
    </w:p>
    <w:p>
      <w:pPr>
        <w:ind w:left="2540"/>
        <w:spacing w:after="0"/>
        <w:rPr>
          <w:sz w:val="20"/>
          <w:szCs w:val="20"/>
          <w:color w:val="auto"/>
        </w:rPr>
      </w:pPr>
      <w:r>
        <w:rPr>
          <w:rFonts w:ascii="Courier New" w:cs="Courier New" w:eastAsia="Courier New" w:hAnsi="Courier New"/>
          <w:sz w:val="18"/>
          <w:szCs w:val="18"/>
          <w:color w:val="auto"/>
        </w:rPr>
        <w:t>Subordinated Notes due January 1, 2024 and the</w:t>
      </w:r>
    </w:p>
    <w:p>
      <w:pPr>
        <w:ind w:left="2540"/>
        <w:spacing w:after="0" w:line="237" w:lineRule="auto"/>
        <w:rPr>
          <w:sz w:val="20"/>
          <w:szCs w:val="20"/>
          <w:color w:val="auto"/>
        </w:rPr>
      </w:pPr>
      <w:r>
        <w:rPr>
          <w:rFonts w:ascii="Courier New" w:cs="Courier New" w:eastAsia="Courier New" w:hAnsi="Courier New"/>
          <w:sz w:val="18"/>
          <w:szCs w:val="18"/>
          <w:color w:val="auto"/>
        </w:rPr>
        <w:t>Conversion to Common Stock of $40 million principal</w:t>
      </w:r>
    </w:p>
    <w:p>
      <w:pPr>
        <w:ind w:left="2540"/>
        <w:spacing w:after="0"/>
        <w:rPr>
          <w:sz w:val="20"/>
          <w:szCs w:val="20"/>
          <w:color w:val="auto"/>
        </w:rPr>
      </w:pPr>
      <w:r>
        <w:rPr>
          <w:rFonts w:ascii="Courier New" w:cs="Courier New" w:eastAsia="Courier New" w:hAnsi="Courier New"/>
          <w:sz w:val="18"/>
          <w:szCs w:val="18"/>
          <w:color w:val="auto"/>
        </w:rPr>
        <w:t>amount of the Convertible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ind w:left="4860"/>
        <w:spacing w:after="0" w:line="238" w:lineRule="auto"/>
        <w:rPr>
          <w:sz w:val="20"/>
          <w:szCs w:val="20"/>
          <w:color w:val="auto"/>
        </w:rPr>
      </w:pPr>
      <w:r>
        <w:rPr>
          <w:rFonts w:ascii="Courier New" w:cs="Courier New" w:eastAsia="Courier New" w:hAnsi="Courier New"/>
          <w:sz w:val="18"/>
          <w:szCs w:val="18"/>
          <w:color w:val="auto"/>
        </w:rPr>
        <w:t>By: /s/ DENNIS R. HERNREICH</w:t>
      </w:r>
    </w:p>
    <w:p>
      <w:pPr>
        <w:spacing w:after="0" w:line="5"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8, 2007</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 Worldwide</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0" w:lineRule="exact"/>
        <w:rPr>
          <w:sz w:val="20"/>
          <w:szCs w:val="20"/>
          <w:color w:val="auto"/>
        </w:rPr>
      </w:pPr>
    </w:p>
    <w:p>
      <w:pPr>
        <w:spacing w:after="0" w:line="210" w:lineRule="exact"/>
        <w:rPr>
          <w:sz w:val="20"/>
          <w:szCs w:val="20"/>
          <w:color w:val="auto"/>
        </w:rPr>
      </w:pPr>
    </w:p>
    <w:p>
      <w:pPr>
        <w:ind w:left="1060" w:right="2519" w:hanging="104"/>
        <w:spacing w:after="0" w:line="268" w:lineRule="auto"/>
        <w:rPr>
          <w:sz w:val="20"/>
          <w:szCs w:val="20"/>
          <w:color w:val="auto"/>
        </w:rPr>
      </w:pPr>
      <w:r>
        <w:rPr>
          <w:rFonts w:ascii="Courier New" w:cs="Courier New" w:eastAsia="Courier New" w:hAnsi="Courier New"/>
          <w:sz w:val="16"/>
          <w:szCs w:val="16"/>
          <w:color w:val="auto"/>
        </w:rPr>
        <w:t>$40 million of Casual Male Retail Group, Inc. Convertible Notes Convert to Common Stock; Balance to be Redeemed or Converted by</w:t>
      </w:r>
    </w:p>
    <w:p>
      <w:pPr>
        <w:ind w:left="3380"/>
        <w:spacing w:after="0" w:line="233" w:lineRule="auto"/>
        <w:rPr>
          <w:sz w:val="20"/>
          <w:szCs w:val="20"/>
          <w:color w:val="auto"/>
        </w:rPr>
      </w:pPr>
      <w:r>
        <w:rPr>
          <w:rFonts w:ascii="Courier New" w:cs="Courier New" w:eastAsia="Courier New" w:hAnsi="Courier New"/>
          <w:sz w:val="18"/>
          <w:szCs w:val="18"/>
          <w:color w:val="auto"/>
        </w:rPr>
        <w:t>January 29, 2007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CANTON, MA, January 8, 2007 -- Casual Male Retail Group, Inc.</w:t>
      </w:r>
    </w:p>
    <w:p>
      <w:pPr>
        <w:spacing w:after="0" w:line="238" w:lineRule="auto"/>
        <w:rPr>
          <w:sz w:val="20"/>
          <w:szCs w:val="20"/>
          <w:color w:val="auto"/>
        </w:rPr>
      </w:pPr>
      <w:r>
        <w:rPr>
          <w:rFonts w:ascii="Courier New" w:cs="Courier New" w:eastAsia="Courier New" w:hAnsi="Courier New"/>
          <w:sz w:val="18"/>
          <w:szCs w:val="18"/>
          <w:color w:val="auto"/>
        </w:rPr>
        <w:t>(NASDAQ/GM: "CMRG"), retail brand operator of Casual Male XL and</w:t>
      </w:r>
    </w:p>
    <w:p>
      <w:pPr>
        <w:spacing w:after="0"/>
        <w:rPr>
          <w:sz w:val="20"/>
          <w:szCs w:val="20"/>
          <w:color w:val="auto"/>
        </w:rPr>
      </w:pPr>
      <w:r>
        <w:rPr>
          <w:rFonts w:ascii="Courier New" w:cs="Courier New" w:eastAsia="Courier New" w:hAnsi="Courier New"/>
          <w:sz w:val="18"/>
          <w:szCs w:val="18"/>
          <w:color w:val="auto"/>
        </w:rPr>
        <w:t>Rochester Big &amp; Tall, reported today that, as expected, note-holders</w:t>
      </w:r>
    </w:p>
    <w:p>
      <w:pPr>
        <w:spacing w:after="0" w:line="237" w:lineRule="auto"/>
        <w:rPr>
          <w:sz w:val="20"/>
          <w:szCs w:val="20"/>
          <w:color w:val="auto"/>
        </w:rPr>
      </w:pPr>
      <w:r>
        <w:rPr>
          <w:rFonts w:ascii="Courier New" w:cs="Courier New" w:eastAsia="Courier New" w:hAnsi="Courier New"/>
          <w:sz w:val="18"/>
          <w:szCs w:val="18"/>
          <w:color w:val="auto"/>
        </w:rPr>
        <w:t>converted approximately $40 million in principal amount of the 5%</w:t>
      </w:r>
    </w:p>
    <w:p>
      <w:pPr>
        <w:spacing w:after="0" w:line="238" w:lineRule="auto"/>
        <w:rPr>
          <w:sz w:val="20"/>
          <w:szCs w:val="20"/>
          <w:color w:val="auto"/>
        </w:rPr>
      </w:pPr>
      <w:r>
        <w:rPr>
          <w:rFonts w:ascii="Courier New" w:cs="Courier New" w:eastAsia="Courier New" w:hAnsi="Courier New"/>
          <w:sz w:val="18"/>
          <w:szCs w:val="18"/>
          <w:color w:val="auto"/>
        </w:rPr>
        <w:t>Convertible Senior Subordinated Notes due January 1, 2024 into</w:t>
      </w:r>
    </w:p>
    <w:p>
      <w:pPr>
        <w:spacing w:after="0"/>
        <w:tabs>
          <w:tab w:leader="none" w:pos="6940" w:val="left"/>
        </w:tabs>
        <w:rPr>
          <w:sz w:val="20"/>
          <w:szCs w:val="20"/>
          <w:color w:val="auto"/>
        </w:rPr>
      </w:pPr>
      <w:r>
        <w:rPr>
          <w:rFonts w:ascii="Courier New" w:cs="Courier New" w:eastAsia="Courier New" w:hAnsi="Courier New"/>
          <w:sz w:val="18"/>
          <w:szCs w:val="18"/>
          <w:color w:val="auto"/>
        </w:rPr>
        <w:t>approximately 3.76 million shares of the Company's Common Stock.</w:t>
        <w:tab/>
        <w:t>In</w:t>
      </w:r>
    </w:p>
    <w:p>
      <w:pPr>
        <w:spacing w:after="0" w:line="237" w:lineRule="auto"/>
        <w:rPr>
          <w:sz w:val="20"/>
          <w:szCs w:val="20"/>
          <w:color w:val="auto"/>
        </w:rPr>
      </w:pPr>
      <w:r>
        <w:rPr>
          <w:rFonts w:ascii="Courier New" w:cs="Courier New" w:eastAsia="Courier New" w:hAnsi="Courier New"/>
          <w:sz w:val="18"/>
          <w:szCs w:val="18"/>
          <w:color w:val="auto"/>
        </w:rPr>
        <w:t>addition, Casual Male announced today that it will be redeeming the</w:t>
      </w:r>
    </w:p>
    <w:p>
      <w:pPr>
        <w:spacing w:after="0"/>
        <w:rPr>
          <w:sz w:val="20"/>
          <w:szCs w:val="20"/>
          <w:color w:val="auto"/>
        </w:rPr>
      </w:pPr>
      <w:r>
        <w:rPr>
          <w:rFonts w:ascii="Courier New" w:cs="Courier New" w:eastAsia="Courier New" w:hAnsi="Courier New"/>
          <w:sz w:val="18"/>
          <w:szCs w:val="18"/>
          <w:color w:val="auto"/>
        </w:rPr>
        <w:t>$53.3 million balance of the 5% Convertible Senior Subordinated Notes</w:t>
      </w:r>
    </w:p>
    <w:p>
      <w:pPr>
        <w:spacing w:after="0"/>
        <w:tabs>
          <w:tab w:leader="none" w:pos="2300" w:val="left"/>
        </w:tabs>
        <w:rPr>
          <w:sz w:val="20"/>
          <w:szCs w:val="20"/>
          <w:color w:val="auto"/>
        </w:rPr>
      </w:pPr>
      <w:r>
        <w:rPr>
          <w:rFonts w:ascii="Courier New" w:cs="Courier New" w:eastAsia="Courier New" w:hAnsi="Courier New"/>
          <w:sz w:val="18"/>
          <w:szCs w:val="18"/>
          <w:color w:val="auto"/>
        </w:rPr>
        <w:t>due January 1, 2024.</w:t>
      </w:r>
      <w:r>
        <w:rPr>
          <w:sz w:val="20"/>
          <w:szCs w:val="20"/>
          <w:color w:val="auto"/>
        </w:rPr>
        <w:tab/>
      </w:r>
      <w:r>
        <w:rPr>
          <w:rFonts w:ascii="Courier New" w:cs="Courier New" w:eastAsia="Courier New" w:hAnsi="Courier New"/>
          <w:sz w:val="16"/>
          <w:szCs w:val="16"/>
          <w:color w:val="auto"/>
        </w:rPr>
        <w:t>The redemption date for the remaining</w:t>
      </w:r>
    </w:p>
    <w:p>
      <w:pPr>
        <w:spacing w:after="0"/>
        <w:rPr>
          <w:sz w:val="20"/>
          <w:szCs w:val="20"/>
          <w:color w:val="auto"/>
        </w:rPr>
      </w:pPr>
      <w:r>
        <w:rPr>
          <w:rFonts w:ascii="Courier New" w:cs="Courier New" w:eastAsia="Courier New" w:hAnsi="Courier New"/>
          <w:sz w:val="18"/>
          <w:szCs w:val="18"/>
          <w:color w:val="auto"/>
        </w:rPr>
        <w:t>convertible notes will be January 29, 2007.</w:t>
      </w:r>
    </w:p>
    <w:p>
      <w:pPr>
        <w:spacing w:after="0" w:line="206" w:lineRule="exact"/>
        <w:rPr>
          <w:sz w:val="20"/>
          <w:szCs w:val="20"/>
          <w:color w:val="auto"/>
        </w:rPr>
      </w:pPr>
    </w:p>
    <w:p>
      <w:pPr>
        <w:ind w:right="2839"/>
        <w:spacing w:after="0" w:line="273" w:lineRule="auto"/>
        <w:rPr>
          <w:sz w:val="20"/>
          <w:szCs w:val="20"/>
          <w:color w:val="auto"/>
        </w:rPr>
      </w:pPr>
      <w:r>
        <w:rPr>
          <w:rFonts w:ascii="Courier New" w:cs="Courier New" w:eastAsia="Courier New" w:hAnsi="Courier New"/>
          <w:sz w:val="16"/>
          <w:szCs w:val="16"/>
          <w:color w:val="auto"/>
        </w:rPr>
        <w:t>As the shares of Common Stock of CMRG are currently trading well above the conversion price of the notes ($10.65 per share), the Company expects that note-holders will choose to convert their notes into Common Stock, as a result of the redemption. If the note-holders convert as expected the Company will be substantially debt-free.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note-holders who wish to convert their notes in the second and</w:t>
      </w:r>
    </w:p>
    <w:p>
      <w:pPr>
        <w:spacing w:after="0" w:line="238" w:lineRule="auto"/>
        <w:rPr>
          <w:sz w:val="20"/>
          <w:szCs w:val="20"/>
          <w:color w:val="auto"/>
        </w:rPr>
      </w:pPr>
      <w:r>
        <w:rPr>
          <w:rFonts w:ascii="Courier New" w:cs="Courier New" w:eastAsia="Courier New" w:hAnsi="Courier New"/>
          <w:sz w:val="18"/>
          <w:szCs w:val="18"/>
          <w:color w:val="auto"/>
        </w:rPr>
        <w:t>final redemption into shares of Casual Male's Common Stock must give</w:t>
      </w:r>
    </w:p>
    <w:p>
      <w:pPr>
        <w:spacing w:after="0"/>
        <w:tabs>
          <w:tab w:leader="none" w:pos="6420" w:val="left"/>
        </w:tabs>
        <w:rPr>
          <w:sz w:val="20"/>
          <w:szCs w:val="20"/>
          <w:color w:val="auto"/>
        </w:rPr>
      </w:pPr>
      <w:r>
        <w:rPr>
          <w:rFonts w:ascii="Courier New" w:cs="Courier New" w:eastAsia="Courier New" w:hAnsi="Courier New"/>
          <w:sz w:val="18"/>
          <w:szCs w:val="18"/>
          <w:color w:val="auto"/>
        </w:rPr>
        <w:t>proper notice to the trustee on or before January 26, 2007.</w:t>
      </w:r>
      <w:r>
        <w:rPr>
          <w:sz w:val="20"/>
          <w:szCs w:val="20"/>
          <w:color w:val="auto"/>
        </w:rPr>
        <w:tab/>
      </w:r>
      <w:r>
        <w:rPr>
          <w:rFonts w:ascii="Courier New" w:cs="Courier New" w:eastAsia="Courier New" w:hAnsi="Courier New"/>
          <w:sz w:val="16"/>
          <w:szCs w:val="16"/>
          <w:color w:val="auto"/>
        </w:rPr>
        <w:t>Each</w:t>
      </w:r>
    </w:p>
    <w:p>
      <w:pPr>
        <w:spacing w:after="0" w:line="237" w:lineRule="auto"/>
        <w:rPr>
          <w:sz w:val="20"/>
          <w:szCs w:val="20"/>
          <w:color w:val="auto"/>
        </w:rPr>
      </w:pPr>
      <w:r>
        <w:rPr>
          <w:rFonts w:ascii="Courier New" w:cs="Courier New" w:eastAsia="Courier New" w:hAnsi="Courier New"/>
          <w:sz w:val="18"/>
          <w:szCs w:val="18"/>
          <w:color w:val="auto"/>
        </w:rPr>
        <w:t>$1,000 in principal amount of convertible notes may be converted into</w:t>
      </w:r>
    </w:p>
    <w:p>
      <w:pPr>
        <w:spacing w:after="0"/>
        <w:tabs>
          <w:tab w:leader="none" w:pos="3260" w:val="left"/>
        </w:tabs>
        <w:rPr>
          <w:sz w:val="20"/>
          <w:szCs w:val="20"/>
          <w:color w:val="auto"/>
        </w:rPr>
      </w:pPr>
      <w:r>
        <w:rPr>
          <w:rFonts w:ascii="Courier New" w:cs="Courier New" w:eastAsia="Courier New" w:hAnsi="Courier New"/>
          <w:sz w:val="18"/>
          <w:szCs w:val="18"/>
          <w:color w:val="auto"/>
        </w:rPr>
        <w:t>93.90 shares of Common Stock.</w:t>
      </w:r>
      <w:r>
        <w:rPr>
          <w:sz w:val="20"/>
          <w:szCs w:val="20"/>
          <w:color w:val="auto"/>
        </w:rPr>
        <w:tab/>
      </w:r>
      <w:r>
        <w:rPr>
          <w:rFonts w:ascii="Courier New" w:cs="Courier New" w:eastAsia="Courier New" w:hAnsi="Courier New"/>
          <w:sz w:val="16"/>
          <w:szCs w:val="16"/>
          <w:color w:val="auto"/>
        </w:rPr>
        <w:t>The Company will issue cash in lieu of</w:t>
      </w:r>
    </w:p>
    <w:p>
      <w:pPr>
        <w:spacing w:after="0"/>
        <w:tabs>
          <w:tab w:leader="none" w:pos="2520" w:val="left"/>
        </w:tabs>
        <w:rPr>
          <w:sz w:val="20"/>
          <w:szCs w:val="20"/>
          <w:color w:val="auto"/>
        </w:rPr>
      </w:pPr>
      <w:r>
        <w:rPr>
          <w:rFonts w:ascii="Courier New" w:cs="Courier New" w:eastAsia="Courier New" w:hAnsi="Courier New"/>
          <w:sz w:val="18"/>
          <w:szCs w:val="18"/>
          <w:color w:val="auto"/>
        </w:rPr>
        <w:t>any fractional shares.</w:t>
      </w:r>
      <w:r>
        <w:rPr>
          <w:sz w:val="20"/>
          <w:szCs w:val="20"/>
          <w:color w:val="auto"/>
        </w:rPr>
        <w:tab/>
      </w:r>
      <w:r>
        <w:rPr>
          <w:rFonts w:ascii="Courier New" w:cs="Courier New" w:eastAsia="Courier New" w:hAnsi="Courier New"/>
          <w:sz w:val="16"/>
          <w:szCs w:val="16"/>
          <w:color w:val="auto"/>
        </w:rPr>
        <w:t>By way of example only, if the redemption had</w:t>
      </w:r>
    </w:p>
    <w:p>
      <w:pPr>
        <w:spacing w:after="0" w:line="237" w:lineRule="auto"/>
        <w:rPr>
          <w:sz w:val="20"/>
          <w:szCs w:val="20"/>
          <w:color w:val="auto"/>
        </w:rPr>
      </w:pPr>
      <w:r>
        <w:rPr>
          <w:rFonts w:ascii="Courier New" w:cs="Courier New" w:eastAsia="Courier New" w:hAnsi="Courier New"/>
          <w:sz w:val="18"/>
          <w:szCs w:val="18"/>
          <w:color w:val="auto"/>
        </w:rPr>
        <w:t>taken place on January 8, 2007, and based on the Closing price of</w:t>
      </w:r>
    </w:p>
    <w:p>
      <w:pPr>
        <w:spacing w:after="0"/>
        <w:rPr>
          <w:sz w:val="20"/>
          <w:szCs w:val="20"/>
          <w:color w:val="auto"/>
        </w:rPr>
      </w:pPr>
      <w:r>
        <w:rPr>
          <w:rFonts w:ascii="Courier New" w:cs="Courier New" w:eastAsia="Courier New" w:hAnsi="Courier New"/>
          <w:sz w:val="18"/>
          <w:szCs w:val="18"/>
          <w:color w:val="auto"/>
        </w:rPr>
        <w:t>$12.30 a share of Common Stock on January 5, 2007, a holder of $1,000</w:t>
      </w:r>
    </w:p>
    <w:p>
      <w:pPr>
        <w:spacing w:after="0" w:line="237" w:lineRule="auto"/>
        <w:rPr>
          <w:sz w:val="20"/>
          <w:szCs w:val="20"/>
          <w:color w:val="auto"/>
        </w:rPr>
      </w:pPr>
      <w:r>
        <w:rPr>
          <w:rFonts w:ascii="Courier New" w:cs="Courier New" w:eastAsia="Courier New" w:hAnsi="Courier New"/>
          <w:sz w:val="18"/>
          <w:szCs w:val="18"/>
          <w:color w:val="auto"/>
        </w:rPr>
        <w:t>in principal amount of the notes would have received 93 shares of</w:t>
      </w:r>
    </w:p>
    <w:p>
      <w:pPr>
        <w:spacing w:after="0"/>
        <w:rPr>
          <w:sz w:val="20"/>
          <w:szCs w:val="20"/>
          <w:color w:val="auto"/>
        </w:rPr>
      </w:pPr>
      <w:r>
        <w:rPr>
          <w:rFonts w:ascii="Courier New" w:cs="Courier New" w:eastAsia="Courier New" w:hAnsi="Courier New"/>
          <w:sz w:val="18"/>
          <w:szCs w:val="18"/>
          <w:color w:val="auto"/>
        </w:rPr>
        <w:t>Common Stock, having a market value of $1,144, and $11.03 in cash for</w:t>
      </w:r>
    </w:p>
    <w:p>
      <w:pPr>
        <w:spacing w:after="0" w:line="237" w:lineRule="auto"/>
        <w:rPr>
          <w:sz w:val="20"/>
          <w:szCs w:val="20"/>
          <w:color w:val="auto"/>
        </w:rPr>
      </w:pPr>
      <w:r>
        <w:rPr>
          <w:rFonts w:ascii="Courier New" w:cs="Courier New" w:eastAsia="Courier New" w:hAnsi="Courier New"/>
          <w:sz w:val="18"/>
          <w:szCs w:val="18"/>
          <w:color w:val="auto"/>
        </w:rPr>
        <w:t>the fractional share.</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Casual Male Retail Group, Inc., the largest retailer of big and tall men's apparel with retail operations throughout the United States, Canada and London, England, operates 484 Casual Male XL stores, the Casual Male e-commerce site, Casual Male catalog business, 12 Casual Male at Sears-Canada stores, 25 Rochester Big &amp; Tall stores and a direct-to-consumer business. The Company is headquartered in Canton, Massachusetts, and its common stock is listed on the NASDAQ Global Market under the symbol "CMRG."</w:t>
      </w:r>
    </w:p>
    <w:p>
      <w:pPr>
        <w:spacing w:after="0" w:line="10"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8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2019-12-19T22:00:34Z</dcterms:created>
  <dcterms:modified xsi:type="dcterms:W3CDTF">2019-12-19T22:00:34Z</dcterms:modified>
</cp:coreProperties>
</file>