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144780</wp:posOffset>
            </wp:positionH>
            <wp:positionV relativeFrom="page">
              <wp:posOffset>151765</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186055</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183515</wp:posOffset>
            </wp:positionV>
            <wp:extent cx="15240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200660</wp:posOffset>
            </wp:positionV>
            <wp:extent cx="15240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Date of Report (Date of earliest event reported):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203835</wp:posOffset>
            </wp:positionV>
            <wp:extent cx="15240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9"/>
        <w:spacing w:after="0"/>
        <w:rPr>
          <w:sz w:val="20"/>
          <w:szCs w:val="20"/>
          <w:color w:val="auto"/>
        </w:rPr>
      </w:pPr>
      <w:r>
        <w:rPr>
          <w:rFonts w:ascii="Arial" w:cs="Arial" w:eastAsia="Arial" w:hAnsi="Arial"/>
          <w:sz w:val="35"/>
          <w:szCs w:val="35"/>
          <w:b w:val="1"/>
          <w:bCs w:val="1"/>
          <w:color w:val="auto"/>
        </w:rPr>
        <w:t>DESTINATION XL GROUP, INC.</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188595</wp:posOffset>
            </wp:positionV>
            <wp:extent cx="15240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ectPr>
          <w:pgSz w:w="11900" w:h="16838" w:orient="portrait"/>
          <w:cols w:equalWidth="0" w:num="1">
            <w:col w:w="11260"/>
          </w:cols>
          <w:pgMar w:left="220" w:top="324" w:right="41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420"/>
        <w:spacing w:after="0"/>
        <w:rPr>
          <w:sz w:val="20"/>
          <w:szCs w:val="20"/>
          <w:color w:val="auto"/>
        </w:rPr>
      </w:pPr>
      <w:r>
        <w:rPr>
          <w:rFonts w:ascii="Arial" w:cs="Arial" w:eastAsia="Arial" w:hAnsi="Arial"/>
          <w:sz w:val="13"/>
          <w:szCs w:val="13"/>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29" w:lineRule="exact"/>
        <w:rPr>
          <w:sz w:val="24"/>
          <w:szCs w:val="24"/>
          <w:color w:val="auto"/>
        </w:rPr>
      </w:pPr>
    </w:p>
    <w:p>
      <w:pPr>
        <w:sectPr>
          <w:pgSz w:w="11900" w:h="16838" w:orient="portrait"/>
          <w:cols w:equalWidth="0" w:num="3">
            <w:col w:w="4860" w:space="720"/>
            <w:col w:w="2980" w:space="720"/>
            <w:col w:w="1980"/>
          </w:cols>
          <w:pgMar w:left="220" w:top="324" w:right="419" w:bottom="1440" w:gutter="0" w:footer="0" w:header="0"/>
          <w:type w:val="continuous"/>
        </w:sectPr>
      </w:pPr>
    </w:p>
    <w:p>
      <w:pPr>
        <w:spacing w:after="0" w:line="12" w:lineRule="exact"/>
        <w:rPr>
          <w:sz w:val="24"/>
          <w:szCs w:val="24"/>
          <w:color w:val="auto"/>
        </w:rPr>
      </w:pPr>
    </w:p>
    <w:p>
      <w:pPr>
        <w:jc w:val="center"/>
        <w:ind w:right="900"/>
        <w:spacing w:after="0"/>
        <w:rPr>
          <w:sz w:val="20"/>
          <w:szCs w:val="20"/>
          <w:color w:val="auto"/>
        </w:rPr>
      </w:pPr>
      <w:r>
        <w:rPr>
          <w:rFonts w:ascii="Arial" w:cs="Arial" w:eastAsia="Arial" w:hAnsi="Arial"/>
          <w:sz w:val="9"/>
          <w:szCs w:val="9"/>
          <w:b w:val="1"/>
          <w:bCs w:val="1"/>
          <w:color w:val="auto"/>
        </w:rPr>
        <w:t>(State or Other Jurisdiction</w:t>
      </w:r>
    </w:p>
    <w:p>
      <w:pPr>
        <w:spacing w:after="0" w:line="11" w:lineRule="exact"/>
        <w:rPr>
          <w:sz w:val="24"/>
          <w:szCs w:val="24"/>
          <w:color w:val="auto"/>
        </w:rPr>
      </w:pPr>
    </w:p>
    <w:p>
      <w:pPr>
        <w:jc w:val="center"/>
        <w:ind w:right="90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(I.R.S. Employer</w:t>
      </w:r>
    </w:p>
    <w:p>
      <w:pPr>
        <w:spacing w:after="0"/>
        <w:rPr>
          <w:sz w:val="20"/>
          <w:szCs w:val="20"/>
          <w:color w:val="auto"/>
        </w:rPr>
      </w:pPr>
      <w:r>
        <w:rPr>
          <w:rFonts w:ascii="Arial" w:cs="Arial" w:eastAsia="Arial" w:hAnsi="Arial"/>
          <w:sz w:val="9"/>
          <w:szCs w:val="9"/>
          <w:b w:val="1"/>
          <w:bCs w:val="1"/>
          <w:color w:val="auto"/>
        </w:rPr>
        <w:t>Identification No.)</w:t>
      </w:r>
    </w:p>
    <w:p>
      <w:pPr>
        <w:spacing w:after="0" w:line="205" w:lineRule="exact"/>
        <w:rPr>
          <w:sz w:val="24"/>
          <w:szCs w:val="24"/>
          <w:color w:val="auto"/>
        </w:rPr>
      </w:pPr>
    </w:p>
    <w:p>
      <w:pPr>
        <w:sectPr>
          <w:pgSz w:w="11900" w:h="16838" w:orient="portrait"/>
          <w:cols w:equalWidth="0" w:num="3">
            <w:col w:w="4800" w:space="720"/>
            <w:col w:w="2940" w:space="720"/>
            <w:col w:w="2080"/>
          </w:cols>
          <w:pgMar w:left="220" w:top="324" w:right="419" w:bottom="1440" w:gutter="0" w:footer="0" w:header="0"/>
          <w:type w:val="continuous"/>
        </w:sectPr>
      </w:pPr>
    </w:p>
    <w:p>
      <w:pPr>
        <w:ind w:left="1500"/>
        <w:spacing w:after="0"/>
        <w:rPr>
          <w:sz w:val="20"/>
          <w:szCs w:val="20"/>
          <w:color w:val="auto"/>
        </w:rPr>
      </w:pPr>
      <w:r>
        <w:rPr>
          <w:rFonts w:ascii="Arial" w:cs="Arial" w:eastAsia="Arial" w:hAnsi="Arial"/>
          <w:sz w:val="13"/>
          <w:szCs w:val="13"/>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02021</w:t>
      </w:r>
    </w:p>
    <w:p>
      <w:pPr>
        <w:spacing w:after="0" w:line="64" w:lineRule="exact"/>
        <w:rPr>
          <w:sz w:val="24"/>
          <w:szCs w:val="24"/>
          <w:color w:val="auto"/>
        </w:rPr>
      </w:pPr>
    </w:p>
    <w:p>
      <w:pPr>
        <w:sectPr>
          <w:pgSz w:w="11900" w:h="16838" w:orient="portrait"/>
          <w:cols w:equalWidth="0" w:num="2">
            <w:col w:w="7760" w:space="720"/>
            <w:col w:w="2780"/>
          </w:cols>
          <w:pgMar w:left="220" w:top="324" w:right="419" w:bottom="1440" w:gutter="0" w:footer="0" w:header="0"/>
          <w:type w:val="continuous"/>
        </w:sectPr>
      </w:pPr>
    </w:p>
    <w:p>
      <w:pPr>
        <w:ind w:left="188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78" w:lineRule="exact"/>
        <w:rPr>
          <w:sz w:val="24"/>
          <w:szCs w:val="24"/>
          <w:color w:val="auto"/>
        </w:rPr>
      </w:pPr>
    </w:p>
    <w:p>
      <w:pPr>
        <w:sectPr>
          <w:pgSz w:w="11900" w:h="16838" w:orient="portrait"/>
          <w:cols w:equalWidth="0" w:num="2">
            <w:col w:w="7660" w:space="720"/>
            <w:col w:w="2880"/>
          </w:cols>
          <w:pgMar w:left="220" w:top="324" w:right="419" w:bottom="1440" w:gutter="0" w:footer="0" w:header="0"/>
          <w:type w:val="continuous"/>
        </w:sectPr>
      </w:pPr>
    </w:p>
    <w:p>
      <w:pPr>
        <w:jc w:val="center"/>
        <w:ind w:right="-219"/>
        <w:spacing w:after="0"/>
        <w:rPr>
          <w:sz w:val="20"/>
          <w:szCs w:val="20"/>
          <w:color w:val="auto"/>
        </w:rPr>
      </w:pPr>
      <w:r>
        <w:rPr>
          <w:rFonts w:ascii="Arial" w:cs="Arial" w:eastAsia="Arial" w:hAnsi="Arial"/>
          <w:sz w:val="15"/>
          <w:szCs w:val="15"/>
          <w:b w:val="1"/>
          <w:bCs w:val="1"/>
          <w:color w:val="auto"/>
        </w:rPr>
        <w:t>(781) 828-9300</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201930</wp:posOffset>
            </wp:positionV>
            <wp:extent cx="15240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ectPr>
          <w:pgSz w:w="11900" w:h="16838" w:orient="portrait"/>
          <w:cols w:equalWidth="0" w:num="1">
            <w:col w:w="11260"/>
          </w:cols>
          <w:pgMar w:left="220" w:top="324" w:right="419" w:bottom="1440" w:gutter="0" w:footer="0" w:header="0"/>
          <w:type w:val="continuous"/>
        </w:sectPr>
      </w:pPr>
    </w:p>
    <w:p>
      <w:pPr>
        <w:spacing w:after="0" w:line="200" w:lineRule="exact"/>
        <w:rPr>
          <w:sz w:val="24"/>
          <w:szCs w:val="24"/>
          <w:color w:val="auto"/>
        </w:rPr>
      </w:pPr>
    </w:p>
    <w:p>
      <w:pPr>
        <w:spacing w:after="0" w:line="294" w:lineRule="exact"/>
        <w:rPr>
          <w:sz w:val="24"/>
          <w:szCs w:val="24"/>
          <w:color w:val="auto"/>
        </w:rPr>
      </w:pPr>
    </w:p>
    <w:p>
      <w:pPr>
        <w:spacing w:after="0" w:line="263"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7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01" w:lineRule="exact"/>
        <w:rPr>
          <w:rFonts w:ascii="MS PGothic" w:cs="MS PGothic" w:eastAsia="MS PGothic" w:hAnsi="MS PGothic"/>
          <w:sz w:val="15"/>
          <w:szCs w:val="15"/>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01" w:lineRule="exact"/>
        <w:rPr>
          <w:rFonts w:ascii="MS PGothic" w:cs="MS PGothic" w:eastAsia="MS PGothic" w:hAnsi="MS PGothic"/>
          <w:sz w:val="15"/>
          <w:szCs w:val="15"/>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01" w:lineRule="exact"/>
        <w:rPr>
          <w:rFonts w:ascii="MS PGothic" w:cs="MS PGothic" w:eastAsia="MS PGothic" w:hAnsi="MS PGothic"/>
          <w:sz w:val="15"/>
          <w:szCs w:val="15"/>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2726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ectPr>
          <w:pgSz w:w="11900" w:h="16838" w:orient="portrait"/>
          <w:cols w:equalWidth="0" w:num="1">
            <w:col w:w="11260"/>
          </w:cols>
          <w:pgMar w:left="220" w:top="324" w:right="41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-Regulation FD Disclosure</w:t>
      </w:r>
    </w:p>
    <w:p>
      <w:pPr>
        <w:spacing w:after="0" w:line="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 conferences beginning September 9, 2014. A copy of the slides is attached to this report as Exhibit 99.1 and is incorporated by reference herein.</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One of the slides includes financial information not prepared in accordance with generally accepted accounting principles (“Non-GAAP Financial Measures”). The Company believes that the non-GAAP measures are useful as an additional means for investors to evaluate the Company’s operating results, when reviewed in conjunction with the Company’s GAAP financial statements. A reconciliation of the Non-GAAP Financial Measures to financial information prepared in accordance with generally accepted accounting principles (“GAAP”), as required by Regulation G, is included as Appendix A to the investor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full slide presentation is available on the investor relations page of the Company’s website at </w:t>
      </w:r>
      <w:r>
        <w:rPr>
          <w:rFonts w:ascii="Arial" w:cs="Arial" w:eastAsia="Arial" w:hAnsi="Arial"/>
          <w:sz w:val="15"/>
          <w:szCs w:val="15"/>
          <w:u w:val="single" w:color="auto"/>
          <w:color w:val="auto"/>
        </w:rPr>
        <w:t>www.destinationxl.com</w:t>
      </w:r>
      <w:r>
        <w:rPr>
          <w:rFonts w:ascii="Arial" w:cs="Arial" w:eastAsia="Arial" w:hAnsi="Arial"/>
          <w:sz w:val="15"/>
          <w:szCs w:val="15"/>
          <w:color w:val="auto"/>
        </w:rPr>
        <w:t>.</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The slides contained in the exhibit include statements intended as “forward-looking statements,” which are subject to the cautionary statement about forward-looking statements set forth in the exhibit. The additional slides are being furnished, not filed, pursuant to Regulation FD. Accordingly, the slides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278"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0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Exhibit</w:t>
      </w:r>
    </w:p>
    <w:p>
      <w:pPr>
        <w:ind w:left="100"/>
        <w:spacing w:after="0" w:line="181" w:lineRule="auto"/>
        <w:tabs>
          <w:tab w:leader="none" w:pos="900" w:val="left"/>
        </w:tabs>
        <w:rPr>
          <w:sz w:val="20"/>
          <w:szCs w:val="20"/>
          <w:color w:val="auto"/>
        </w:rPr>
      </w:pPr>
      <w:r>
        <w:rPr>
          <w:rFonts w:ascii="Arial" w:cs="Arial" w:eastAsia="Arial" w:hAnsi="Arial"/>
          <w:sz w:val="17"/>
          <w:szCs w:val="17"/>
          <w:color w:val="auto"/>
          <w:vertAlign w:val="superscript"/>
        </w:rPr>
        <w:t>No.</w:t>
      </w:r>
      <w:r>
        <w:rPr>
          <w:sz w:val="20"/>
          <w:szCs w:val="20"/>
          <w:color w:val="auto"/>
        </w:rPr>
        <w:tab/>
      </w:r>
      <w:r>
        <w:rPr>
          <w:rFonts w:ascii="Arial" w:cs="Arial" w:eastAsia="Arial" w:hAnsi="Arial"/>
          <w:sz w:val="9"/>
          <w:szCs w:val="9"/>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228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6985"/>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1"/>
          <w:szCs w:val="11"/>
          <w:color w:val="auto"/>
        </w:rPr>
        <w:t>Investor Presentation dated September 2014.</w:t>
      </w:r>
    </w:p>
    <w:p>
      <w:pPr>
        <w:sectPr>
          <w:pgSz w:w="11900" w:h="16838" w:orient="portrait"/>
          <w:cols w:equalWidth="0" w:num="1">
            <w:col w:w="11440"/>
          </w:cols>
          <w:pgMar w:left="220" w:top="24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SIGNATURE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7740" w:type="dxa"/>
            <w:vAlign w:val="bottom"/>
            <w:gridSpan w:val="2"/>
          </w:tcPr>
          <w:p>
            <w:pPr>
              <w:ind w:left="2260"/>
              <w:spacing w:after="0"/>
              <w:rPr>
                <w:sz w:val="20"/>
                <w:szCs w:val="20"/>
                <w:color w:val="auto"/>
              </w:rPr>
            </w:pPr>
            <w:r>
              <w:rPr>
                <w:rFonts w:ascii="Arial" w:cs="Arial" w:eastAsia="Arial" w:hAnsi="Arial"/>
                <w:sz w:val="15"/>
                <w:szCs w:val="15"/>
                <w:color w:val="auto"/>
              </w:rPr>
              <w:t>DESTINATION XL GROUP, INC.</w:t>
            </w:r>
          </w:p>
        </w:tc>
      </w:tr>
      <w:tr>
        <w:trPr>
          <w:trHeight w:val="318"/>
        </w:trPr>
        <w:tc>
          <w:tcPr>
            <w:tcW w:w="3720" w:type="dxa"/>
            <w:vAlign w:val="bottom"/>
          </w:tcPr>
          <w:p>
            <w:pPr>
              <w:spacing w:after="0"/>
              <w:rPr>
                <w:sz w:val="20"/>
                <w:szCs w:val="20"/>
                <w:color w:val="auto"/>
              </w:rPr>
            </w:pPr>
            <w:r>
              <w:rPr>
                <w:rFonts w:ascii="Arial" w:cs="Arial" w:eastAsia="Arial" w:hAnsi="Arial"/>
                <w:sz w:val="15"/>
                <w:szCs w:val="15"/>
                <w:color w:val="auto"/>
              </w:rPr>
              <w:t>Date: September 9, 2014</w:t>
            </w:r>
          </w:p>
        </w:tc>
        <w:tc>
          <w:tcPr>
            <w:tcW w:w="2820" w:type="dxa"/>
            <w:vAlign w:val="bottom"/>
          </w:tcPr>
          <w:p>
            <w:pPr>
              <w:ind w:left="2260"/>
              <w:spacing w:after="0"/>
              <w:rPr>
                <w:sz w:val="20"/>
                <w:szCs w:val="20"/>
                <w:color w:val="auto"/>
              </w:rPr>
            </w:pPr>
            <w:r>
              <w:rPr>
                <w:rFonts w:ascii="Arial" w:cs="Arial" w:eastAsia="Arial" w:hAnsi="Arial"/>
                <w:sz w:val="15"/>
                <w:szCs w:val="15"/>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S. Molloy</w:t>
            </w:r>
          </w:p>
        </w:tc>
      </w:tr>
      <w:tr>
        <w:trPr>
          <w:trHeight w:val="167"/>
        </w:trPr>
        <w:tc>
          <w:tcPr>
            <w:tcW w:w="3720" w:type="dxa"/>
            <w:vAlign w:val="bottom"/>
          </w:tcPr>
          <w:p>
            <w:pPr>
              <w:spacing w:after="0"/>
              <w:rPr>
                <w:sz w:val="14"/>
                <w:szCs w:val="14"/>
                <w:color w:val="auto"/>
              </w:rPr>
            </w:pPr>
          </w:p>
        </w:tc>
        <w:tc>
          <w:tcPr>
            <w:tcW w:w="2820" w:type="dxa"/>
            <w:vAlign w:val="bottom"/>
          </w:tcPr>
          <w:p>
            <w:pPr>
              <w:ind w:left="2260"/>
              <w:spacing w:after="0" w:line="167" w:lineRule="exact"/>
              <w:rPr>
                <w:sz w:val="20"/>
                <w:szCs w:val="20"/>
                <w:color w:val="auto"/>
              </w:rPr>
            </w:pPr>
            <w:r>
              <w:rPr>
                <w:rFonts w:ascii="Arial" w:cs="Arial" w:eastAsia="Arial" w:hAnsi="Arial"/>
                <w:sz w:val="15"/>
                <w:szCs w:val="15"/>
                <w:color w:val="auto"/>
              </w:rPr>
              <w:t>Name:</w:t>
            </w:r>
          </w:p>
        </w:tc>
        <w:tc>
          <w:tcPr>
            <w:tcW w:w="4920" w:type="dxa"/>
            <w:vAlign w:val="bottom"/>
          </w:tcPr>
          <w:p>
            <w:pPr>
              <w:spacing w:after="0" w:line="167" w:lineRule="exact"/>
              <w:rPr>
                <w:sz w:val="20"/>
                <w:szCs w:val="20"/>
                <w:color w:val="auto"/>
              </w:rPr>
            </w:pPr>
            <w:r>
              <w:rPr>
                <w:rFonts w:ascii="Arial" w:cs="Arial" w:eastAsia="Arial" w:hAnsi="Arial"/>
                <w:sz w:val="15"/>
                <w:szCs w:val="15"/>
                <w:color w:val="auto"/>
              </w:rPr>
              <w:t>Robert S. Molloy</w:t>
            </w:r>
          </w:p>
        </w:tc>
      </w:tr>
      <w:tr>
        <w:trPr>
          <w:trHeight w:val="175"/>
        </w:trPr>
        <w:tc>
          <w:tcPr>
            <w:tcW w:w="3720" w:type="dxa"/>
            <w:vAlign w:val="bottom"/>
          </w:tcPr>
          <w:p>
            <w:pPr>
              <w:spacing w:after="0"/>
              <w:rPr>
                <w:sz w:val="15"/>
                <w:szCs w:val="15"/>
                <w:color w:val="auto"/>
              </w:rPr>
            </w:pPr>
          </w:p>
        </w:tc>
        <w:tc>
          <w:tcPr>
            <w:tcW w:w="2820" w:type="dxa"/>
            <w:vAlign w:val="bottom"/>
          </w:tcPr>
          <w:p>
            <w:pPr>
              <w:ind w:left="2260"/>
              <w:spacing w:after="0"/>
              <w:rPr>
                <w:sz w:val="20"/>
                <w:szCs w:val="20"/>
                <w:color w:val="auto"/>
              </w:rPr>
            </w:pPr>
            <w:r>
              <w:rPr>
                <w:rFonts w:ascii="Arial" w:cs="Arial" w:eastAsia="Arial" w:hAnsi="Arial"/>
                <w:sz w:val="15"/>
                <w:szCs w:val="15"/>
                <w:color w:val="auto"/>
              </w:rPr>
              <w:t>Title:</w:t>
            </w:r>
          </w:p>
        </w:tc>
        <w:tc>
          <w:tcPr>
            <w:tcW w:w="4920" w:type="dxa"/>
            <w:vAlign w:val="bottom"/>
          </w:tcPr>
          <w:p>
            <w:pPr>
              <w:spacing w:after="0"/>
              <w:rPr>
                <w:sz w:val="20"/>
                <w:szCs w:val="20"/>
                <w:color w:val="auto"/>
              </w:rPr>
            </w:pPr>
            <w:r>
              <w:rPr>
                <w:rFonts w:ascii="Arial" w:cs="Arial" w:eastAsia="Arial" w:hAnsi="Arial"/>
                <w:sz w:val="15"/>
                <w:szCs w:val="15"/>
                <w:color w:val="auto"/>
              </w:rPr>
              <w:t>Senior Vice President, General Counsel</w:t>
            </w:r>
          </w:p>
        </w:tc>
      </w:tr>
      <w:tr>
        <w:trPr>
          <w:trHeight w:val="186"/>
        </w:trPr>
        <w:tc>
          <w:tcPr>
            <w:tcW w:w="3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5"/>
                <w:szCs w:val="15"/>
                <w:color w:val="auto"/>
              </w:rPr>
              <w:t>and Secretary</w:t>
            </w:r>
          </w:p>
        </w:tc>
      </w:tr>
    </w:tbl>
    <w:p>
      <w:pPr>
        <w:sectPr>
          <w:pgSz w:w="11900" w:h="16838" w:orient="portrait"/>
          <w:cols w:equalWidth="0" w:num="1">
            <w:col w:w="11460"/>
          </w:cols>
          <w:pgMar w:left="220" w:top="245"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213995</wp:posOffset>
            </wp:positionH>
            <wp:positionV relativeFrom="page">
              <wp:posOffset>158750</wp:posOffset>
            </wp:positionV>
            <wp:extent cx="6687820" cy="5017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87820" cy="501777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35"/>
          <w:szCs w:val="35"/>
          <w:color w:val="FFFFFF"/>
        </w:rPr>
        <w:t>September 2014</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35"/>
          <w:szCs w:val="35"/>
          <w:color w:val="FFFFFF"/>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color w:val="FFFFFF"/>
        </w:rPr>
        <w:t>Destination XL Group, Inc.</w:t>
      </w:r>
    </w:p>
    <w:p>
      <w:pPr>
        <w:sectPr>
          <w:pgSz w:w="11900" w:h="16838" w:orient="portrait"/>
          <w:cols w:equalWidth="0" w:num="1">
            <w:col w:w="10320"/>
          </w:cols>
          <w:pgMar w:left="460" w:top="288" w:right="1119" w:bottom="1440" w:gutter="0" w:footer="0" w:header="0"/>
        </w:sectPr>
      </w:pPr>
    </w:p>
    <w:bookmarkStart w:id="4" w:name="page5"/>
    <w:bookmarkEnd w:id="4"/>
    <w:p>
      <w:pPr>
        <w:spacing w:after="0"/>
        <w:rPr>
          <w:sz w:val="20"/>
          <w:szCs w:val="20"/>
          <w:color w:val="auto"/>
        </w:rPr>
      </w:pPr>
      <w:r>
        <w:rPr>
          <w:rFonts w:ascii="Arial" w:cs="Arial" w:eastAsia="Arial" w:hAnsi="Arial"/>
          <w:sz w:val="30"/>
          <w:szCs w:val="30"/>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FORWARD LOOKING STATEMENTS AND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127000</wp:posOffset>
            </wp:positionV>
            <wp:extent cx="6200775" cy="418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354047"/>
        </w:rPr>
        <w:t>Forward Looking Statements:</w:t>
      </w:r>
    </w:p>
    <w:p>
      <w:pPr>
        <w:spacing w:after="0" w:line="55" w:lineRule="exact"/>
        <w:rPr>
          <w:sz w:val="20"/>
          <w:szCs w:val="20"/>
          <w:color w:val="auto"/>
        </w:rPr>
      </w:pPr>
    </w:p>
    <w:p>
      <w:pPr>
        <w:ind w:left="220" w:right="99" w:firstLine="11"/>
        <w:spacing w:after="0" w:line="253" w:lineRule="auto"/>
        <w:rPr>
          <w:sz w:val="20"/>
          <w:szCs w:val="20"/>
          <w:color w:val="auto"/>
        </w:rPr>
      </w:pPr>
      <w:r>
        <w:rPr>
          <w:rFonts w:ascii="Arial" w:cs="Arial" w:eastAsia="Arial" w:hAnsi="Arial"/>
          <w:sz w:val="16"/>
          <w:szCs w:val="16"/>
          <w:color w:val="354047"/>
        </w:rPr>
        <w:t>Certain information contained in this presentation, including, but not limited to, future store projections of sales per square foot, gross margin, occupancy and selling, general administrative expenses as well four-wall cash flow,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 Such risks and uncertainties may include, but are not limited to: the failure to implement the Company's business plan for increased profitability and growth in the Company's retail stores sales and direct-to-consumer business, the failure to achieve improvement in the Company's competitive position, changes in or miscalculation of fashion trends, extreme or unseasonable weather conditions, economic downturns, a weakness in overall consumer demand, trade and security restrictions and political or financial instability in countries where goods are manufactured, increases in raw material costs from inflation and other factors, the interruption of merchandise flow from the Company's distributionfacility, competitive pressures, and the adverse effects of natural disasters, war, acts of terrorism or threats of either, or other armed conflict, on the United States and international economies. These, and other risks and uncertainties, are detailed in the Company's Annual Report on Form 10-K filed with the Securities and Exchange Commission for the fiscal year ended February 1, 2014 filed on March 17, 2014 and other Company filings with the Securities and Exchange Commission. The Company assumes no duty to update or revise its forward-looking statements even if experience or future changes make it clear that any projected results expressed or implied therein will not be realized.</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6"/>
          <w:szCs w:val="16"/>
          <w:color w:val="354047"/>
        </w:rPr>
        <w:t>Non-GAAP Measures:</w:t>
      </w:r>
    </w:p>
    <w:p>
      <w:pPr>
        <w:spacing w:after="0" w:line="46" w:lineRule="exact"/>
        <w:rPr>
          <w:sz w:val="20"/>
          <w:szCs w:val="20"/>
          <w:color w:val="auto"/>
        </w:rPr>
      </w:pPr>
    </w:p>
    <w:p>
      <w:pPr>
        <w:ind w:left="220" w:right="379" w:firstLine="11"/>
        <w:spacing w:after="0" w:line="257" w:lineRule="auto"/>
        <w:rPr>
          <w:sz w:val="20"/>
          <w:szCs w:val="20"/>
          <w:color w:val="auto"/>
        </w:rPr>
      </w:pPr>
      <w:r>
        <w:rPr>
          <w:rFonts w:ascii="Arial" w:cs="Arial" w:eastAsia="Arial" w:hAnsi="Arial"/>
          <w:sz w:val="16"/>
          <w:szCs w:val="16"/>
          <w:color w:val="354047"/>
        </w:rPr>
        <w:t>Adjusted Net Loss, Adjusted Net Loss Per Diluted Share, EBITDA, Adjusted EBITDA, EBITDA Margin and Adjusted EBITDA Margin are non-GAAP measures. The Company believes that these non-GAAP measures are useful as additional means for investors to evaluate the Company's operating results, when reviewed in conjunction with the Company's GAAP financial statements. Please see Appendix A for additional information concerning these non-GAAP measures and a reconciliation to their respective GAAP measures.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8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00" w:type="dxa"/>
            <w:vAlign w:val="bottom"/>
          </w:tcPr>
          <w:p>
            <w:pPr>
              <w:jc w:val="right"/>
              <w:spacing w:after="0"/>
              <w:rPr>
                <w:sz w:val="20"/>
                <w:szCs w:val="20"/>
                <w:color w:val="auto"/>
              </w:rPr>
            </w:pPr>
            <w:r>
              <w:rPr>
                <w:rFonts w:ascii="Arial" w:cs="Arial" w:eastAsia="Arial" w:hAnsi="Arial"/>
                <w:sz w:val="18"/>
                <w:szCs w:val="18"/>
                <w:color w:val="8CA1A5"/>
              </w:rPr>
              <w:t>2</w:t>
            </w:r>
          </w:p>
        </w:tc>
      </w:tr>
    </w:tbl>
    <w:p>
      <w:pPr>
        <w:sectPr>
          <w:pgSz w:w="11900" w:h="16838" w:orient="portrait"/>
          <w:cols w:equalWidth="0" w:num="1">
            <w:col w:w="9639"/>
          </w:cols>
          <w:pgMar w:left="820" w:top="285" w:right="1440" w:bottom="1440" w:gutter="0" w:footer="0" w:header="0"/>
        </w:sectPr>
      </w:pPr>
    </w:p>
    <w:bookmarkStart w:id="5" w:name="page6"/>
    <w:bookmarkEnd w:id="5"/>
    <w:p>
      <w:pPr>
        <w:spacing w:after="0"/>
        <w:rPr>
          <w:sz w:val="20"/>
          <w:szCs w:val="20"/>
          <w:color w:val="auto"/>
        </w:rPr>
      </w:pPr>
      <w:r>
        <w:rPr>
          <w:rFonts w:ascii="Arial" w:cs="Arial" w:eastAsia="Arial" w:hAnsi="Arial"/>
          <w:sz w:val="40"/>
          <w:szCs w:val="40"/>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LARGEST MEN’S B&amp;T SPECIALTY RETAILER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90805</wp:posOffset>
            </wp:positionV>
            <wp:extent cx="6638925" cy="4189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8925" cy="4189730"/>
                    </a:xfrm>
                    <a:prstGeom prst="rect">
                      <a:avLst/>
                    </a:prstGeom>
                    <a:noFill/>
                  </pic:spPr>
                </pic:pic>
              </a:graphicData>
            </a:graphic>
          </wp:anchor>
        </w:drawing>
      </w:r>
    </w:p>
    <w:p>
      <w:pPr>
        <w:sectPr>
          <w:pgSz w:w="11900" w:h="16838" w:orient="portrait"/>
          <w:cols w:equalWidth="0" w:num="1">
            <w:col w:w="9559"/>
          </w:cols>
          <w:pgMar w:left="900" w:top="2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20"/>
        <w:spacing w:after="0"/>
        <w:rPr>
          <w:sz w:val="20"/>
          <w:szCs w:val="20"/>
          <w:color w:val="auto"/>
        </w:rPr>
      </w:pPr>
      <w:r>
        <w:rPr>
          <w:rFonts w:ascii="Arial" w:cs="Arial" w:eastAsia="Arial" w:hAnsi="Arial"/>
          <w:sz w:val="41"/>
          <w:szCs w:val="41"/>
          <w:b w:val="1"/>
          <w:bCs w:val="1"/>
          <w:color w:val="417C27"/>
        </w:rPr>
        <w:t>354</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23"/>
          <w:szCs w:val="23"/>
          <w:color w:val="354047"/>
        </w:rPr>
        <w:t>Total stores</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40"/>
          <w:szCs w:val="40"/>
          <w:b w:val="1"/>
          <w:bCs w:val="1"/>
          <w:color w:val="417C27"/>
        </w:rPr>
        <w:t>80% - 85%</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23"/>
          <w:szCs w:val="23"/>
          <w:color w:val="354047"/>
        </w:rPr>
        <w:t>Retail sales</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40"/>
          <w:szCs w:val="40"/>
          <w:b w:val="1"/>
          <w:bCs w:val="1"/>
          <w:color w:val="417C27"/>
        </w:rPr>
        <w:t>15% - 20%</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3"/>
          <w:szCs w:val="23"/>
          <w:color w:val="354047"/>
        </w:rPr>
        <w:t>Direct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0"/>
        <w:spacing w:after="0"/>
        <w:rPr>
          <w:sz w:val="20"/>
          <w:szCs w:val="20"/>
          <w:color w:val="auto"/>
        </w:rPr>
      </w:pPr>
      <w:r>
        <w:rPr>
          <w:rFonts w:ascii="Arial" w:cs="Arial" w:eastAsia="Arial" w:hAnsi="Arial"/>
          <w:sz w:val="41"/>
          <w:szCs w:val="41"/>
          <w:b w:val="1"/>
          <w:bCs w:val="1"/>
          <w:color w:val="417C27"/>
        </w:rPr>
        <w:t>40 million</w:t>
      </w:r>
    </w:p>
    <w:p>
      <w:pPr>
        <w:spacing w:after="0" w:line="77" w:lineRule="exact"/>
        <w:rPr>
          <w:sz w:val="20"/>
          <w:szCs w:val="20"/>
          <w:color w:val="auto"/>
        </w:rPr>
      </w:pPr>
    </w:p>
    <w:p>
      <w:pPr>
        <w:jc w:val="center"/>
        <w:ind w:right="620"/>
        <w:spacing w:after="0"/>
        <w:rPr>
          <w:sz w:val="20"/>
          <w:szCs w:val="20"/>
          <w:color w:val="auto"/>
        </w:rPr>
      </w:pPr>
      <w:r>
        <w:rPr>
          <w:rFonts w:ascii="Arial" w:cs="Arial" w:eastAsia="Arial" w:hAnsi="Arial"/>
          <w:sz w:val="23"/>
          <w:szCs w:val="23"/>
          <w:color w:val="354047"/>
        </w:rPr>
        <w:t>Addressable market</w:t>
      </w:r>
    </w:p>
    <w:p>
      <w:pPr>
        <w:spacing w:after="0" w:line="305" w:lineRule="exact"/>
        <w:rPr>
          <w:sz w:val="20"/>
          <w:szCs w:val="20"/>
          <w:color w:val="auto"/>
        </w:rPr>
      </w:pPr>
    </w:p>
    <w:p>
      <w:pPr>
        <w:jc w:val="center"/>
        <w:ind w:right="620"/>
        <w:spacing w:after="0"/>
        <w:rPr>
          <w:sz w:val="20"/>
          <w:szCs w:val="20"/>
          <w:color w:val="auto"/>
        </w:rPr>
      </w:pPr>
      <w:r>
        <w:rPr>
          <w:rFonts w:ascii="Arial" w:cs="Arial" w:eastAsia="Arial" w:hAnsi="Arial"/>
          <w:sz w:val="41"/>
          <w:szCs w:val="41"/>
          <w:b w:val="1"/>
          <w:bCs w:val="1"/>
          <w:color w:val="417C27"/>
        </w:rPr>
        <w:t>1.4 million</w:t>
      </w:r>
    </w:p>
    <w:p>
      <w:pPr>
        <w:spacing w:after="0" w:line="88" w:lineRule="exact"/>
        <w:rPr>
          <w:sz w:val="20"/>
          <w:szCs w:val="20"/>
          <w:color w:val="auto"/>
        </w:rPr>
      </w:pPr>
    </w:p>
    <w:p>
      <w:pPr>
        <w:jc w:val="center"/>
        <w:ind w:right="640"/>
        <w:spacing w:after="0"/>
        <w:rPr>
          <w:sz w:val="20"/>
          <w:szCs w:val="20"/>
          <w:color w:val="auto"/>
        </w:rPr>
      </w:pPr>
      <w:r>
        <w:rPr>
          <w:rFonts w:ascii="Arial" w:cs="Arial" w:eastAsia="Arial" w:hAnsi="Arial"/>
          <w:sz w:val="23"/>
          <w:szCs w:val="23"/>
          <w:color w:val="354047"/>
        </w:rPr>
        <w:t>Active customers</w:t>
      </w:r>
    </w:p>
    <w:p>
      <w:pPr>
        <w:spacing w:after="0" w:line="228" w:lineRule="exact"/>
        <w:rPr>
          <w:sz w:val="20"/>
          <w:szCs w:val="20"/>
          <w:color w:val="auto"/>
        </w:rPr>
      </w:pPr>
    </w:p>
    <w:p>
      <w:pPr>
        <w:jc w:val="center"/>
        <w:ind w:right="600"/>
        <w:spacing w:after="0"/>
        <w:rPr>
          <w:sz w:val="20"/>
          <w:szCs w:val="20"/>
          <w:color w:val="auto"/>
        </w:rPr>
      </w:pPr>
      <w:r>
        <w:rPr>
          <w:rFonts w:ascii="Arial" w:cs="Arial" w:eastAsia="Arial" w:hAnsi="Arial"/>
          <w:sz w:val="41"/>
          <w:szCs w:val="41"/>
          <w:b w:val="1"/>
          <w:bCs w:val="1"/>
          <w:color w:val="417C27"/>
        </w:rPr>
        <w:t>90%</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23"/>
          <w:szCs w:val="23"/>
          <w:color w:val="354047"/>
        </w:rPr>
        <w:t>Enrolled in</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23"/>
          <w:szCs w:val="23"/>
          <w:color w:val="354047"/>
        </w:rPr>
        <w:t>loyalty program</w:t>
      </w:r>
    </w:p>
    <w:p>
      <w:pPr>
        <w:spacing w:after="0" w:line="319"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4D5D67"/>
        </w:rPr>
        <w:t>Destination XL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79"/>
        <w:spacing w:after="0"/>
        <w:rPr>
          <w:sz w:val="20"/>
          <w:szCs w:val="20"/>
          <w:color w:val="auto"/>
        </w:rPr>
      </w:pPr>
      <w:r>
        <w:rPr>
          <w:rFonts w:ascii="Arial" w:cs="Arial" w:eastAsia="Arial" w:hAnsi="Arial"/>
          <w:sz w:val="41"/>
          <w:szCs w:val="41"/>
          <w:b w:val="1"/>
          <w:bCs w:val="1"/>
          <w:color w:val="417C27"/>
        </w:rPr>
        <w:t>15</w:t>
      </w:r>
    </w:p>
    <w:p>
      <w:pPr>
        <w:spacing w:after="0" w:line="88" w:lineRule="exact"/>
        <w:rPr>
          <w:sz w:val="20"/>
          <w:szCs w:val="20"/>
          <w:color w:val="auto"/>
        </w:rPr>
      </w:pPr>
    </w:p>
    <w:p>
      <w:pPr>
        <w:jc w:val="center"/>
        <w:ind w:right="599"/>
        <w:spacing w:after="0"/>
        <w:rPr>
          <w:sz w:val="20"/>
          <w:szCs w:val="20"/>
          <w:color w:val="auto"/>
        </w:rPr>
      </w:pPr>
      <w:r>
        <w:rPr>
          <w:rFonts w:ascii="Arial" w:cs="Arial" w:eastAsia="Arial" w:hAnsi="Arial"/>
          <w:sz w:val="22"/>
          <w:szCs w:val="22"/>
          <w:color w:val="354047"/>
        </w:rPr>
        <w:t>Private label brands</w:t>
      </w:r>
    </w:p>
    <w:p>
      <w:pPr>
        <w:spacing w:after="0" w:line="108" w:lineRule="exact"/>
        <w:rPr>
          <w:sz w:val="20"/>
          <w:szCs w:val="20"/>
          <w:color w:val="auto"/>
        </w:rPr>
      </w:pPr>
    </w:p>
    <w:p>
      <w:pPr>
        <w:jc w:val="center"/>
        <w:ind w:right="579"/>
        <w:spacing w:after="0"/>
        <w:rPr>
          <w:sz w:val="20"/>
          <w:szCs w:val="20"/>
          <w:color w:val="auto"/>
        </w:rPr>
      </w:pPr>
      <w:r>
        <w:rPr>
          <w:rFonts w:ascii="Arial" w:cs="Arial" w:eastAsia="Arial" w:hAnsi="Arial"/>
          <w:sz w:val="41"/>
          <w:szCs w:val="41"/>
          <w:b w:val="1"/>
          <w:bCs w:val="1"/>
          <w:color w:val="417C27"/>
        </w:rPr>
        <w:t>40</w:t>
      </w:r>
    </w:p>
    <w:p>
      <w:pPr>
        <w:spacing w:after="0" w:line="77" w:lineRule="exact"/>
        <w:rPr>
          <w:sz w:val="20"/>
          <w:szCs w:val="20"/>
          <w:color w:val="auto"/>
        </w:rPr>
      </w:pPr>
    </w:p>
    <w:p>
      <w:pPr>
        <w:jc w:val="center"/>
        <w:ind w:right="559"/>
        <w:spacing w:after="0"/>
        <w:rPr>
          <w:sz w:val="20"/>
          <w:szCs w:val="20"/>
          <w:color w:val="auto"/>
        </w:rPr>
      </w:pPr>
      <w:r>
        <w:rPr>
          <w:rFonts w:ascii="Arial" w:cs="Arial" w:eastAsia="Arial" w:hAnsi="Arial"/>
          <w:sz w:val="23"/>
          <w:szCs w:val="23"/>
          <w:color w:val="354047"/>
        </w:rPr>
        <w:t>Name brands</w:t>
      </w:r>
    </w:p>
    <w:p>
      <w:pPr>
        <w:spacing w:after="0" w:line="239" w:lineRule="exact"/>
        <w:rPr>
          <w:sz w:val="20"/>
          <w:szCs w:val="20"/>
          <w:color w:val="auto"/>
        </w:rPr>
      </w:pPr>
    </w:p>
    <w:p>
      <w:pPr>
        <w:jc w:val="center"/>
        <w:ind w:right="579"/>
        <w:spacing w:after="0"/>
        <w:rPr>
          <w:sz w:val="20"/>
          <w:szCs w:val="20"/>
          <w:color w:val="auto"/>
        </w:rPr>
      </w:pPr>
      <w:r>
        <w:rPr>
          <w:rFonts w:ascii="Arial" w:cs="Arial" w:eastAsia="Arial" w:hAnsi="Arial"/>
          <w:sz w:val="41"/>
          <w:szCs w:val="41"/>
          <w:b w:val="1"/>
          <w:bCs w:val="1"/>
          <w:color w:val="417C27"/>
        </w:rPr>
        <w:t>20</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23"/>
          <w:szCs w:val="23"/>
          <w:color w:val="354047"/>
        </w:rPr>
        <w:t>Exclusive brands</w:t>
      </w:r>
    </w:p>
    <w:p>
      <w:pPr>
        <w:spacing w:after="0" w:line="200" w:lineRule="exact"/>
        <w:rPr>
          <w:sz w:val="20"/>
          <w:szCs w:val="20"/>
          <w:color w:val="auto"/>
        </w:rPr>
      </w:pPr>
    </w:p>
    <w:p>
      <w:pPr>
        <w:spacing w:after="0" w:line="31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8CA1A5"/>
        </w:rPr>
        <w:t>3</w:t>
      </w:r>
    </w:p>
    <w:p>
      <w:pPr>
        <w:sectPr>
          <w:pgSz w:w="11900" w:h="16838" w:orient="portrait"/>
          <w:cols w:equalWidth="0" w:num="3">
            <w:col w:w="2820" w:space="720"/>
            <w:col w:w="2680" w:space="720"/>
            <w:col w:w="2619"/>
          </w:cols>
          <w:pgMar w:left="900" w:top="238" w:right="1440"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UNIQUE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55880</wp:posOffset>
            </wp:positionV>
            <wp:extent cx="6527800" cy="4189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7800"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0"/>
          <w:szCs w:val="30"/>
          <w:color w:val="23282B"/>
        </w:rPr>
        <w:t>Not determined by demographic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0"/>
          <w:szCs w:val="30"/>
          <w:color w:val="23282B"/>
        </w:rPr>
        <w:t>Males of all ages with a waist</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size 40” and greater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0"/>
          <w:szCs w:val="30"/>
          <w:color w:val="23282B"/>
        </w:rPr>
        <w:t>Values convenience, comfort,</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selection and fit over price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0"/>
          <w:szCs w:val="30"/>
          <w:color w:val="23282B"/>
        </w:rPr>
        <w:t>Desires a good, better, best</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array of product assortments in</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all primary lifestyles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3820" w:type="dxa"/>
        <w:tblCellMar>
          <w:top w:w="0" w:type="dxa"/>
          <w:left w:w="0" w:type="dxa"/>
          <w:bottom w:w="0" w:type="dxa"/>
          <w:right w:w="0" w:type="dxa"/>
        </w:tblCellMar>
      </w:tblPr>
      <w:tr>
        <w:trPr>
          <w:trHeight w:val="212"/>
        </w:trPr>
        <w:tc>
          <w:tcPr>
            <w:tcW w:w="358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00" w:type="dxa"/>
            <w:vAlign w:val="bottom"/>
          </w:tcPr>
          <w:p>
            <w:pPr>
              <w:jc w:val="right"/>
              <w:spacing w:after="0"/>
              <w:rPr>
                <w:sz w:val="20"/>
                <w:szCs w:val="20"/>
                <w:color w:val="auto"/>
              </w:rPr>
            </w:pPr>
            <w:r>
              <w:rPr>
                <w:rFonts w:ascii="Arial" w:cs="Arial" w:eastAsia="Arial" w:hAnsi="Arial"/>
                <w:sz w:val="18"/>
                <w:szCs w:val="18"/>
                <w:color w:val="8CA1A5"/>
              </w:rPr>
              <w:t>4</w:t>
            </w:r>
          </w:p>
        </w:tc>
      </w:tr>
    </w:tbl>
    <w:p>
      <w:pPr>
        <w:sectPr>
          <w:pgSz w:w="11900" w:h="16838" w:orient="portrait"/>
          <w:cols w:equalWidth="0" w:num="1">
            <w:col w:w="9679"/>
          </w:cols>
          <w:pgMar w:left="780" w:top="238" w:right="1440" w:bottom="1440" w:gutter="0" w:footer="0" w:header="0"/>
        </w:sectPr>
      </w:pPr>
    </w:p>
    <w:bookmarkStart w:id="7" w:name="page8"/>
    <w:bookmarkEnd w:id="7"/>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TRANSFORMING OUR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69850</wp:posOffset>
            </wp:positionV>
            <wp:extent cx="6256655" cy="4189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56655" cy="4189730"/>
                    </a:xfrm>
                    <a:prstGeom prst="rect">
                      <a:avLst/>
                    </a:prstGeom>
                    <a:noFill/>
                  </pic:spPr>
                </pic:pic>
              </a:graphicData>
            </a:graphic>
          </wp:anchor>
        </w:drawing>
      </w:r>
    </w:p>
    <w:p>
      <w:pPr>
        <w:spacing w:after="0" w:line="390" w:lineRule="exact"/>
        <w:rPr>
          <w:sz w:val="20"/>
          <w:szCs w:val="20"/>
          <w:color w:val="auto"/>
        </w:rPr>
      </w:pPr>
    </w:p>
    <w:p>
      <w:pPr>
        <w:jc w:val="center"/>
        <w:ind w:right="459"/>
        <w:spacing w:after="0" w:line="294" w:lineRule="auto"/>
        <w:rPr>
          <w:sz w:val="20"/>
          <w:szCs w:val="20"/>
          <w:color w:val="auto"/>
        </w:rPr>
      </w:pPr>
      <w:r>
        <w:rPr>
          <w:rFonts w:ascii="Arial" w:cs="Arial" w:eastAsia="Arial" w:hAnsi="Arial"/>
          <w:sz w:val="26"/>
          <w:szCs w:val="26"/>
          <w:b w:val="1"/>
          <w:bCs w:val="1"/>
          <w:color w:val="23282B"/>
        </w:rPr>
        <w:t>Began transformation to DXL brand in 2010 to provide customers with a one-stop shopping destination and grow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40"/>
        <w:spacing w:after="0"/>
        <w:rPr>
          <w:sz w:val="20"/>
          <w:szCs w:val="20"/>
          <w:color w:val="auto"/>
        </w:rPr>
      </w:pPr>
      <w:r>
        <w:rPr>
          <w:rFonts w:ascii="Arial" w:cs="Arial" w:eastAsia="Arial" w:hAnsi="Arial"/>
          <w:sz w:val="35"/>
          <w:szCs w:val="35"/>
          <w:b w:val="1"/>
          <w:bCs w:val="1"/>
          <w:color w:val="FFFFFF"/>
        </w:rPr>
        <w:t>Opportunity for Growth</w:t>
      </w:r>
    </w:p>
    <w:p>
      <w:pPr>
        <w:spacing w:after="0" w:line="314" w:lineRule="exact"/>
        <w:rPr>
          <w:sz w:val="20"/>
          <w:szCs w:val="20"/>
          <w:color w:val="auto"/>
        </w:rPr>
      </w:pPr>
    </w:p>
    <w:p>
      <w:pPr>
        <w:ind w:left="2720"/>
        <w:spacing w:after="0"/>
        <w:rPr>
          <w:sz w:val="20"/>
          <w:szCs w:val="20"/>
          <w:color w:val="auto"/>
        </w:rPr>
      </w:pPr>
      <w:r>
        <w:rPr>
          <w:rFonts w:ascii="Arial" w:cs="Arial" w:eastAsia="Arial" w:hAnsi="Arial"/>
          <w:sz w:val="26"/>
          <w:szCs w:val="26"/>
          <w:b w:val="1"/>
          <w:bCs w:val="1"/>
          <w:color w:val="354047"/>
        </w:rPr>
        <w:t>Capture greater wallet share</w:t>
      </w:r>
    </w:p>
    <w:p>
      <w:pPr>
        <w:spacing w:after="0" w:line="271" w:lineRule="exact"/>
        <w:rPr>
          <w:sz w:val="20"/>
          <w:szCs w:val="20"/>
          <w:color w:val="auto"/>
        </w:rPr>
      </w:pPr>
    </w:p>
    <w:p>
      <w:pPr>
        <w:ind w:left="2400"/>
        <w:spacing w:after="0"/>
        <w:rPr>
          <w:sz w:val="20"/>
          <w:szCs w:val="20"/>
          <w:color w:val="auto"/>
        </w:rPr>
      </w:pPr>
      <w:r>
        <w:rPr>
          <w:rFonts w:ascii="Arial" w:cs="Arial" w:eastAsia="Arial" w:hAnsi="Arial"/>
          <w:sz w:val="26"/>
          <w:szCs w:val="26"/>
          <w:b w:val="1"/>
          <w:bCs w:val="1"/>
          <w:color w:val="354047"/>
        </w:rPr>
        <w:t>Attract broader customer audience</w:t>
      </w:r>
    </w:p>
    <w:p>
      <w:pPr>
        <w:spacing w:after="0" w:line="285" w:lineRule="exact"/>
        <w:rPr>
          <w:sz w:val="20"/>
          <w:szCs w:val="20"/>
          <w:color w:val="auto"/>
        </w:rPr>
      </w:pPr>
    </w:p>
    <w:p>
      <w:pPr>
        <w:ind w:left="2600"/>
        <w:spacing w:after="0"/>
        <w:rPr>
          <w:sz w:val="20"/>
          <w:szCs w:val="20"/>
          <w:color w:val="auto"/>
        </w:rPr>
      </w:pPr>
      <w:r>
        <w:rPr>
          <w:rFonts w:ascii="Arial" w:cs="Arial" w:eastAsia="Arial" w:hAnsi="Arial"/>
          <w:sz w:val="26"/>
          <w:szCs w:val="26"/>
          <w:b w:val="1"/>
          <w:bCs w:val="1"/>
          <w:color w:val="354047"/>
        </w:rPr>
        <w:t xml:space="preserve">Target end-of-rack </w:t>
      </w:r>
      <w:r>
        <w:rPr>
          <w:rFonts w:ascii="Arial" w:cs="Arial" w:eastAsia="Arial" w:hAnsi="Arial"/>
          <w:sz w:val="37"/>
          <w:szCs w:val="37"/>
          <w:b w:val="1"/>
          <w:bCs w:val="1"/>
          <w:color w:val="354047"/>
          <w:vertAlign w:val="superscript"/>
        </w:rPr>
        <w:t>1</w:t>
      </w:r>
      <w:r>
        <w:rPr>
          <w:rFonts w:ascii="Arial" w:cs="Arial" w:eastAsia="Arial" w:hAnsi="Arial"/>
          <w:sz w:val="26"/>
          <w:szCs w:val="26"/>
          <w:b w:val="1"/>
          <w:bCs w:val="1"/>
          <w:color w:val="354047"/>
        </w:rPr>
        <w:t xml:space="preserve"> customers</w:t>
      </w:r>
    </w:p>
    <w:p>
      <w:pPr>
        <w:spacing w:after="0" w:line="350" w:lineRule="exact"/>
        <w:rPr>
          <w:sz w:val="20"/>
          <w:szCs w:val="20"/>
          <w:color w:val="auto"/>
        </w:rPr>
      </w:pPr>
    </w:p>
    <w:p>
      <w:pPr>
        <w:ind w:left="2560"/>
        <w:spacing w:after="0"/>
        <w:rPr>
          <w:sz w:val="20"/>
          <w:szCs w:val="20"/>
          <w:color w:val="auto"/>
        </w:rPr>
      </w:pPr>
      <w:r>
        <w:rPr>
          <w:rFonts w:ascii="Arial" w:cs="Arial" w:eastAsia="Arial" w:hAnsi="Arial"/>
          <w:sz w:val="26"/>
          <w:szCs w:val="26"/>
          <w:b w:val="1"/>
          <w:bCs w:val="1"/>
          <w:color w:val="354047"/>
        </w:rPr>
        <w:t>Leverage website to drive sales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hanging="90"/>
        <w:spacing w:after="0"/>
        <w:tabs>
          <w:tab w:leader="none" w:pos="100" w:val="left"/>
        </w:tabs>
        <w:numPr>
          <w:ilvl w:val="0"/>
          <w:numId w:val="3"/>
        </w:numPr>
        <w:rPr>
          <w:rFonts w:ascii="Arial" w:cs="Arial" w:eastAsia="Arial" w:hAnsi="Arial"/>
          <w:sz w:val="24"/>
          <w:szCs w:val="24"/>
          <w:b w:val="1"/>
          <w:bCs w:val="1"/>
          <w:color w:val="23282B"/>
          <w:vertAlign w:val="superscript"/>
        </w:rPr>
      </w:pPr>
      <w:r>
        <w:rPr>
          <w:rFonts w:ascii="Arial" w:cs="Arial" w:eastAsia="Arial" w:hAnsi="Arial"/>
          <w:sz w:val="16"/>
          <w:szCs w:val="16"/>
          <w:b w:val="1"/>
          <w:bCs w:val="1"/>
          <w:color w:val="23282B"/>
        </w:rPr>
        <w:t>Waist sizes 40 to 46 inches</w:t>
      </w:r>
    </w:p>
    <w:p>
      <w:pPr>
        <w:spacing w:after="0" w:line="359"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8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00" w:type="dxa"/>
            <w:vAlign w:val="bottom"/>
          </w:tcPr>
          <w:p>
            <w:pPr>
              <w:jc w:val="right"/>
              <w:spacing w:after="0"/>
              <w:rPr>
                <w:sz w:val="20"/>
                <w:szCs w:val="20"/>
                <w:color w:val="auto"/>
              </w:rPr>
            </w:pPr>
            <w:r>
              <w:rPr>
                <w:rFonts w:ascii="Arial" w:cs="Arial" w:eastAsia="Arial" w:hAnsi="Arial"/>
                <w:sz w:val="18"/>
                <w:szCs w:val="18"/>
                <w:color w:val="8CA1A5"/>
              </w:rPr>
              <w:t>5</w:t>
            </w:r>
          </w:p>
        </w:tc>
      </w:tr>
    </w:tbl>
    <w:p>
      <w:pPr>
        <w:sectPr>
          <w:pgSz w:w="11900" w:h="16838" w:orient="portrait"/>
          <w:cols w:equalWidth="0" w:num="1">
            <w:col w:w="9639"/>
          </w:cols>
          <w:pgMar w:left="820" w:top="238" w:right="1440" w:bottom="1440" w:gutter="0" w:footer="0" w:header="0"/>
        </w:sectPr>
      </w:pPr>
    </w:p>
    <w:bookmarkStart w:id="8" w:name="page9"/>
    <w:bookmarkEnd w:id="8"/>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ONE-STOP SHOPPING AT ITS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48895</wp:posOffset>
            </wp:positionV>
            <wp:extent cx="6200775" cy="4182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00775" cy="418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color w:val="FFFFFF"/>
        </w:rPr>
        <w:t>Wide</w:t>
      </w:r>
    </w:p>
    <w:p>
      <w:pPr>
        <w:ind w:left="4400"/>
        <w:spacing w:after="0"/>
        <w:rPr>
          <w:sz w:val="20"/>
          <w:szCs w:val="20"/>
          <w:color w:val="auto"/>
        </w:rPr>
      </w:pPr>
      <w:r>
        <w:rPr>
          <w:rFonts w:ascii="Arial" w:cs="Arial" w:eastAsia="Arial" w:hAnsi="Arial"/>
          <w:sz w:val="18"/>
          <w:szCs w:val="18"/>
          <w:color w:val="FFFFFF"/>
        </w:rPr>
        <w:t>aisles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4020" w:type="dxa"/>
            <w:vAlign w:val="bottom"/>
          </w:tcPr>
          <w:p>
            <w:pPr>
              <w:jc w:val="center"/>
              <w:ind w:left="3192"/>
              <w:spacing w:after="0"/>
              <w:rPr>
                <w:sz w:val="20"/>
                <w:szCs w:val="20"/>
                <w:color w:val="auto"/>
              </w:rPr>
            </w:pPr>
            <w:r>
              <w:rPr>
                <w:rFonts w:ascii="Arial" w:cs="Arial" w:eastAsia="Arial" w:hAnsi="Arial"/>
                <w:sz w:val="18"/>
                <w:szCs w:val="18"/>
                <w:color w:val="FFFFFF"/>
                <w:w w:val="99"/>
              </w:rPr>
              <w:t>Large</w:t>
            </w:r>
          </w:p>
        </w:tc>
        <w:tc>
          <w:tcPr>
            <w:tcW w:w="0" w:type="dxa"/>
            <w:vAlign w:val="bottom"/>
          </w:tcPr>
          <w:p>
            <w:pPr>
              <w:spacing w:after="0"/>
              <w:rPr>
                <w:sz w:val="1"/>
                <w:szCs w:val="1"/>
                <w:color w:val="auto"/>
              </w:rPr>
            </w:pPr>
          </w:p>
        </w:tc>
      </w:tr>
      <w:tr>
        <w:trPr>
          <w:trHeight w:val="186"/>
        </w:trPr>
        <w:tc>
          <w:tcPr>
            <w:tcW w:w="1720" w:type="dxa"/>
            <w:vAlign w:val="bottom"/>
            <w:vMerge w:val="restart"/>
          </w:tcPr>
          <w:p>
            <w:pPr>
              <w:jc w:val="center"/>
              <w:ind w:right="1032"/>
              <w:spacing w:after="0"/>
              <w:rPr>
                <w:sz w:val="20"/>
                <w:szCs w:val="20"/>
                <w:color w:val="auto"/>
              </w:rPr>
            </w:pPr>
            <w:r>
              <w:rPr>
                <w:rFonts w:ascii="Arial" w:cs="Arial" w:eastAsia="Arial" w:hAnsi="Arial"/>
                <w:sz w:val="18"/>
                <w:szCs w:val="18"/>
                <w:color w:val="FFFFFF"/>
                <w:w w:val="95"/>
              </w:rPr>
              <w:t>Highly</w:t>
            </w:r>
          </w:p>
        </w:tc>
        <w:tc>
          <w:tcPr>
            <w:tcW w:w="4020" w:type="dxa"/>
            <w:vAlign w:val="bottom"/>
          </w:tcPr>
          <w:p>
            <w:pPr>
              <w:jc w:val="center"/>
              <w:ind w:left="3212"/>
              <w:spacing w:after="0" w:line="187" w:lineRule="exact"/>
              <w:rPr>
                <w:sz w:val="20"/>
                <w:szCs w:val="20"/>
                <w:color w:val="auto"/>
              </w:rPr>
            </w:pPr>
            <w:r>
              <w:rPr>
                <w:rFonts w:ascii="Arial" w:cs="Arial" w:eastAsia="Arial" w:hAnsi="Arial"/>
                <w:sz w:val="18"/>
                <w:szCs w:val="18"/>
                <w:color w:val="FFFFFF"/>
                <w:w w:val="98"/>
              </w:rPr>
              <w:t>changing</w:t>
            </w: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020" w:type="dxa"/>
            <w:vAlign w:val="bottom"/>
            <w:vMerge w:val="restart"/>
          </w:tcPr>
          <w:p>
            <w:pPr>
              <w:jc w:val="center"/>
              <w:ind w:left="3212"/>
              <w:spacing w:after="0"/>
              <w:rPr>
                <w:sz w:val="20"/>
                <w:szCs w:val="20"/>
                <w:color w:val="auto"/>
              </w:rPr>
            </w:pPr>
            <w:r>
              <w:rPr>
                <w:rFonts w:ascii="Arial" w:cs="Arial" w:eastAsia="Arial" w:hAnsi="Arial"/>
                <w:sz w:val="18"/>
                <w:szCs w:val="18"/>
                <w:color w:val="FFFFFF"/>
                <w:w w:val="95"/>
              </w:rPr>
              <w:t>rooms</w:t>
            </w:r>
          </w:p>
        </w:tc>
        <w:tc>
          <w:tcPr>
            <w:tcW w:w="0" w:type="dxa"/>
            <w:vAlign w:val="bottom"/>
          </w:tcPr>
          <w:p>
            <w:pPr>
              <w:spacing w:after="0"/>
              <w:rPr>
                <w:sz w:val="1"/>
                <w:szCs w:val="1"/>
                <w:color w:val="auto"/>
              </w:rPr>
            </w:pPr>
          </w:p>
        </w:tc>
      </w:tr>
      <w:tr>
        <w:trPr>
          <w:trHeight w:val="134"/>
        </w:trPr>
        <w:tc>
          <w:tcPr>
            <w:tcW w:w="1720" w:type="dxa"/>
            <w:vAlign w:val="bottom"/>
            <w:vMerge w:val="restart"/>
          </w:tcPr>
          <w:p>
            <w:pPr>
              <w:jc w:val="center"/>
              <w:ind w:right="1052"/>
              <w:spacing w:after="0" w:line="187" w:lineRule="exact"/>
              <w:rPr>
                <w:sz w:val="20"/>
                <w:szCs w:val="20"/>
                <w:color w:val="auto"/>
              </w:rPr>
            </w:pPr>
            <w:r>
              <w:rPr>
                <w:rFonts w:ascii="Arial" w:cs="Arial" w:eastAsia="Arial" w:hAnsi="Arial"/>
                <w:sz w:val="18"/>
                <w:szCs w:val="18"/>
                <w:color w:val="FFFFFF"/>
                <w:w w:val="94"/>
              </w:rPr>
              <w:t>Trained</w:t>
            </w:r>
          </w:p>
        </w:tc>
        <w:tc>
          <w:tcPr>
            <w:tcW w:w="4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vMerge w:val="continue"/>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720" w:type="dxa"/>
            <w:vAlign w:val="bottom"/>
          </w:tcPr>
          <w:p>
            <w:pPr>
              <w:jc w:val="center"/>
              <w:ind w:right="1032"/>
              <w:spacing w:after="0"/>
              <w:rPr>
                <w:sz w:val="20"/>
                <w:szCs w:val="20"/>
                <w:color w:val="auto"/>
              </w:rPr>
            </w:pPr>
            <w:r>
              <w:rPr>
                <w:rFonts w:ascii="Arial" w:cs="Arial" w:eastAsia="Arial" w:hAnsi="Arial"/>
                <w:sz w:val="18"/>
                <w:szCs w:val="18"/>
                <w:color w:val="FFFFFF"/>
                <w:w w:val="97"/>
              </w:rPr>
              <w:t>Staff</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4"/>
                <w:szCs w:val="24"/>
                <w:color w:val="auto"/>
              </w:rPr>
            </w:pPr>
          </w:p>
        </w:tc>
        <w:tc>
          <w:tcPr>
            <w:tcW w:w="4020" w:type="dxa"/>
            <w:vAlign w:val="bottom"/>
          </w:tcPr>
          <w:p>
            <w:pPr>
              <w:jc w:val="center"/>
              <w:ind w:right="1172"/>
              <w:spacing w:after="0"/>
              <w:rPr>
                <w:sz w:val="20"/>
                <w:szCs w:val="20"/>
                <w:color w:val="auto"/>
              </w:rPr>
            </w:pPr>
            <w:r>
              <w:rPr>
                <w:rFonts w:ascii="Arial" w:cs="Arial" w:eastAsia="Arial" w:hAnsi="Arial"/>
                <w:sz w:val="18"/>
                <w:szCs w:val="18"/>
                <w:color w:val="FFFFFF"/>
                <w:w w:val="97"/>
              </w:rPr>
              <w:t>More</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020" w:type="dxa"/>
            <w:vAlign w:val="bottom"/>
          </w:tcPr>
          <w:p>
            <w:pPr>
              <w:jc w:val="center"/>
              <w:ind w:right="1152"/>
              <w:spacing w:after="0"/>
              <w:rPr>
                <w:sz w:val="20"/>
                <w:szCs w:val="20"/>
                <w:color w:val="auto"/>
              </w:rPr>
            </w:pPr>
            <w:r>
              <w:rPr>
                <w:rFonts w:ascii="Arial" w:cs="Arial" w:eastAsia="Arial" w:hAnsi="Arial"/>
                <w:sz w:val="18"/>
                <w:szCs w:val="18"/>
                <w:color w:val="FFFFFF"/>
                <w:w w:val="98"/>
              </w:rPr>
              <w:t>brands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60"/>
        <w:spacing w:after="0"/>
        <w:rPr>
          <w:sz w:val="20"/>
          <w:szCs w:val="20"/>
          <w:color w:val="auto"/>
        </w:rPr>
      </w:pPr>
      <w:r>
        <w:rPr>
          <w:rFonts w:ascii="Arial" w:cs="Arial" w:eastAsia="Arial" w:hAnsi="Arial"/>
          <w:sz w:val="18"/>
          <w:szCs w:val="18"/>
          <w:color w:val="FFFFFF"/>
        </w:rPr>
        <w:t>Bright</w:t>
      </w:r>
    </w:p>
    <w:p>
      <w:pPr>
        <w:ind w:left="2020"/>
        <w:spacing w:after="0" w:line="216" w:lineRule="auto"/>
        <w:tabs>
          <w:tab w:leader="none" w:pos="6460" w:val="left"/>
        </w:tabs>
        <w:rPr>
          <w:sz w:val="20"/>
          <w:szCs w:val="20"/>
          <w:color w:val="auto"/>
        </w:rPr>
      </w:pPr>
      <w:r>
        <w:rPr>
          <w:rFonts w:ascii="Arial" w:cs="Arial" w:eastAsia="Arial" w:hAnsi="Arial"/>
          <w:sz w:val="18"/>
          <w:szCs w:val="18"/>
          <w:color w:val="FFFFFF"/>
        </w:rPr>
        <w:t>Atmosphere</w:t>
      </w:r>
      <w:r>
        <w:rPr>
          <w:sz w:val="20"/>
          <w:szCs w:val="20"/>
          <w:color w:val="auto"/>
        </w:rPr>
        <w:tab/>
      </w:r>
      <w:r>
        <w:rPr>
          <w:rFonts w:ascii="Arial" w:cs="Arial" w:eastAsia="Arial" w:hAnsi="Arial"/>
          <w:sz w:val="18"/>
          <w:szCs w:val="18"/>
          <w:color w:val="FFFFFF"/>
        </w:rPr>
        <w:t>Onsite</w:t>
      </w:r>
    </w:p>
    <w:p>
      <w:pPr>
        <w:ind w:left="6420"/>
        <w:spacing w:after="0"/>
        <w:rPr>
          <w:sz w:val="20"/>
          <w:szCs w:val="20"/>
          <w:color w:val="auto"/>
        </w:rPr>
      </w:pPr>
      <w:r>
        <w:rPr>
          <w:rFonts w:ascii="Arial" w:cs="Arial" w:eastAsia="Arial" w:hAnsi="Arial"/>
          <w:sz w:val="18"/>
          <w:szCs w:val="18"/>
          <w:color w:val="FFFFFF"/>
        </w:rPr>
        <w:t>tailoring</w:t>
      </w:r>
    </w:p>
    <w:p>
      <w:pPr>
        <w:spacing w:after="0" w:line="166"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62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6</w:t>
            </w:r>
          </w:p>
        </w:tc>
      </w:tr>
    </w:tbl>
    <w:p>
      <w:pPr>
        <w:sectPr>
          <w:pgSz w:w="11900" w:h="16838" w:orient="portrait"/>
          <w:cols w:equalWidth="0" w:num="1">
            <w:col w:w="9639"/>
          </w:cols>
          <w:pgMar w:left="820" w:top="238" w:right="1440"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5163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025" cy="5163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5163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025" cy="5163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5163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5163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025" cy="33655"/>
                    </a:xfrm>
                    <a:prstGeom prst="rect">
                      <a:avLst/>
                    </a:prstGeom>
                    <a:noFill/>
                  </pic:spPr>
                </pic:pic>
              </a:graphicData>
            </a:graphic>
          </wp:anchor>
        </w:drawing>
        <w:t>LARGE SELECTION OF NAME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104775</wp:posOffset>
            </wp:positionV>
            <wp:extent cx="6423660" cy="4189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3660"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2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60" w:type="dxa"/>
            <w:vAlign w:val="bottom"/>
          </w:tcPr>
          <w:p>
            <w:pPr>
              <w:jc w:val="right"/>
              <w:spacing w:after="0"/>
              <w:rPr>
                <w:sz w:val="20"/>
                <w:szCs w:val="20"/>
                <w:color w:val="auto"/>
              </w:rPr>
            </w:pPr>
            <w:r>
              <w:rPr>
                <w:rFonts w:ascii="Arial" w:cs="Arial" w:eastAsia="Arial" w:hAnsi="Arial"/>
                <w:sz w:val="18"/>
                <w:szCs w:val="18"/>
                <w:color w:val="8CA1A5"/>
              </w:rPr>
              <w:t>10</w:t>
            </w:r>
          </w:p>
        </w:tc>
      </w:tr>
    </w:tbl>
    <w:p>
      <w:pPr>
        <w:sectPr>
          <w:pgSz w:w="11900" w:h="16838" w:orient="portrait"/>
          <w:cols w:equalWidth="0" w:num="1">
            <w:col w:w="9559"/>
          </w:cols>
          <w:pgMar w:left="900" w:top="238" w:right="1440" w:bottom="1440" w:gutter="0" w:footer="0" w:header="0"/>
        </w:sectPr>
      </w:pPr>
    </w:p>
    <w:bookmarkStart w:id="13" w:name="page14"/>
    <w:bookmarkEnd w:id="13"/>
    <w:p>
      <w:pPr>
        <w:ind w:left="12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COMPLETE DXL STORE ROLL-OUT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104775</wp:posOffset>
            </wp:positionV>
            <wp:extent cx="6304915" cy="4189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491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140" w:type="dxa"/>
            <w:vAlign w:val="bottom"/>
          </w:tcPr>
          <w:p>
            <w:pPr>
              <w:spacing w:after="0"/>
              <w:rPr>
                <w:sz w:val="24"/>
                <w:szCs w:val="24"/>
                <w:color w:val="auto"/>
              </w:rPr>
            </w:pPr>
          </w:p>
        </w:tc>
        <w:tc>
          <w:tcPr>
            <w:tcW w:w="2620" w:type="dxa"/>
            <w:vAlign w:val="bottom"/>
            <w:gridSpan w:val="2"/>
          </w:tcPr>
          <w:p>
            <w:pPr>
              <w:jc w:val="right"/>
              <w:ind w:right="816"/>
              <w:spacing w:after="0"/>
              <w:rPr>
                <w:sz w:val="20"/>
                <w:szCs w:val="20"/>
                <w:color w:val="auto"/>
              </w:rPr>
            </w:pPr>
            <w:r>
              <w:rPr>
                <w:rFonts w:ascii="Arial" w:cs="Arial" w:eastAsia="Arial" w:hAnsi="Arial"/>
                <w:sz w:val="23"/>
                <w:szCs w:val="23"/>
                <w:b w:val="1"/>
                <w:bCs w:val="1"/>
                <w:color w:val="23282B"/>
              </w:rPr>
              <w:t>August 2, 2014</w:t>
            </w:r>
          </w:p>
        </w:tc>
        <w:tc>
          <w:tcPr>
            <w:tcW w:w="2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23"/>
                <w:szCs w:val="23"/>
                <w:b w:val="1"/>
                <w:bCs w:val="1"/>
                <w:color w:val="23282B"/>
              </w:rPr>
              <w:t>2017 Estimate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vMerge w:val="restart"/>
          </w:tcPr>
          <w:p>
            <w:pPr>
              <w:ind w:left="160"/>
              <w:spacing w:after="0"/>
              <w:rPr>
                <w:sz w:val="20"/>
                <w:szCs w:val="20"/>
                <w:color w:val="auto"/>
              </w:rPr>
            </w:pPr>
            <w:r>
              <w:rPr>
                <w:rFonts w:ascii="Arial" w:cs="Arial" w:eastAsia="Arial" w:hAnsi="Arial"/>
                <w:sz w:val="21"/>
                <w:szCs w:val="21"/>
                <w:b w:val="1"/>
                <w:bCs w:val="1"/>
                <w:color w:val="FFFFFF"/>
              </w:rPr>
              <w:t>Open ~40/year</w:t>
            </w:r>
          </w:p>
        </w:tc>
        <w:tc>
          <w:tcPr>
            <w:tcW w:w="2200" w:type="dxa"/>
            <w:vAlign w:val="bottom"/>
          </w:tcPr>
          <w:p>
            <w:pPr>
              <w:spacing w:after="0"/>
              <w:rPr>
                <w:sz w:val="24"/>
                <w:szCs w:val="24"/>
                <w:color w:val="auto"/>
              </w:rPr>
            </w:pPr>
          </w:p>
        </w:tc>
        <w:tc>
          <w:tcPr>
            <w:tcW w:w="1980" w:type="dxa"/>
            <w:vAlign w:val="bottom"/>
          </w:tcPr>
          <w:p>
            <w:pPr>
              <w:jc w:val="right"/>
              <w:ind w:right="1536"/>
              <w:spacing w:after="0"/>
              <w:rPr>
                <w:sz w:val="20"/>
                <w:szCs w:val="20"/>
                <w:color w:val="auto"/>
              </w:rPr>
            </w:pPr>
            <w:r>
              <w:rPr>
                <w:rFonts w:ascii="Arial" w:cs="Arial" w:eastAsia="Arial" w:hAnsi="Arial"/>
                <w:sz w:val="21"/>
                <w:szCs w:val="21"/>
                <w:b w:val="1"/>
                <w:bCs w:val="1"/>
                <w:color w:val="23282B"/>
              </w:rPr>
              <w:t>3</w:t>
            </w:r>
          </w:p>
        </w:tc>
        <w:tc>
          <w:tcPr>
            <w:tcW w:w="0" w:type="dxa"/>
            <w:vAlign w:val="bottom"/>
          </w:tcPr>
          <w:p>
            <w:pPr>
              <w:spacing w:after="0"/>
              <w:rPr>
                <w:sz w:val="1"/>
                <w:szCs w:val="1"/>
                <w:color w:val="auto"/>
              </w:rPr>
            </w:pPr>
          </w:p>
        </w:tc>
      </w:tr>
      <w:tr>
        <w:trPr>
          <w:trHeight w:val="118"/>
        </w:trPr>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060" w:type="dxa"/>
            <w:vAlign w:val="bottom"/>
            <w:gridSpan w:val="2"/>
            <w:vMerge w:val="restart"/>
          </w:tcPr>
          <w:p>
            <w:pPr>
              <w:jc w:val="right"/>
              <w:ind w:right="672"/>
              <w:spacing w:after="0"/>
              <w:rPr>
                <w:sz w:val="20"/>
                <w:szCs w:val="20"/>
                <w:color w:val="auto"/>
              </w:rPr>
            </w:pPr>
            <w:r>
              <w:rPr>
                <w:rFonts w:ascii="Arial" w:cs="Arial" w:eastAsia="Arial" w:hAnsi="Arial"/>
                <w:sz w:val="21"/>
                <w:szCs w:val="21"/>
                <w:b w:val="1"/>
                <w:bCs w:val="1"/>
                <w:color w:val="FFFFFF"/>
              </w:rPr>
              <w:t>181</w:t>
            </w:r>
          </w:p>
        </w:tc>
        <w:tc>
          <w:tcPr>
            <w:tcW w:w="1700" w:type="dxa"/>
            <w:vAlign w:val="bottom"/>
          </w:tcPr>
          <w:p>
            <w:pPr>
              <w:spacing w:after="0"/>
              <w:rPr>
                <w:sz w:val="24"/>
                <w:szCs w:val="24"/>
                <w:color w:val="auto"/>
              </w:rPr>
            </w:pPr>
          </w:p>
        </w:tc>
        <w:tc>
          <w:tcPr>
            <w:tcW w:w="2020" w:type="dxa"/>
            <w:vAlign w:val="bottom"/>
          </w:tcPr>
          <w:p>
            <w:pPr>
              <w:ind w:left="160"/>
              <w:spacing w:after="0"/>
              <w:rPr>
                <w:sz w:val="20"/>
                <w:szCs w:val="20"/>
                <w:color w:val="auto"/>
              </w:rPr>
            </w:pPr>
            <w:r>
              <w:rPr>
                <w:rFonts w:ascii="Arial" w:cs="Arial" w:eastAsia="Arial" w:hAnsi="Arial"/>
                <w:sz w:val="21"/>
                <w:szCs w:val="21"/>
                <w:b w:val="1"/>
                <w:bCs w:val="1"/>
                <w:color w:val="FFFFFF"/>
              </w:rPr>
              <w:t>Close ~40/year</w:t>
            </w:r>
          </w:p>
        </w:tc>
        <w:tc>
          <w:tcPr>
            <w:tcW w:w="2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6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80" w:type="dxa"/>
            <w:vAlign w:val="bottom"/>
          </w:tcPr>
          <w:p>
            <w:pPr>
              <w:jc w:val="right"/>
              <w:ind w:right="1596"/>
              <w:spacing w:after="0"/>
              <w:rPr>
                <w:sz w:val="20"/>
                <w:szCs w:val="20"/>
                <w:color w:val="auto"/>
              </w:rPr>
            </w:pPr>
            <w:r>
              <w:rPr>
                <w:rFonts w:ascii="Arial" w:cs="Arial" w:eastAsia="Arial" w:hAnsi="Arial"/>
                <w:sz w:val="21"/>
                <w:szCs w:val="21"/>
                <w:b w:val="1"/>
                <w:bCs w:val="1"/>
                <w:color w:val="23282B"/>
              </w:rPr>
              <w:t>50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vMerge w:val="restart"/>
          </w:tcPr>
          <w:p>
            <w:pPr>
              <w:jc w:val="right"/>
              <w:ind w:right="476"/>
              <w:spacing w:after="0"/>
              <w:rPr>
                <w:sz w:val="20"/>
                <w:szCs w:val="20"/>
                <w:color w:val="auto"/>
              </w:rPr>
            </w:pPr>
            <w:r>
              <w:rPr>
                <w:rFonts w:ascii="Arial" w:cs="Arial" w:eastAsia="Arial" w:hAnsi="Arial"/>
                <w:sz w:val="21"/>
                <w:szCs w:val="21"/>
                <w:b w:val="1"/>
                <w:bCs w:val="1"/>
                <w:color w:val="FFFFFF"/>
              </w:rPr>
              <w:t>113</w:t>
            </w:r>
          </w:p>
        </w:tc>
        <w:tc>
          <w:tcPr>
            <w:tcW w:w="2020" w:type="dxa"/>
            <w:vAlign w:val="bottom"/>
          </w:tcPr>
          <w:p>
            <w:pPr>
              <w:spacing w:after="0"/>
              <w:rPr>
                <w:sz w:val="23"/>
                <w:szCs w:val="23"/>
                <w:color w:val="auto"/>
              </w:rPr>
            </w:pPr>
          </w:p>
        </w:tc>
        <w:tc>
          <w:tcPr>
            <w:tcW w:w="2200" w:type="dxa"/>
            <w:vAlign w:val="bottom"/>
          </w:tcPr>
          <w:p>
            <w:pPr>
              <w:jc w:val="right"/>
              <w:ind w:right="1633"/>
              <w:spacing w:after="0"/>
              <w:rPr>
                <w:sz w:val="20"/>
                <w:szCs w:val="20"/>
                <w:color w:val="auto"/>
              </w:rPr>
            </w:pPr>
            <w:r>
              <w:rPr>
                <w:rFonts w:ascii="Arial" w:cs="Arial" w:eastAsia="Arial" w:hAnsi="Arial"/>
                <w:sz w:val="21"/>
                <w:szCs w:val="21"/>
                <w:b w:val="1"/>
                <w:bCs w:val="1"/>
                <w:color w:val="FFFFFF"/>
              </w:rPr>
              <w:t>220</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2200" w:type="dxa"/>
            <w:vAlign w:val="bottom"/>
            <w:vMerge w:val="restart"/>
          </w:tcPr>
          <w:p>
            <w:pPr>
              <w:jc w:val="right"/>
              <w:ind w:right="1553"/>
              <w:spacing w:after="0"/>
              <w:rPr>
                <w:sz w:val="20"/>
                <w:szCs w:val="20"/>
                <w:color w:val="auto"/>
              </w:rPr>
            </w:pPr>
            <w:r>
              <w:rPr>
                <w:rFonts w:ascii="Arial" w:cs="Arial" w:eastAsia="Arial" w:hAnsi="Arial"/>
                <w:sz w:val="21"/>
                <w:szCs w:val="21"/>
                <w:b w:val="1"/>
                <w:bCs w:val="1"/>
                <w:color w:val="FFFFFF"/>
              </w:rPr>
              <w:t>250</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80" w:type="dxa"/>
            <w:vAlign w:val="bottom"/>
          </w:tcPr>
          <w:p>
            <w:pPr>
              <w:jc w:val="right"/>
              <w:ind w:right="1636"/>
              <w:spacing w:after="0"/>
              <w:rPr>
                <w:sz w:val="20"/>
                <w:szCs w:val="20"/>
                <w:color w:val="auto"/>
              </w:rPr>
            </w:pPr>
            <w:r>
              <w:rPr>
                <w:rFonts w:ascii="Arial" w:cs="Arial" w:eastAsia="Arial" w:hAnsi="Arial"/>
                <w:sz w:val="21"/>
                <w:szCs w:val="21"/>
                <w:b w:val="1"/>
                <w:bCs w:val="1"/>
                <w:color w:val="23282B"/>
                <w:w w:val="93"/>
              </w:rPr>
              <w:t>50</w:t>
            </w:r>
          </w:p>
        </w:tc>
        <w:tc>
          <w:tcPr>
            <w:tcW w:w="0" w:type="dxa"/>
            <w:vAlign w:val="bottom"/>
          </w:tcPr>
          <w:p>
            <w:pPr>
              <w:spacing w:after="0"/>
              <w:rPr>
                <w:sz w:val="1"/>
                <w:szCs w:val="1"/>
                <w:color w:val="auto"/>
              </w:rPr>
            </w:pPr>
          </w:p>
        </w:tc>
      </w:tr>
      <w:tr>
        <w:trPr>
          <w:trHeight w:val="614"/>
        </w:trPr>
        <w:tc>
          <w:tcPr>
            <w:tcW w:w="114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21"/>
                <w:szCs w:val="21"/>
                <w:b w:val="1"/>
                <w:bCs w:val="1"/>
                <w:color w:val="FFFFFF"/>
              </w:rPr>
              <w:t>51</w:t>
            </w:r>
          </w:p>
        </w:tc>
        <w:tc>
          <w:tcPr>
            <w:tcW w:w="1700" w:type="dxa"/>
            <w:vAlign w:val="bottom"/>
          </w:tcPr>
          <w:p>
            <w:pPr>
              <w:jc w:val="right"/>
              <w:ind w:right="1256"/>
              <w:spacing w:after="0"/>
              <w:rPr>
                <w:sz w:val="20"/>
                <w:szCs w:val="20"/>
                <w:color w:val="auto"/>
              </w:rPr>
            </w:pPr>
            <w:r>
              <w:rPr>
                <w:rFonts w:ascii="Arial" w:cs="Arial" w:eastAsia="Arial" w:hAnsi="Arial"/>
                <w:sz w:val="21"/>
                <w:szCs w:val="21"/>
                <w:b w:val="1"/>
                <w:bCs w:val="1"/>
                <w:color w:val="FFFFFF"/>
              </w:rPr>
              <w:t>9</w:t>
            </w: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4"/>
        </w:trPr>
        <w:tc>
          <w:tcPr>
            <w:tcW w:w="1140" w:type="dxa"/>
            <w:vAlign w:val="bottom"/>
          </w:tcPr>
          <w:p>
            <w:pPr>
              <w:spacing w:after="0"/>
              <w:rPr>
                <w:sz w:val="20"/>
                <w:szCs w:val="20"/>
                <w:color w:val="auto"/>
              </w:rPr>
            </w:pPr>
            <w:r>
              <w:rPr>
                <w:rFonts w:ascii="Arial" w:cs="Arial" w:eastAsia="Arial" w:hAnsi="Arial"/>
                <w:sz w:val="21"/>
                <w:szCs w:val="21"/>
                <w:color w:val="23282B"/>
              </w:rPr>
              <w:t>DXL Stores</w:t>
            </w:r>
          </w:p>
        </w:tc>
        <w:tc>
          <w:tcPr>
            <w:tcW w:w="2620" w:type="dxa"/>
            <w:vAlign w:val="bottom"/>
            <w:gridSpan w:val="2"/>
          </w:tcPr>
          <w:p>
            <w:pPr>
              <w:jc w:val="right"/>
              <w:ind w:right="76"/>
              <w:spacing w:after="0"/>
              <w:rPr>
                <w:sz w:val="20"/>
                <w:szCs w:val="20"/>
                <w:color w:val="auto"/>
              </w:rPr>
            </w:pPr>
            <w:r>
              <w:rPr>
                <w:rFonts w:ascii="Arial" w:cs="Arial" w:eastAsia="Arial" w:hAnsi="Arial"/>
                <w:sz w:val="21"/>
                <w:szCs w:val="21"/>
                <w:color w:val="23282B"/>
              </w:rPr>
              <w:t>Casual Male XL Retail</w:t>
            </w:r>
          </w:p>
        </w:tc>
        <w:tc>
          <w:tcPr>
            <w:tcW w:w="2020" w:type="dxa"/>
            <w:vAlign w:val="bottom"/>
          </w:tcPr>
          <w:p>
            <w:pPr>
              <w:ind w:left="300"/>
              <w:spacing w:after="0"/>
              <w:rPr>
                <w:sz w:val="20"/>
                <w:szCs w:val="20"/>
                <w:color w:val="auto"/>
              </w:rPr>
            </w:pPr>
            <w:r>
              <w:rPr>
                <w:rFonts w:ascii="Arial" w:cs="Arial" w:eastAsia="Arial" w:hAnsi="Arial"/>
                <w:sz w:val="21"/>
                <w:szCs w:val="21"/>
                <w:color w:val="23282B"/>
              </w:rPr>
              <w:t>CM Outlet Stores</w:t>
            </w:r>
          </w:p>
        </w:tc>
        <w:tc>
          <w:tcPr>
            <w:tcW w:w="2200" w:type="dxa"/>
            <w:vAlign w:val="bottom"/>
          </w:tcPr>
          <w:p>
            <w:pPr>
              <w:jc w:val="right"/>
              <w:spacing w:after="0"/>
              <w:rPr>
                <w:sz w:val="20"/>
                <w:szCs w:val="20"/>
                <w:color w:val="auto"/>
              </w:rPr>
            </w:pPr>
            <w:r>
              <w:rPr>
                <w:rFonts w:ascii="Arial" w:cs="Arial" w:eastAsia="Arial" w:hAnsi="Arial"/>
                <w:sz w:val="21"/>
                <w:szCs w:val="21"/>
                <w:color w:val="23282B"/>
              </w:rPr>
              <w:t>Rochester Clothing</w:t>
            </w:r>
          </w:p>
        </w:tc>
        <w:tc>
          <w:tcPr>
            <w:tcW w:w="1980" w:type="dxa"/>
            <w:vAlign w:val="bottom"/>
          </w:tcPr>
          <w:p>
            <w:pPr>
              <w:jc w:val="right"/>
              <w:spacing w:after="0"/>
              <w:rPr>
                <w:sz w:val="20"/>
                <w:szCs w:val="20"/>
                <w:color w:val="auto"/>
              </w:rPr>
            </w:pPr>
            <w:r>
              <w:rPr>
                <w:rFonts w:ascii="Arial" w:cs="Arial" w:eastAsia="Arial" w:hAnsi="Arial"/>
                <w:sz w:val="21"/>
                <w:szCs w:val="21"/>
                <w:color w:val="23282B"/>
              </w:rPr>
              <w:t>Additional Stores</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480"/>
        <w:spacing w:after="0"/>
        <w:rPr>
          <w:sz w:val="20"/>
          <w:szCs w:val="20"/>
          <w:color w:val="auto"/>
        </w:rPr>
      </w:pPr>
      <w:r>
        <w:rPr>
          <w:rFonts w:ascii="Arial" w:cs="Arial" w:eastAsia="Arial" w:hAnsi="Arial"/>
          <w:sz w:val="23"/>
          <w:szCs w:val="23"/>
          <w:b w:val="1"/>
          <w:bCs w:val="1"/>
          <w:color w:val="23282B"/>
        </w:rPr>
        <w:t>Majority of store openings are timed prior to the holiday shopping</w:t>
      </w:r>
    </w:p>
    <w:p>
      <w:pPr>
        <w:spacing w:after="0" w:line="38" w:lineRule="exact"/>
        <w:rPr>
          <w:sz w:val="20"/>
          <w:szCs w:val="20"/>
          <w:color w:val="auto"/>
        </w:rPr>
      </w:pPr>
    </w:p>
    <w:p>
      <w:pPr>
        <w:jc w:val="center"/>
        <w:ind w:right="420"/>
        <w:spacing w:after="0"/>
        <w:rPr>
          <w:sz w:val="20"/>
          <w:szCs w:val="20"/>
          <w:color w:val="auto"/>
        </w:rPr>
      </w:pPr>
      <w:r>
        <w:rPr>
          <w:rFonts w:ascii="Arial" w:cs="Arial" w:eastAsia="Arial" w:hAnsi="Arial"/>
          <w:sz w:val="23"/>
          <w:szCs w:val="23"/>
          <w:b w:val="1"/>
          <w:bCs w:val="1"/>
          <w:color w:val="23282B"/>
        </w:rPr>
        <w:t>season to maximize profitability</w:t>
      </w:r>
    </w:p>
    <w:p>
      <w:pPr>
        <w:spacing w:after="0" w:line="200" w:lineRule="exact"/>
        <w:rPr>
          <w:sz w:val="20"/>
          <w:szCs w:val="20"/>
          <w:color w:val="auto"/>
        </w:rPr>
      </w:pPr>
    </w:p>
    <w:p>
      <w:pPr>
        <w:spacing w:after="0" w:line="341" w:lineRule="exact"/>
        <w:rPr>
          <w:sz w:val="20"/>
          <w:szCs w:val="20"/>
          <w:color w:val="auto"/>
        </w:rPr>
      </w:pPr>
    </w:p>
    <w:tbl>
      <w:tblPr>
        <w:tblLayout w:type="fixed"/>
        <w:tblInd w:w="390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60" w:type="dxa"/>
            <w:vAlign w:val="bottom"/>
          </w:tcPr>
          <w:p>
            <w:pPr>
              <w:jc w:val="right"/>
              <w:spacing w:after="0"/>
              <w:rPr>
                <w:sz w:val="20"/>
                <w:szCs w:val="20"/>
                <w:color w:val="auto"/>
              </w:rPr>
            </w:pPr>
            <w:r>
              <w:rPr>
                <w:rFonts w:ascii="Arial" w:cs="Arial" w:eastAsia="Arial" w:hAnsi="Arial"/>
                <w:sz w:val="18"/>
                <w:szCs w:val="18"/>
                <w:color w:val="8CA1A5"/>
              </w:rPr>
              <w:t>11</w:t>
            </w:r>
          </w:p>
        </w:tc>
      </w:tr>
    </w:tbl>
    <w:p>
      <w:pPr>
        <w:sectPr>
          <w:pgSz w:w="11900" w:h="16838" w:orient="portrait"/>
          <w:cols w:equalWidth="0" w:num="1">
            <w:col w:w="9960"/>
          </w:cols>
          <w:pgMar w:left="860" w:top="238" w:right="1079" w:bottom="1440" w:gutter="0" w:footer="0" w:header="0"/>
        </w:sectPr>
      </w:pPr>
    </w:p>
    <w:bookmarkStart w:id="14" w:name="page15"/>
    <w:bookmarkEnd w:id="14"/>
    <w:p>
      <w:pPr>
        <w:ind w:left="12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SQUARE FOOTAGE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104775</wp:posOffset>
            </wp:positionV>
            <wp:extent cx="6304915" cy="4189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4915" cy="418973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100" w:type="dxa"/>
            <w:vAlign w:val="bottom"/>
          </w:tcPr>
          <w:p>
            <w:pPr>
              <w:spacing w:after="0"/>
              <w:rPr>
                <w:sz w:val="24"/>
                <w:szCs w:val="24"/>
                <w:color w:val="auto"/>
              </w:rPr>
            </w:pPr>
          </w:p>
        </w:tc>
        <w:tc>
          <w:tcPr>
            <w:tcW w:w="2600" w:type="dxa"/>
            <w:vAlign w:val="bottom"/>
          </w:tcPr>
          <w:p>
            <w:pPr>
              <w:ind w:left="20"/>
              <w:spacing w:after="0"/>
              <w:rPr>
                <w:sz w:val="20"/>
                <w:szCs w:val="20"/>
                <w:color w:val="auto"/>
              </w:rPr>
            </w:pPr>
            <w:r>
              <w:rPr>
                <w:rFonts w:ascii="Arial" w:cs="Arial" w:eastAsia="Arial" w:hAnsi="Arial"/>
                <w:sz w:val="23"/>
                <w:szCs w:val="23"/>
                <w:b w:val="1"/>
                <w:bCs w:val="1"/>
                <w:color w:val="23282B"/>
              </w:rPr>
              <w:t>August 2, 2014</w:t>
            </w:r>
          </w:p>
        </w:tc>
        <w:tc>
          <w:tcPr>
            <w:tcW w:w="2000" w:type="dxa"/>
            <w:vAlign w:val="bottom"/>
          </w:tcPr>
          <w:p>
            <w:pPr>
              <w:spacing w:after="0"/>
              <w:rPr>
                <w:sz w:val="24"/>
                <w:szCs w:val="24"/>
                <w:color w:val="auto"/>
              </w:rPr>
            </w:pPr>
          </w:p>
        </w:tc>
        <w:tc>
          <w:tcPr>
            <w:tcW w:w="4260" w:type="dxa"/>
            <w:vAlign w:val="bottom"/>
            <w:gridSpan w:val="2"/>
          </w:tcPr>
          <w:p>
            <w:pPr>
              <w:jc w:val="right"/>
              <w:ind w:right="1896"/>
              <w:spacing w:after="0"/>
              <w:rPr>
                <w:sz w:val="20"/>
                <w:szCs w:val="20"/>
                <w:color w:val="auto"/>
              </w:rPr>
            </w:pPr>
            <w:r>
              <w:rPr>
                <w:rFonts w:ascii="Arial" w:cs="Arial" w:eastAsia="Arial" w:hAnsi="Arial"/>
                <w:sz w:val="23"/>
                <w:szCs w:val="23"/>
                <w:b w:val="1"/>
                <w:bCs w:val="1"/>
                <w:color w:val="23282B"/>
              </w:rPr>
              <w:t>2017 Estimate</w:t>
            </w:r>
          </w:p>
        </w:tc>
        <w:tc>
          <w:tcPr>
            <w:tcW w:w="0" w:type="dxa"/>
            <w:vAlign w:val="bottom"/>
          </w:tcPr>
          <w:p>
            <w:pPr>
              <w:spacing w:after="0"/>
              <w:rPr>
                <w:sz w:val="1"/>
                <w:szCs w:val="1"/>
                <w:color w:val="auto"/>
              </w:rPr>
            </w:pPr>
          </w:p>
        </w:tc>
      </w:tr>
      <w:tr>
        <w:trPr>
          <w:trHeight w:val="465"/>
        </w:trPr>
        <w:tc>
          <w:tcPr>
            <w:tcW w:w="1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0" w:type="dxa"/>
            <w:vAlign w:val="bottom"/>
          </w:tcPr>
          <w:p>
            <w:pPr>
              <w:ind w:left="100"/>
              <w:spacing w:after="0"/>
              <w:rPr>
                <w:sz w:val="20"/>
                <w:szCs w:val="20"/>
                <w:color w:val="auto"/>
              </w:rPr>
            </w:pPr>
            <w:r>
              <w:rPr>
                <w:rFonts w:ascii="Arial" w:cs="Arial" w:eastAsia="Arial" w:hAnsi="Arial"/>
                <w:sz w:val="21"/>
                <w:szCs w:val="21"/>
                <w:b w:val="1"/>
                <w:bCs w:val="1"/>
                <w:color w:val="23282B"/>
              </w:rPr>
              <w:t>Sq. Ft. (000’s)</w:t>
            </w:r>
          </w:p>
        </w:tc>
        <w:tc>
          <w:tcPr>
            <w:tcW w:w="2220" w:type="dxa"/>
            <w:vAlign w:val="bottom"/>
          </w:tcPr>
          <w:p>
            <w:pPr>
              <w:spacing w:after="0"/>
              <w:rPr>
                <w:sz w:val="24"/>
                <w:szCs w:val="24"/>
                <w:color w:val="auto"/>
              </w:rPr>
            </w:pPr>
          </w:p>
        </w:tc>
        <w:tc>
          <w:tcPr>
            <w:tcW w:w="2040" w:type="dxa"/>
            <w:vAlign w:val="bottom"/>
            <w:vMerge w:val="restart"/>
          </w:tcPr>
          <w:p>
            <w:pPr>
              <w:jc w:val="right"/>
              <w:ind w:right="1396"/>
              <w:spacing w:after="0"/>
              <w:rPr>
                <w:sz w:val="20"/>
                <w:szCs w:val="20"/>
                <w:color w:val="auto"/>
              </w:rPr>
            </w:pPr>
            <w:r>
              <w:rPr>
                <w:rFonts w:ascii="Arial" w:cs="Arial" w:eastAsia="Arial" w:hAnsi="Arial"/>
                <w:sz w:val="21"/>
                <w:szCs w:val="21"/>
                <w:b w:val="1"/>
                <w:bCs w:val="1"/>
                <w:color w:val="23282B"/>
              </w:rPr>
              <w:t>~40</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2600" w:type="dxa"/>
            <w:vAlign w:val="bottom"/>
            <w:vMerge w:val="restart"/>
          </w:tcPr>
          <w:p>
            <w:pPr>
              <w:ind w:left="200"/>
              <w:spacing w:after="0"/>
              <w:rPr>
                <w:sz w:val="20"/>
                <w:szCs w:val="20"/>
                <w:color w:val="auto"/>
              </w:rPr>
            </w:pPr>
            <w:r>
              <w:rPr>
                <w:rFonts w:ascii="Arial" w:cs="Arial" w:eastAsia="Arial" w:hAnsi="Arial"/>
                <w:sz w:val="21"/>
                <w:szCs w:val="21"/>
                <w:b w:val="1"/>
                <w:bCs w:val="1"/>
                <w:color w:val="FFFFFF"/>
              </w:rPr>
              <w:t>643</w:t>
            </w: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936"/>
              <w:spacing w:after="0"/>
              <w:rPr>
                <w:sz w:val="20"/>
                <w:szCs w:val="20"/>
                <w:color w:val="auto"/>
              </w:rPr>
            </w:pPr>
            <w:r>
              <w:rPr>
                <w:rFonts w:ascii="Arial" w:cs="Arial" w:eastAsia="Arial" w:hAnsi="Arial"/>
                <w:sz w:val="21"/>
                <w:szCs w:val="21"/>
                <w:b w:val="1"/>
                <w:bCs w:val="1"/>
                <w:color w:val="23282B"/>
              </w:rPr>
              <w:t>~155</w:t>
            </w:r>
          </w:p>
        </w:tc>
        <w:tc>
          <w:tcPr>
            <w:tcW w:w="0" w:type="dxa"/>
            <w:vAlign w:val="bottom"/>
          </w:tcPr>
          <w:p>
            <w:pPr>
              <w:spacing w:after="0"/>
              <w:rPr>
                <w:sz w:val="1"/>
                <w:szCs w:val="1"/>
                <w:color w:val="auto"/>
              </w:rPr>
            </w:pPr>
          </w:p>
        </w:tc>
      </w:tr>
      <w:tr>
        <w:trPr>
          <w:trHeight w:val="833"/>
        </w:trPr>
        <w:tc>
          <w:tcPr>
            <w:tcW w:w="1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vMerge w:val="restart"/>
          </w:tcPr>
          <w:p>
            <w:pPr>
              <w:jc w:val="center"/>
              <w:ind w:right="1332"/>
              <w:spacing w:after="0"/>
              <w:rPr>
                <w:sz w:val="20"/>
                <w:szCs w:val="20"/>
                <w:color w:val="auto"/>
              </w:rPr>
            </w:pPr>
            <w:r>
              <w:rPr>
                <w:rFonts w:ascii="Arial" w:cs="Arial" w:eastAsia="Arial" w:hAnsi="Arial"/>
                <w:sz w:val="21"/>
                <w:szCs w:val="21"/>
                <w:b w:val="1"/>
                <w:bCs w:val="1"/>
                <w:color w:val="FFFFFF"/>
                <w:w w:val="99"/>
              </w:rPr>
              <w:t>1,700 –</w:t>
            </w:r>
          </w:p>
        </w:tc>
        <w:tc>
          <w:tcPr>
            <w:tcW w:w="2040" w:type="dxa"/>
            <w:vAlign w:val="bottom"/>
          </w:tcPr>
          <w:p>
            <w:pPr>
              <w:jc w:val="right"/>
              <w:ind w:right="1456"/>
              <w:spacing w:after="0"/>
              <w:rPr>
                <w:sz w:val="20"/>
                <w:szCs w:val="20"/>
                <w:color w:val="auto"/>
              </w:rPr>
            </w:pPr>
            <w:r>
              <w:rPr>
                <w:rFonts w:ascii="Arial" w:cs="Arial" w:eastAsia="Arial" w:hAnsi="Arial"/>
                <w:sz w:val="21"/>
                <w:szCs w:val="21"/>
                <w:b w:val="1"/>
                <w:bCs w:val="1"/>
                <w:color w:val="23282B"/>
                <w:w w:val="97"/>
              </w:rPr>
              <w:t>~200</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100" w:type="dxa"/>
            <w:vAlign w:val="bottom"/>
            <w:vMerge w:val="restart"/>
          </w:tcPr>
          <w:p>
            <w:pPr>
              <w:jc w:val="right"/>
              <w:ind w:right="596"/>
              <w:spacing w:after="0"/>
              <w:rPr>
                <w:sz w:val="20"/>
                <w:szCs w:val="20"/>
                <w:color w:val="auto"/>
              </w:rPr>
            </w:pPr>
            <w:r>
              <w:rPr>
                <w:rFonts w:ascii="Arial" w:cs="Arial" w:eastAsia="Arial" w:hAnsi="Arial"/>
                <w:sz w:val="21"/>
                <w:szCs w:val="21"/>
                <w:b w:val="1"/>
                <w:bCs w:val="1"/>
                <w:color w:val="23282B"/>
              </w:rPr>
              <w:t>164</w:t>
            </w:r>
          </w:p>
        </w:tc>
        <w:tc>
          <w:tcPr>
            <w:tcW w:w="2600" w:type="dxa"/>
            <w:vAlign w:val="bottom"/>
            <w:vMerge w:val="restart"/>
          </w:tcPr>
          <w:p>
            <w:pPr>
              <w:ind w:left="1480"/>
              <w:spacing w:after="0"/>
              <w:rPr>
                <w:sz w:val="20"/>
                <w:szCs w:val="20"/>
                <w:color w:val="auto"/>
              </w:rPr>
            </w:pPr>
            <w:r>
              <w:rPr>
                <w:rFonts w:ascii="Arial" w:cs="Arial" w:eastAsia="Arial" w:hAnsi="Arial"/>
                <w:sz w:val="21"/>
                <w:szCs w:val="21"/>
                <w:b w:val="1"/>
                <w:bCs w:val="1"/>
                <w:color w:val="FFFFFF"/>
              </w:rPr>
              <w:t>1,003</w:t>
            </w:r>
          </w:p>
        </w:tc>
        <w:tc>
          <w:tcPr>
            <w:tcW w:w="2000" w:type="dxa"/>
            <w:vAlign w:val="bottom"/>
          </w:tcPr>
          <w:p>
            <w:pPr>
              <w:spacing w:after="0"/>
              <w:rPr>
                <w:sz w:val="24"/>
                <w:szCs w:val="24"/>
                <w:color w:val="auto"/>
              </w:rPr>
            </w:pPr>
          </w:p>
        </w:tc>
        <w:tc>
          <w:tcPr>
            <w:tcW w:w="2220" w:type="dxa"/>
            <w:vAlign w:val="bottom"/>
          </w:tcPr>
          <w:p>
            <w:pPr>
              <w:jc w:val="right"/>
              <w:ind w:right="1452"/>
              <w:spacing w:after="0"/>
              <w:rPr>
                <w:sz w:val="20"/>
                <w:szCs w:val="20"/>
                <w:color w:val="auto"/>
              </w:rPr>
            </w:pPr>
            <w:r>
              <w:rPr>
                <w:rFonts w:ascii="Arial" w:cs="Arial" w:eastAsia="Arial" w:hAnsi="Arial"/>
                <w:sz w:val="21"/>
                <w:szCs w:val="21"/>
                <w:b w:val="1"/>
                <w:bCs w:val="1"/>
                <w:color w:val="FFFFFF"/>
              </w:rPr>
              <w:t>2,000</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0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8"/>
        </w:trPr>
        <w:tc>
          <w:tcPr>
            <w:tcW w:w="1100" w:type="dxa"/>
            <w:vAlign w:val="bottom"/>
          </w:tcPr>
          <w:p>
            <w:pPr>
              <w:jc w:val="right"/>
              <w:ind w:right="396"/>
              <w:spacing w:after="0"/>
              <w:rPr>
                <w:sz w:val="20"/>
                <w:szCs w:val="20"/>
                <w:color w:val="auto"/>
              </w:rPr>
            </w:pPr>
            <w:r>
              <w:rPr>
                <w:rFonts w:ascii="Arial" w:cs="Arial" w:eastAsia="Arial" w:hAnsi="Arial"/>
                <w:sz w:val="21"/>
                <w:szCs w:val="21"/>
                <w:b w:val="1"/>
                <w:bCs w:val="1"/>
                <w:color w:val="23282B"/>
              </w:rPr>
              <w:t>83</w:t>
            </w:r>
          </w:p>
        </w:tc>
        <w:tc>
          <w:tcPr>
            <w:tcW w:w="2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100" w:type="dxa"/>
            <w:vAlign w:val="bottom"/>
          </w:tcPr>
          <w:p>
            <w:pPr>
              <w:spacing w:after="0"/>
              <w:rPr>
                <w:sz w:val="24"/>
                <w:szCs w:val="24"/>
                <w:color w:val="auto"/>
              </w:rPr>
            </w:pPr>
          </w:p>
        </w:tc>
        <w:tc>
          <w:tcPr>
            <w:tcW w:w="2600" w:type="dxa"/>
            <w:vAlign w:val="bottom"/>
          </w:tcPr>
          <w:p>
            <w:pPr>
              <w:ind w:left="220"/>
              <w:spacing w:after="0"/>
              <w:rPr>
                <w:sz w:val="20"/>
                <w:szCs w:val="20"/>
                <w:color w:val="auto"/>
              </w:rPr>
            </w:pPr>
            <w:r>
              <w:rPr>
                <w:rFonts w:ascii="Arial" w:cs="Arial" w:eastAsia="Arial" w:hAnsi="Arial"/>
                <w:sz w:val="23"/>
                <w:szCs w:val="23"/>
                <w:b w:val="1"/>
                <w:bCs w:val="1"/>
                <w:color w:val="23282B"/>
              </w:rPr>
              <w:t>1,893 sq. ft.</w:t>
            </w:r>
          </w:p>
        </w:tc>
        <w:tc>
          <w:tcPr>
            <w:tcW w:w="2000" w:type="dxa"/>
            <w:vAlign w:val="bottom"/>
          </w:tcPr>
          <w:p>
            <w:pPr>
              <w:spacing w:after="0"/>
              <w:rPr>
                <w:sz w:val="24"/>
                <w:szCs w:val="24"/>
                <w:color w:val="auto"/>
              </w:rPr>
            </w:pPr>
          </w:p>
        </w:tc>
        <w:tc>
          <w:tcPr>
            <w:tcW w:w="4260" w:type="dxa"/>
            <w:vAlign w:val="bottom"/>
            <w:gridSpan w:val="2"/>
          </w:tcPr>
          <w:p>
            <w:pPr>
              <w:ind w:left="420"/>
              <w:spacing w:after="0"/>
              <w:rPr>
                <w:sz w:val="20"/>
                <w:szCs w:val="20"/>
                <w:color w:val="auto"/>
              </w:rPr>
            </w:pPr>
            <w:r>
              <w:rPr>
                <w:rFonts w:ascii="Arial" w:cs="Arial" w:eastAsia="Arial" w:hAnsi="Arial"/>
                <w:sz w:val="23"/>
                <w:szCs w:val="23"/>
                <w:b w:val="1"/>
                <w:bCs w:val="1"/>
                <w:color w:val="23282B"/>
              </w:rPr>
              <w:t>~2,095 – 2,395 sq. ft.</w:t>
            </w:r>
          </w:p>
        </w:tc>
        <w:tc>
          <w:tcPr>
            <w:tcW w:w="0" w:type="dxa"/>
            <w:vAlign w:val="bottom"/>
          </w:tcPr>
          <w:p>
            <w:pPr>
              <w:spacing w:after="0"/>
              <w:rPr>
                <w:sz w:val="1"/>
                <w:szCs w:val="1"/>
                <w:color w:val="auto"/>
              </w:rPr>
            </w:pPr>
          </w:p>
        </w:tc>
      </w:tr>
      <w:tr>
        <w:trPr>
          <w:trHeight w:val="487"/>
        </w:trPr>
        <w:tc>
          <w:tcPr>
            <w:tcW w:w="1100" w:type="dxa"/>
            <w:vAlign w:val="bottom"/>
          </w:tcPr>
          <w:p>
            <w:pPr>
              <w:jc w:val="right"/>
              <w:spacing w:after="0"/>
              <w:rPr>
                <w:sz w:val="20"/>
                <w:szCs w:val="20"/>
                <w:color w:val="auto"/>
              </w:rPr>
            </w:pPr>
            <w:r>
              <w:rPr>
                <w:rFonts w:ascii="Arial" w:cs="Arial" w:eastAsia="Arial" w:hAnsi="Arial"/>
                <w:sz w:val="21"/>
                <w:szCs w:val="21"/>
                <w:color w:val="23282B"/>
                <w:w w:val="96"/>
              </w:rPr>
              <w:t>DXL Stores</w:t>
            </w:r>
          </w:p>
        </w:tc>
        <w:tc>
          <w:tcPr>
            <w:tcW w:w="2600" w:type="dxa"/>
            <w:vAlign w:val="bottom"/>
          </w:tcPr>
          <w:p>
            <w:pPr>
              <w:ind w:left="420"/>
              <w:spacing w:after="0"/>
              <w:rPr>
                <w:sz w:val="20"/>
                <w:szCs w:val="20"/>
                <w:color w:val="auto"/>
              </w:rPr>
            </w:pPr>
            <w:r>
              <w:rPr>
                <w:rFonts w:ascii="Arial" w:cs="Arial" w:eastAsia="Arial" w:hAnsi="Arial"/>
                <w:sz w:val="21"/>
                <w:szCs w:val="21"/>
                <w:color w:val="23282B"/>
              </w:rPr>
              <w:t>Casual Male XL Retail</w:t>
            </w:r>
          </w:p>
        </w:tc>
        <w:tc>
          <w:tcPr>
            <w:tcW w:w="2000" w:type="dxa"/>
            <w:vAlign w:val="bottom"/>
          </w:tcPr>
          <w:p>
            <w:pPr>
              <w:ind w:left="360"/>
              <w:spacing w:after="0"/>
              <w:rPr>
                <w:sz w:val="20"/>
                <w:szCs w:val="20"/>
                <w:color w:val="auto"/>
              </w:rPr>
            </w:pPr>
            <w:r>
              <w:rPr>
                <w:rFonts w:ascii="Arial" w:cs="Arial" w:eastAsia="Arial" w:hAnsi="Arial"/>
                <w:sz w:val="21"/>
                <w:szCs w:val="21"/>
                <w:color w:val="23282B"/>
              </w:rPr>
              <w:t>CM Outlet Stores</w:t>
            </w:r>
          </w:p>
        </w:tc>
        <w:tc>
          <w:tcPr>
            <w:tcW w:w="2220" w:type="dxa"/>
            <w:vAlign w:val="bottom"/>
          </w:tcPr>
          <w:p>
            <w:pPr>
              <w:ind w:left="420"/>
              <w:spacing w:after="0"/>
              <w:rPr>
                <w:sz w:val="20"/>
                <w:szCs w:val="20"/>
                <w:color w:val="auto"/>
              </w:rPr>
            </w:pPr>
            <w:r>
              <w:rPr>
                <w:rFonts w:ascii="Arial" w:cs="Arial" w:eastAsia="Arial" w:hAnsi="Arial"/>
                <w:sz w:val="21"/>
                <w:szCs w:val="21"/>
                <w:color w:val="23282B"/>
                <w:w w:val="99"/>
              </w:rPr>
              <w:t>Rochester Clothing</w:t>
            </w:r>
          </w:p>
        </w:tc>
        <w:tc>
          <w:tcPr>
            <w:tcW w:w="2040" w:type="dxa"/>
            <w:vAlign w:val="bottom"/>
          </w:tcPr>
          <w:p>
            <w:pPr>
              <w:jc w:val="right"/>
              <w:spacing w:after="0"/>
              <w:rPr>
                <w:sz w:val="20"/>
                <w:szCs w:val="20"/>
                <w:color w:val="auto"/>
              </w:rPr>
            </w:pPr>
            <w:r>
              <w:rPr>
                <w:rFonts w:ascii="Arial" w:cs="Arial" w:eastAsia="Arial" w:hAnsi="Arial"/>
                <w:sz w:val="21"/>
                <w:szCs w:val="21"/>
                <w:color w:val="23282B"/>
              </w:rPr>
              <w:t>Additional Stores</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ind w:right="520"/>
        <w:spacing w:after="0" w:line="294" w:lineRule="auto"/>
        <w:rPr>
          <w:sz w:val="20"/>
          <w:szCs w:val="20"/>
          <w:color w:val="auto"/>
        </w:rPr>
      </w:pPr>
      <w:r>
        <w:rPr>
          <w:rFonts w:ascii="Arial" w:cs="Arial" w:eastAsia="Arial" w:hAnsi="Arial"/>
          <w:sz w:val="23"/>
          <w:szCs w:val="23"/>
          <w:b w:val="1"/>
          <w:bCs w:val="1"/>
          <w:color w:val="23282B"/>
        </w:rPr>
        <w:t>DXL stores will account for the majority of square footage by end of fiscal 2017 Total square footage to increase 10% to 25% by end of fiscal 2017</w:t>
      </w:r>
    </w:p>
    <w:p>
      <w:pPr>
        <w:spacing w:after="0" w:line="394" w:lineRule="exact"/>
        <w:rPr>
          <w:sz w:val="20"/>
          <w:szCs w:val="20"/>
          <w:color w:val="auto"/>
        </w:rPr>
      </w:pPr>
    </w:p>
    <w:tbl>
      <w:tblPr>
        <w:tblLayout w:type="fixed"/>
        <w:tblInd w:w="390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60" w:type="dxa"/>
            <w:vAlign w:val="bottom"/>
          </w:tcPr>
          <w:p>
            <w:pPr>
              <w:jc w:val="right"/>
              <w:spacing w:after="0"/>
              <w:rPr>
                <w:sz w:val="20"/>
                <w:szCs w:val="20"/>
                <w:color w:val="auto"/>
              </w:rPr>
            </w:pPr>
            <w:r>
              <w:rPr>
                <w:rFonts w:ascii="Arial" w:cs="Arial" w:eastAsia="Arial" w:hAnsi="Arial"/>
                <w:sz w:val="18"/>
                <w:szCs w:val="18"/>
                <w:color w:val="8CA1A5"/>
              </w:rPr>
              <w:t>12</w:t>
            </w:r>
          </w:p>
        </w:tc>
      </w:tr>
    </w:tbl>
    <w:p>
      <w:pPr>
        <w:sectPr>
          <w:pgSz w:w="11900" w:h="16838" w:orient="portrait"/>
          <w:cols w:equalWidth="0" w:num="1">
            <w:col w:w="9960"/>
          </w:cols>
          <w:pgMar w:left="860" w:top="238" w:right="1079" w:bottom="1440" w:gutter="0" w:footer="0" w:header="0"/>
        </w:sectPr>
      </w:pPr>
    </w:p>
    <w:bookmarkStart w:id="15" w:name="page16"/>
    <w:bookmarkEnd w:id="15"/>
    <w:p>
      <w:pPr>
        <w:ind w:left="200"/>
        <w:spacing w:after="0"/>
        <w:rPr>
          <w:sz w:val="20"/>
          <w:szCs w:val="20"/>
          <w:color w:val="auto"/>
        </w:rPr>
      </w:pPr>
      <w:r>
        <w:rPr>
          <w:rFonts w:ascii="Arial" w:cs="Arial" w:eastAsia="Arial" w:hAnsi="Arial"/>
          <w:sz w:val="40"/>
          <w:szCs w:val="40"/>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IMPROVED PROFITABILITY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111760</wp:posOffset>
            </wp:positionV>
            <wp:extent cx="6485890" cy="4189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5890" cy="4189730"/>
                    </a:xfrm>
                    <a:prstGeom prst="rect">
                      <a:avLst/>
                    </a:prstGeom>
                    <a:noFill/>
                  </pic:spPr>
                </pic:pic>
              </a:graphicData>
            </a:graphic>
          </wp:anchor>
        </w:drawing>
      </w:r>
    </w:p>
    <w:p>
      <w:pPr>
        <w:sectPr>
          <w:pgSz w:w="11900" w:h="16838" w:orient="portrait"/>
          <w:cols w:equalWidth="0" w:num="1">
            <w:col w:w="9839"/>
          </w:cols>
          <w:pgMar w:left="620" w:top="2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b w:val="1"/>
          <w:bCs w:val="1"/>
          <w:color w:val="354047"/>
        </w:rPr>
        <w:t>Sales per square foot</w:t>
      </w:r>
    </w:p>
    <w:p>
      <w:pPr>
        <w:spacing w:after="0" w:line="141" w:lineRule="exact"/>
        <w:rPr>
          <w:sz w:val="20"/>
          <w:szCs w:val="20"/>
          <w:color w:val="auto"/>
        </w:rPr>
      </w:pPr>
    </w:p>
    <w:p>
      <w:pPr>
        <w:ind w:left="260" w:right="140" w:hanging="262"/>
        <w:spacing w:after="0" w:line="294" w:lineRule="auto"/>
        <w:rPr>
          <w:sz w:val="20"/>
          <w:szCs w:val="20"/>
          <w:color w:val="auto"/>
        </w:rPr>
      </w:pPr>
      <w:r>
        <w:rPr>
          <w:rFonts w:ascii="Arial" w:cs="Arial" w:eastAsia="Arial" w:hAnsi="Arial"/>
          <w:sz w:val="23"/>
          <w:szCs w:val="23"/>
          <w:b w:val="1"/>
          <w:bCs w:val="1"/>
          <w:color w:val="354047"/>
        </w:rPr>
        <w:t>Gross margin, net of occupancy costs</w:t>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b w:val="1"/>
          <w:bCs w:val="1"/>
          <w:color w:val="354047"/>
        </w:rPr>
        <w:t>SG&amp;A as a % of sales</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b w:val="1"/>
          <w:bCs w:val="1"/>
          <w:color w:val="354047"/>
        </w:rPr>
        <w:t>Four-wall cash flow</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354047"/>
        </w:rPr>
        <w:t>Build out costs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23282B"/>
          <w:vertAlign w:val="superscript"/>
        </w:rPr>
        <w:t>1</w:t>
      </w:r>
      <w:r>
        <w:rPr>
          <w:rFonts w:ascii="Arial" w:cs="Arial" w:eastAsia="Arial" w:hAnsi="Arial"/>
          <w:sz w:val="18"/>
          <w:szCs w:val="18"/>
          <w:b w:val="1"/>
          <w:bCs w:val="1"/>
          <w:color w:val="23282B"/>
        </w:rPr>
        <w:t>Average store results</w:t>
      </w:r>
    </w:p>
    <w:p>
      <w:pPr>
        <w:ind w:left="280"/>
        <w:spacing w:after="0"/>
        <w:rPr>
          <w:sz w:val="20"/>
          <w:szCs w:val="20"/>
          <w:color w:val="auto"/>
        </w:rPr>
      </w:pPr>
      <w:r>
        <w:rPr>
          <w:rFonts w:ascii="Arial" w:cs="Arial" w:eastAsia="Arial" w:hAnsi="Arial"/>
          <w:sz w:val="23"/>
          <w:szCs w:val="23"/>
          <w:b w:val="1"/>
          <w:bCs w:val="1"/>
          <w:color w:val="23282B"/>
          <w:vertAlign w:val="superscript"/>
        </w:rPr>
        <w:t>2</w:t>
      </w:r>
      <w:r>
        <w:rPr>
          <w:rFonts w:ascii="Arial" w:cs="Arial" w:eastAsia="Arial" w:hAnsi="Arial"/>
          <w:sz w:val="17"/>
          <w:szCs w:val="17"/>
          <w:b w:val="1"/>
          <w:bCs w:val="1"/>
          <w:color w:val="23282B"/>
        </w:rPr>
        <w:t>Average store pro forma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700" w:type="dxa"/>
            <w:vAlign w:val="bottom"/>
          </w:tcPr>
          <w:p>
            <w:pPr>
              <w:jc w:val="center"/>
              <w:spacing w:after="0"/>
              <w:rPr>
                <w:sz w:val="20"/>
                <w:szCs w:val="20"/>
                <w:color w:val="auto"/>
              </w:rPr>
            </w:pPr>
            <w:r>
              <w:rPr>
                <w:rFonts w:ascii="Arial" w:cs="Arial" w:eastAsia="Arial" w:hAnsi="Arial"/>
                <w:sz w:val="23"/>
                <w:szCs w:val="23"/>
                <w:b w:val="1"/>
                <w:bCs w:val="1"/>
                <w:color w:val="417C27"/>
                <w:w w:val="99"/>
              </w:rPr>
              <w:t>DXL</w:t>
            </w:r>
          </w:p>
        </w:tc>
        <w:tc>
          <w:tcPr>
            <w:tcW w:w="3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3"/>
                <w:szCs w:val="23"/>
                <w:b w:val="1"/>
                <w:bCs w:val="1"/>
                <w:color w:val="417C27"/>
                <w:w w:val="99"/>
              </w:rPr>
              <w:t>DXL</w:t>
            </w:r>
          </w:p>
        </w:tc>
        <w:tc>
          <w:tcPr>
            <w:tcW w:w="1360" w:type="dxa"/>
            <w:vAlign w:val="bottom"/>
          </w:tcPr>
          <w:p>
            <w:pPr>
              <w:jc w:val="center"/>
              <w:spacing w:after="0"/>
              <w:rPr>
                <w:sz w:val="20"/>
                <w:szCs w:val="20"/>
                <w:color w:val="auto"/>
              </w:rPr>
            </w:pPr>
            <w:r>
              <w:rPr>
                <w:rFonts w:ascii="Arial" w:cs="Arial" w:eastAsia="Arial" w:hAnsi="Arial"/>
                <w:sz w:val="23"/>
                <w:szCs w:val="23"/>
                <w:b w:val="1"/>
                <w:bCs w:val="1"/>
                <w:color w:val="417C27"/>
                <w:w w:val="99"/>
              </w:rPr>
              <w:t>DXL</w:t>
            </w:r>
          </w:p>
        </w:tc>
        <w:tc>
          <w:tcPr>
            <w:tcW w:w="1000" w:type="dxa"/>
            <w:vAlign w:val="bottom"/>
          </w:tcPr>
          <w:p>
            <w:pPr>
              <w:jc w:val="center"/>
              <w:ind w:left="185"/>
              <w:spacing w:after="0"/>
              <w:rPr>
                <w:sz w:val="20"/>
                <w:szCs w:val="20"/>
                <w:color w:val="auto"/>
              </w:rPr>
            </w:pPr>
            <w:r>
              <w:rPr>
                <w:rFonts w:ascii="Arial" w:cs="Arial" w:eastAsia="Arial" w:hAnsi="Arial"/>
                <w:sz w:val="23"/>
                <w:szCs w:val="23"/>
                <w:b w:val="1"/>
                <w:bCs w:val="1"/>
                <w:color w:val="417C27"/>
                <w:w w:val="99"/>
              </w:rPr>
              <w:t>DXL</w:t>
            </w:r>
          </w:p>
        </w:tc>
        <w:tc>
          <w:tcPr>
            <w:tcW w:w="80" w:type="dxa"/>
            <w:vAlign w:val="bottom"/>
          </w:tcPr>
          <w:p>
            <w:pPr>
              <w:spacing w:after="0"/>
              <w:rPr>
                <w:sz w:val="22"/>
                <w:szCs w:val="22"/>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23"/>
                <w:szCs w:val="23"/>
                <w:b w:val="1"/>
                <w:bCs w:val="1"/>
                <w:color w:val="417C27"/>
                <w:w w:val="98"/>
              </w:rPr>
              <w:t>Year 1</w:t>
            </w:r>
          </w:p>
        </w:tc>
        <w:tc>
          <w:tcPr>
            <w:tcW w:w="380" w:type="dxa"/>
            <w:vAlign w:val="bottom"/>
          </w:tcPr>
          <w:p>
            <w:pPr>
              <w:jc w:val="right"/>
              <w:ind w:right="209"/>
              <w:spacing w:after="0"/>
              <w:rPr>
                <w:sz w:val="20"/>
                <w:szCs w:val="20"/>
                <w:color w:val="auto"/>
              </w:rPr>
            </w:pPr>
            <w:r>
              <w:rPr>
                <w:rFonts w:ascii="Arial" w:cs="Arial" w:eastAsia="Arial" w:hAnsi="Arial"/>
                <w:sz w:val="14"/>
                <w:szCs w:val="14"/>
                <w:color w:val="23282B"/>
              </w:rPr>
              <w:t>1</w:t>
            </w:r>
          </w:p>
        </w:tc>
        <w:tc>
          <w:tcPr>
            <w:tcW w:w="1360" w:type="dxa"/>
            <w:vAlign w:val="bottom"/>
          </w:tcPr>
          <w:p>
            <w:pPr>
              <w:ind w:left="280"/>
              <w:spacing w:after="0"/>
              <w:rPr>
                <w:sz w:val="20"/>
                <w:szCs w:val="20"/>
                <w:color w:val="auto"/>
              </w:rPr>
            </w:pPr>
            <w:r>
              <w:rPr>
                <w:rFonts w:ascii="Arial" w:cs="Arial" w:eastAsia="Arial" w:hAnsi="Arial"/>
                <w:sz w:val="23"/>
                <w:szCs w:val="23"/>
                <w:b w:val="1"/>
                <w:bCs w:val="1"/>
                <w:color w:val="417C27"/>
              </w:rPr>
              <w:t>Year 2</w:t>
            </w:r>
            <w:r>
              <w:rPr>
                <w:rFonts w:ascii="Arial" w:cs="Arial" w:eastAsia="Arial" w:hAnsi="Arial"/>
                <w:sz w:val="28"/>
                <w:szCs w:val="28"/>
                <w:color w:val="23282B"/>
                <w:vertAlign w:val="superscript"/>
              </w:rPr>
              <w:t>1</w:t>
            </w:r>
          </w:p>
        </w:tc>
        <w:tc>
          <w:tcPr>
            <w:tcW w:w="1360" w:type="dxa"/>
            <w:vAlign w:val="bottom"/>
          </w:tcPr>
          <w:p>
            <w:pPr>
              <w:jc w:val="center"/>
              <w:spacing w:after="0"/>
              <w:rPr>
                <w:sz w:val="20"/>
                <w:szCs w:val="20"/>
                <w:color w:val="auto"/>
              </w:rPr>
            </w:pPr>
            <w:r>
              <w:rPr>
                <w:rFonts w:ascii="Arial" w:cs="Arial" w:eastAsia="Arial" w:hAnsi="Arial"/>
                <w:sz w:val="23"/>
                <w:szCs w:val="23"/>
                <w:b w:val="1"/>
                <w:bCs w:val="1"/>
                <w:color w:val="417C27"/>
                <w:w w:val="95"/>
              </w:rPr>
              <w:t>Year 3</w:t>
            </w:r>
            <w:r>
              <w:rPr>
                <w:rFonts w:ascii="Arial" w:cs="Arial" w:eastAsia="Arial" w:hAnsi="Arial"/>
                <w:sz w:val="28"/>
                <w:szCs w:val="28"/>
                <w:color w:val="23282B"/>
                <w:w w:val="95"/>
                <w:vertAlign w:val="superscript"/>
              </w:rPr>
              <w:t>1</w:t>
            </w:r>
          </w:p>
        </w:tc>
        <w:tc>
          <w:tcPr>
            <w:tcW w:w="1000" w:type="dxa"/>
            <w:vAlign w:val="bottom"/>
          </w:tcPr>
          <w:p>
            <w:pPr>
              <w:jc w:val="center"/>
              <w:ind w:left="165"/>
              <w:spacing w:after="0"/>
              <w:rPr>
                <w:sz w:val="20"/>
                <w:szCs w:val="20"/>
                <w:color w:val="auto"/>
              </w:rPr>
            </w:pPr>
            <w:r>
              <w:rPr>
                <w:rFonts w:ascii="Arial" w:cs="Arial" w:eastAsia="Arial" w:hAnsi="Arial"/>
                <w:sz w:val="23"/>
                <w:szCs w:val="23"/>
                <w:b w:val="1"/>
                <w:bCs w:val="1"/>
                <w:color w:val="417C27"/>
                <w:w w:val="98"/>
              </w:rPr>
              <w:t>Year 4</w:t>
            </w:r>
          </w:p>
        </w:tc>
        <w:tc>
          <w:tcPr>
            <w:tcW w:w="80" w:type="dxa"/>
            <w:vAlign w:val="bottom"/>
          </w:tcPr>
          <w:p>
            <w:pPr>
              <w:jc w:val="right"/>
              <w:spacing w:after="0"/>
              <w:rPr>
                <w:sz w:val="20"/>
                <w:szCs w:val="20"/>
                <w:color w:val="auto"/>
              </w:rPr>
            </w:pPr>
            <w:r>
              <w:rPr>
                <w:rFonts w:ascii="Arial" w:cs="Arial" w:eastAsia="Arial" w:hAnsi="Arial"/>
                <w:sz w:val="14"/>
                <w:szCs w:val="14"/>
                <w:color w:val="23282B"/>
                <w:w w:val="76"/>
              </w:rPr>
              <w:t>2</w:t>
            </w:r>
          </w:p>
        </w:tc>
      </w:tr>
      <w:tr>
        <w:trPr>
          <w:trHeight w:val="381"/>
        </w:trPr>
        <w:tc>
          <w:tcPr>
            <w:tcW w:w="700" w:type="dxa"/>
            <w:vAlign w:val="bottom"/>
          </w:tcPr>
          <w:p>
            <w:pPr>
              <w:jc w:val="center"/>
              <w:spacing w:after="0"/>
              <w:rPr>
                <w:sz w:val="20"/>
                <w:szCs w:val="20"/>
                <w:color w:val="auto"/>
              </w:rPr>
            </w:pPr>
            <w:r>
              <w:rPr>
                <w:rFonts w:ascii="Arial" w:cs="Arial" w:eastAsia="Arial" w:hAnsi="Arial"/>
                <w:sz w:val="23"/>
                <w:szCs w:val="23"/>
                <w:color w:val="23282B"/>
                <w:w w:val="97"/>
              </w:rPr>
              <w:t>$150</w:t>
            </w:r>
          </w:p>
        </w:tc>
        <w:tc>
          <w:tcPr>
            <w:tcW w:w="380" w:type="dxa"/>
            <w:vAlign w:val="bottom"/>
          </w:tcPr>
          <w:p>
            <w:pPr>
              <w:spacing w:after="0"/>
              <w:rPr>
                <w:sz w:val="24"/>
                <w:szCs w:val="24"/>
                <w:color w:val="auto"/>
              </w:rPr>
            </w:pPr>
          </w:p>
        </w:tc>
        <w:tc>
          <w:tcPr>
            <w:tcW w:w="1360" w:type="dxa"/>
            <w:vAlign w:val="bottom"/>
          </w:tcPr>
          <w:p>
            <w:pPr>
              <w:jc w:val="center"/>
              <w:ind w:right="5"/>
              <w:spacing w:after="0"/>
              <w:rPr>
                <w:sz w:val="20"/>
                <w:szCs w:val="20"/>
                <w:color w:val="auto"/>
              </w:rPr>
            </w:pPr>
            <w:r>
              <w:rPr>
                <w:rFonts w:ascii="Arial" w:cs="Arial" w:eastAsia="Arial" w:hAnsi="Arial"/>
                <w:sz w:val="23"/>
                <w:szCs w:val="23"/>
                <w:color w:val="23282B"/>
              </w:rPr>
              <w:t>$170</w:t>
            </w:r>
          </w:p>
        </w:tc>
        <w:tc>
          <w:tcPr>
            <w:tcW w:w="1360" w:type="dxa"/>
            <w:vAlign w:val="bottom"/>
          </w:tcPr>
          <w:p>
            <w:pPr>
              <w:jc w:val="center"/>
              <w:spacing w:after="0"/>
              <w:rPr>
                <w:sz w:val="20"/>
                <w:szCs w:val="20"/>
                <w:color w:val="auto"/>
              </w:rPr>
            </w:pPr>
            <w:r>
              <w:rPr>
                <w:rFonts w:ascii="Arial" w:cs="Arial" w:eastAsia="Arial" w:hAnsi="Arial"/>
                <w:sz w:val="23"/>
                <w:szCs w:val="23"/>
                <w:color w:val="23282B"/>
                <w:w w:val="97"/>
              </w:rPr>
              <w:t>$190</w:t>
            </w:r>
          </w:p>
        </w:tc>
        <w:tc>
          <w:tcPr>
            <w:tcW w:w="1000" w:type="dxa"/>
            <w:vAlign w:val="bottom"/>
          </w:tcPr>
          <w:p>
            <w:pPr>
              <w:jc w:val="center"/>
              <w:ind w:left="185"/>
              <w:spacing w:after="0"/>
              <w:rPr>
                <w:sz w:val="20"/>
                <w:szCs w:val="20"/>
                <w:color w:val="auto"/>
              </w:rPr>
            </w:pPr>
            <w:r>
              <w:rPr>
                <w:rFonts w:ascii="Arial" w:cs="Arial" w:eastAsia="Arial" w:hAnsi="Arial"/>
                <w:sz w:val="23"/>
                <w:szCs w:val="23"/>
                <w:color w:val="23282B"/>
                <w:w w:val="97"/>
              </w:rPr>
              <w:t>$205</w:t>
            </w:r>
          </w:p>
        </w:tc>
        <w:tc>
          <w:tcPr>
            <w:tcW w:w="80" w:type="dxa"/>
            <w:vAlign w:val="bottom"/>
          </w:tcPr>
          <w:p>
            <w:pPr>
              <w:spacing w:after="0"/>
              <w:rPr>
                <w:sz w:val="24"/>
                <w:szCs w:val="24"/>
                <w:color w:val="auto"/>
              </w:rPr>
            </w:pPr>
          </w:p>
        </w:tc>
      </w:tr>
      <w:tr>
        <w:trPr>
          <w:trHeight w:val="548"/>
        </w:trPr>
        <w:tc>
          <w:tcPr>
            <w:tcW w:w="700" w:type="dxa"/>
            <w:vAlign w:val="bottom"/>
          </w:tcPr>
          <w:p>
            <w:pPr>
              <w:jc w:val="center"/>
              <w:spacing w:after="0"/>
              <w:rPr>
                <w:sz w:val="20"/>
                <w:szCs w:val="20"/>
                <w:color w:val="auto"/>
              </w:rPr>
            </w:pPr>
            <w:r>
              <w:rPr>
                <w:rFonts w:ascii="Arial" w:cs="Arial" w:eastAsia="Arial" w:hAnsi="Arial"/>
                <w:sz w:val="23"/>
                <w:szCs w:val="23"/>
                <w:color w:val="23282B"/>
              </w:rPr>
              <w:t>42.0%</w:t>
            </w:r>
          </w:p>
        </w:tc>
        <w:tc>
          <w:tcPr>
            <w:tcW w:w="380" w:type="dxa"/>
            <w:vAlign w:val="bottom"/>
          </w:tcPr>
          <w:p>
            <w:pPr>
              <w:spacing w:after="0"/>
              <w:rPr>
                <w:sz w:val="24"/>
                <w:szCs w:val="24"/>
                <w:color w:val="auto"/>
              </w:rPr>
            </w:pPr>
          </w:p>
        </w:tc>
        <w:tc>
          <w:tcPr>
            <w:tcW w:w="1360" w:type="dxa"/>
            <w:vAlign w:val="bottom"/>
          </w:tcPr>
          <w:p>
            <w:pPr>
              <w:jc w:val="center"/>
              <w:ind w:right="5"/>
              <w:spacing w:after="0"/>
              <w:rPr>
                <w:sz w:val="20"/>
                <w:szCs w:val="20"/>
                <w:color w:val="auto"/>
              </w:rPr>
            </w:pPr>
            <w:r>
              <w:rPr>
                <w:rFonts w:ascii="Arial" w:cs="Arial" w:eastAsia="Arial" w:hAnsi="Arial"/>
                <w:sz w:val="23"/>
                <w:szCs w:val="23"/>
                <w:color w:val="23282B"/>
                <w:w w:val="98"/>
              </w:rPr>
              <w:t>44.0%</w:t>
            </w:r>
          </w:p>
        </w:tc>
        <w:tc>
          <w:tcPr>
            <w:tcW w:w="1360" w:type="dxa"/>
            <w:vAlign w:val="bottom"/>
          </w:tcPr>
          <w:p>
            <w:pPr>
              <w:jc w:val="center"/>
              <w:spacing w:after="0"/>
              <w:rPr>
                <w:sz w:val="20"/>
                <w:szCs w:val="20"/>
                <w:color w:val="auto"/>
              </w:rPr>
            </w:pPr>
            <w:r>
              <w:rPr>
                <w:rFonts w:ascii="Arial" w:cs="Arial" w:eastAsia="Arial" w:hAnsi="Arial"/>
                <w:sz w:val="23"/>
                <w:szCs w:val="23"/>
                <w:color w:val="23282B"/>
              </w:rPr>
              <w:t>45.0%</w:t>
            </w:r>
          </w:p>
        </w:tc>
        <w:tc>
          <w:tcPr>
            <w:tcW w:w="1000" w:type="dxa"/>
            <w:vAlign w:val="bottom"/>
          </w:tcPr>
          <w:p>
            <w:pPr>
              <w:jc w:val="center"/>
              <w:ind w:left="185"/>
              <w:spacing w:after="0"/>
              <w:rPr>
                <w:sz w:val="20"/>
                <w:szCs w:val="20"/>
                <w:color w:val="auto"/>
              </w:rPr>
            </w:pPr>
            <w:r>
              <w:rPr>
                <w:rFonts w:ascii="Arial" w:cs="Arial" w:eastAsia="Arial" w:hAnsi="Arial"/>
                <w:sz w:val="23"/>
                <w:szCs w:val="23"/>
                <w:color w:val="23282B"/>
              </w:rPr>
              <w:t>46.0%</w:t>
            </w:r>
          </w:p>
        </w:tc>
        <w:tc>
          <w:tcPr>
            <w:tcW w:w="80" w:type="dxa"/>
            <w:vAlign w:val="bottom"/>
          </w:tcPr>
          <w:p>
            <w:pPr>
              <w:spacing w:after="0"/>
              <w:rPr>
                <w:sz w:val="24"/>
                <w:szCs w:val="24"/>
                <w:color w:val="auto"/>
              </w:rPr>
            </w:pPr>
          </w:p>
        </w:tc>
      </w:tr>
      <w:tr>
        <w:trPr>
          <w:trHeight w:val="537"/>
        </w:trPr>
        <w:tc>
          <w:tcPr>
            <w:tcW w:w="700" w:type="dxa"/>
            <w:vAlign w:val="bottom"/>
          </w:tcPr>
          <w:p>
            <w:pPr>
              <w:jc w:val="center"/>
              <w:spacing w:after="0"/>
              <w:rPr>
                <w:sz w:val="20"/>
                <w:szCs w:val="20"/>
                <w:color w:val="auto"/>
              </w:rPr>
            </w:pPr>
            <w:r>
              <w:rPr>
                <w:rFonts w:ascii="Arial" w:cs="Arial" w:eastAsia="Arial" w:hAnsi="Arial"/>
                <w:sz w:val="23"/>
                <w:szCs w:val="23"/>
                <w:color w:val="23282B"/>
              </w:rPr>
              <w:t>26.0%</w:t>
            </w:r>
          </w:p>
        </w:tc>
        <w:tc>
          <w:tcPr>
            <w:tcW w:w="380" w:type="dxa"/>
            <w:vAlign w:val="bottom"/>
          </w:tcPr>
          <w:p>
            <w:pPr>
              <w:spacing w:after="0"/>
              <w:rPr>
                <w:sz w:val="24"/>
                <w:szCs w:val="24"/>
                <w:color w:val="auto"/>
              </w:rPr>
            </w:pPr>
          </w:p>
        </w:tc>
        <w:tc>
          <w:tcPr>
            <w:tcW w:w="1360" w:type="dxa"/>
            <w:vAlign w:val="bottom"/>
          </w:tcPr>
          <w:p>
            <w:pPr>
              <w:jc w:val="center"/>
              <w:ind w:right="5"/>
              <w:spacing w:after="0"/>
              <w:rPr>
                <w:sz w:val="20"/>
                <w:szCs w:val="20"/>
                <w:color w:val="auto"/>
              </w:rPr>
            </w:pPr>
            <w:r>
              <w:rPr>
                <w:rFonts w:ascii="Arial" w:cs="Arial" w:eastAsia="Arial" w:hAnsi="Arial"/>
                <w:sz w:val="23"/>
                <w:szCs w:val="23"/>
                <w:color w:val="23282B"/>
                <w:w w:val="98"/>
              </w:rPr>
              <w:t>22.0%</w:t>
            </w:r>
          </w:p>
        </w:tc>
        <w:tc>
          <w:tcPr>
            <w:tcW w:w="1360" w:type="dxa"/>
            <w:vAlign w:val="bottom"/>
          </w:tcPr>
          <w:p>
            <w:pPr>
              <w:jc w:val="center"/>
              <w:spacing w:after="0"/>
              <w:rPr>
                <w:sz w:val="20"/>
                <w:szCs w:val="20"/>
                <w:color w:val="auto"/>
              </w:rPr>
            </w:pPr>
            <w:r>
              <w:rPr>
                <w:rFonts w:ascii="Arial" w:cs="Arial" w:eastAsia="Arial" w:hAnsi="Arial"/>
                <w:sz w:val="23"/>
                <w:szCs w:val="23"/>
                <w:color w:val="23282B"/>
              </w:rPr>
              <w:t>21.0%</w:t>
            </w:r>
          </w:p>
        </w:tc>
        <w:tc>
          <w:tcPr>
            <w:tcW w:w="1000" w:type="dxa"/>
            <w:vAlign w:val="bottom"/>
          </w:tcPr>
          <w:p>
            <w:pPr>
              <w:jc w:val="center"/>
              <w:ind w:left="185"/>
              <w:spacing w:after="0"/>
              <w:rPr>
                <w:sz w:val="20"/>
                <w:szCs w:val="20"/>
                <w:color w:val="auto"/>
              </w:rPr>
            </w:pPr>
            <w:r>
              <w:rPr>
                <w:rFonts w:ascii="Arial" w:cs="Arial" w:eastAsia="Arial" w:hAnsi="Arial"/>
                <w:sz w:val="23"/>
                <w:szCs w:val="23"/>
                <w:color w:val="23282B"/>
              </w:rPr>
              <w:t>21.0%</w:t>
            </w:r>
          </w:p>
        </w:tc>
        <w:tc>
          <w:tcPr>
            <w:tcW w:w="80" w:type="dxa"/>
            <w:vAlign w:val="bottom"/>
          </w:tcPr>
          <w:p>
            <w:pPr>
              <w:spacing w:after="0"/>
              <w:rPr>
                <w:sz w:val="24"/>
                <w:szCs w:val="24"/>
                <w:color w:val="auto"/>
              </w:rPr>
            </w:pPr>
          </w:p>
        </w:tc>
      </w:tr>
      <w:tr>
        <w:trPr>
          <w:trHeight w:val="537"/>
        </w:trPr>
        <w:tc>
          <w:tcPr>
            <w:tcW w:w="700" w:type="dxa"/>
            <w:vAlign w:val="bottom"/>
          </w:tcPr>
          <w:p>
            <w:pPr>
              <w:jc w:val="center"/>
              <w:spacing w:after="0"/>
              <w:rPr>
                <w:sz w:val="20"/>
                <w:szCs w:val="20"/>
                <w:color w:val="auto"/>
              </w:rPr>
            </w:pPr>
            <w:r>
              <w:rPr>
                <w:rFonts w:ascii="Arial" w:cs="Arial" w:eastAsia="Arial" w:hAnsi="Arial"/>
                <w:sz w:val="23"/>
                <w:szCs w:val="23"/>
                <w:color w:val="23282B"/>
              </w:rPr>
              <w:t>16.0%</w:t>
            </w:r>
          </w:p>
        </w:tc>
        <w:tc>
          <w:tcPr>
            <w:tcW w:w="380" w:type="dxa"/>
            <w:vAlign w:val="bottom"/>
          </w:tcPr>
          <w:p>
            <w:pPr>
              <w:spacing w:after="0"/>
              <w:rPr>
                <w:sz w:val="24"/>
                <w:szCs w:val="24"/>
                <w:color w:val="auto"/>
              </w:rPr>
            </w:pPr>
          </w:p>
        </w:tc>
        <w:tc>
          <w:tcPr>
            <w:tcW w:w="1360" w:type="dxa"/>
            <w:vAlign w:val="bottom"/>
          </w:tcPr>
          <w:p>
            <w:pPr>
              <w:jc w:val="center"/>
              <w:ind w:right="5"/>
              <w:spacing w:after="0"/>
              <w:rPr>
                <w:sz w:val="20"/>
                <w:szCs w:val="20"/>
                <w:color w:val="auto"/>
              </w:rPr>
            </w:pPr>
            <w:r>
              <w:rPr>
                <w:rFonts w:ascii="Arial" w:cs="Arial" w:eastAsia="Arial" w:hAnsi="Arial"/>
                <w:sz w:val="23"/>
                <w:szCs w:val="23"/>
                <w:color w:val="23282B"/>
                <w:w w:val="98"/>
              </w:rPr>
              <w:t>22.0%</w:t>
            </w:r>
          </w:p>
        </w:tc>
        <w:tc>
          <w:tcPr>
            <w:tcW w:w="1360" w:type="dxa"/>
            <w:vAlign w:val="bottom"/>
          </w:tcPr>
          <w:p>
            <w:pPr>
              <w:jc w:val="center"/>
              <w:spacing w:after="0"/>
              <w:rPr>
                <w:sz w:val="20"/>
                <w:szCs w:val="20"/>
                <w:color w:val="auto"/>
              </w:rPr>
            </w:pPr>
            <w:r>
              <w:rPr>
                <w:rFonts w:ascii="Arial" w:cs="Arial" w:eastAsia="Arial" w:hAnsi="Arial"/>
                <w:sz w:val="23"/>
                <w:szCs w:val="23"/>
                <w:color w:val="23282B"/>
              </w:rPr>
              <w:t>24.0%</w:t>
            </w:r>
          </w:p>
        </w:tc>
        <w:tc>
          <w:tcPr>
            <w:tcW w:w="1000" w:type="dxa"/>
            <w:vAlign w:val="bottom"/>
          </w:tcPr>
          <w:p>
            <w:pPr>
              <w:jc w:val="center"/>
              <w:ind w:left="185"/>
              <w:spacing w:after="0"/>
              <w:rPr>
                <w:sz w:val="20"/>
                <w:szCs w:val="20"/>
                <w:color w:val="auto"/>
              </w:rPr>
            </w:pPr>
            <w:r>
              <w:rPr>
                <w:rFonts w:ascii="Arial" w:cs="Arial" w:eastAsia="Arial" w:hAnsi="Arial"/>
                <w:sz w:val="23"/>
                <w:szCs w:val="23"/>
                <w:color w:val="23282B"/>
              </w:rPr>
              <w:t>25.0%</w:t>
            </w:r>
          </w:p>
        </w:tc>
        <w:tc>
          <w:tcPr>
            <w:tcW w:w="80" w:type="dxa"/>
            <w:vAlign w:val="bottom"/>
          </w:tcPr>
          <w:p>
            <w:pPr>
              <w:spacing w:after="0"/>
              <w:rPr>
                <w:sz w:val="24"/>
                <w:szCs w:val="24"/>
                <w:color w:val="auto"/>
              </w:rPr>
            </w:pPr>
          </w:p>
        </w:tc>
      </w:tr>
      <w:tr>
        <w:trPr>
          <w:trHeight w:val="526"/>
        </w:trPr>
        <w:tc>
          <w:tcPr>
            <w:tcW w:w="700" w:type="dxa"/>
            <w:vAlign w:val="bottom"/>
          </w:tcPr>
          <w:p>
            <w:pPr>
              <w:jc w:val="center"/>
              <w:spacing w:after="0"/>
              <w:rPr>
                <w:sz w:val="20"/>
                <w:szCs w:val="20"/>
                <w:color w:val="auto"/>
              </w:rPr>
            </w:pPr>
            <w:r>
              <w:rPr>
                <w:rFonts w:ascii="Arial" w:cs="Arial" w:eastAsia="Arial" w:hAnsi="Arial"/>
                <w:sz w:val="23"/>
                <w:szCs w:val="23"/>
                <w:color w:val="23282B"/>
                <w:w w:val="98"/>
              </w:rPr>
              <w:t>$75</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Arial" w:cs="Arial" w:eastAsia="Arial" w:hAnsi="Arial"/>
          <w:sz w:val="14"/>
          <w:szCs w:val="14"/>
          <w:color w:val="4D5D67"/>
        </w:rPr>
        <w:t>Destination XL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1"/>
          <w:szCs w:val="31"/>
          <w:b w:val="1"/>
          <w:bCs w:val="1"/>
          <w:color w:val="417C27"/>
          <w:vertAlign w:val="subscript"/>
        </w:rPr>
        <w:t>Year</w:t>
      </w:r>
      <w:r>
        <w:rPr>
          <w:rFonts w:ascii="Arial" w:cs="Arial" w:eastAsia="Arial" w:hAnsi="Arial"/>
          <w:sz w:val="31"/>
          <w:szCs w:val="31"/>
          <w:b w:val="1"/>
          <w:bCs w:val="1"/>
          <w:color w:val="417C27"/>
          <w:vertAlign w:val="superscript"/>
        </w:rPr>
        <w:t>DXL</w:t>
      </w:r>
      <w:r>
        <w:rPr>
          <w:rFonts w:ascii="Arial" w:cs="Arial" w:eastAsia="Arial" w:hAnsi="Arial"/>
          <w:sz w:val="31"/>
          <w:szCs w:val="31"/>
          <w:b w:val="1"/>
          <w:bCs w:val="1"/>
          <w:color w:val="417C27"/>
          <w:vertAlign w:val="subscript"/>
        </w:rPr>
        <w:t>5</w:t>
      </w:r>
      <w:r>
        <w:rPr>
          <w:rFonts w:ascii="Arial" w:cs="Arial" w:eastAsia="Arial" w:hAnsi="Arial"/>
          <w:sz w:val="12"/>
          <w:szCs w:val="12"/>
          <w:color w:val="23282B"/>
        </w:rPr>
        <w:t>2</w:t>
      </w:r>
    </w:p>
    <w:p>
      <w:pPr>
        <w:spacing w:after="0" w:line="372" w:lineRule="exact"/>
        <w:rPr>
          <w:sz w:val="20"/>
          <w:szCs w:val="20"/>
          <w:color w:val="auto"/>
        </w:rPr>
      </w:pPr>
    </w:p>
    <w:p>
      <w:pPr>
        <w:jc w:val="center"/>
        <w:ind w:right="559"/>
        <w:spacing w:after="0"/>
        <w:rPr>
          <w:sz w:val="20"/>
          <w:szCs w:val="20"/>
          <w:color w:val="auto"/>
        </w:rPr>
      </w:pPr>
      <w:r>
        <w:rPr>
          <w:rFonts w:ascii="Arial" w:cs="Arial" w:eastAsia="Arial" w:hAnsi="Arial"/>
          <w:sz w:val="23"/>
          <w:szCs w:val="23"/>
          <w:b w:val="1"/>
          <w:bCs w:val="1"/>
          <w:color w:val="23282B"/>
        </w:rPr>
        <w:t>$220</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23282B"/>
        </w:rPr>
        <w:t>47.0%</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23282B"/>
        </w:rPr>
        <w:t>20.0%</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23282B"/>
        </w:rPr>
        <w:t>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8CA1A5"/>
        </w:rPr>
        <w:t>13</w:t>
      </w:r>
    </w:p>
    <w:p>
      <w:pPr>
        <w:sectPr>
          <w:pgSz w:w="11900" w:h="16838" w:orient="portrait"/>
          <w:cols w:equalWidth="0" w:num="3">
            <w:col w:w="2400" w:space="720"/>
            <w:col w:w="4880" w:space="600"/>
            <w:col w:w="1239"/>
          </w:cols>
          <w:pgMar w:left="620" w:top="238"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025" cy="33655"/>
                    </a:xfrm>
                    <a:prstGeom prst="rect">
                      <a:avLst/>
                    </a:prstGeom>
                    <a:noFill/>
                  </pic:spPr>
                </pic:pic>
              </a:graphicData>
            </a:graphic>
          </wp:anchor>
        </w:drawing>
        <w:t>DXL 5K STORES DRIVE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97790</wp:posOffset>
            </wp:positionV>
            <wp:extent cx="6200775" cy="4189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369" w:lineRule="exact"/>
        <w:rPr>
          <w:sz w:val="20"/>
          <w:szCs w:val="20"/>
          <w:color w:val="auto"/>
        </w:rPr>
      </w:pPr>
    </w:p>
    <w:p>
      <w:pPr>
        <w:ind w:right="1779"/>
        <w:spacing w:after="0" w:line="284" w:lineRule="auto"/>
        <w:rPr>
          <w:sz w:val="20"/>
          <w:szCs w:val="20"/>
          <w:color w:val="auto"/>
        </w:rPr>
      </w:pPr>
      <w:r>
        <w:rPr>
          <w:rFonts w:ascii="Arial" w:cs="Arial" w:eastAsia="Arial" w:hAnsi="Arial"/>
          <w:sz w:val="23"/>
          <w:szCs w:val="23"/>
          <w:b w:val="1"/>
          <w:bCs w:val="1"/>
          <w:color w:val="23282B"/>
        </w:rPr>
        <w:t>Introduced 5,000 square foot store concept in Q2 2014, which increased opportunity for continued store growth by ~50 more stores</w:t>
      </w:r>
    </w:p>
    <w:p>
      <w:pPr>
        <w:spacing w:after="0" w:line="218" w:lineRule="exact"/>
        <w:rPr>
          <w:sz w:val="20"/>
          <w:szCs w:val="20"/>
          <w:color w:val="auto"/>
        </w:rPr>
      </w:pPr>
    </w:p>
    <w:p>
      <w:pPr>
        <w:spacing w:after="0"/>
        <w:rPr>
          <w:sz w:val="20"/>
          <w:szCs w:val="20"/>
          <w:color w:val="auto"/>
        </w:rPr>
      </w:pPr>
      <w:r>
        <w:rPr>
          <w:rFonts w:ascii="Arial" w:cs="Arial" w:eastAsia="Arial" w:hAnsi="Arial"/>
          <w:sz w:val="23"/>
          <w:szCs w:val="23"/>
          <w:b w:val="1"/>
          <w:bCs w:val="1"/>
          <w:color w:val="23282B"/>
        </w:rPr>
        <w:t>Lowers cap ex and occupancy costs by 25% as compared to a 7,000 sq. ft. store</w:t>
      </w:r>
    </w:p>
    <w:p>
      <w:pPr>
        <w:spacing w:after="0" w:line="294" w:lineRule="exact"/>
        <w:rPr>
          <w:sz w:val="20"/>
          <w:szCs w:val="20"/>
          <w:color w:val="auto"/>
        </w:rPr>
      </w:pPr>
    </w:p>
    <w:p>
      <w:pPr>
        <w:jc w:val="both"/>
        <w:ind w:right="579"/>
        <w:spacing w:after="0" w:line="271" w:lineRule="auto"/>
        <w:rPr>
          <w:sz w:val="20"/>
          <w:szCs w:val="20"/>
          <w:color w:val="auto"/>
        </w:rPr>
      </w:pPr>
      <w:r>
        <w:rPr>
          <w:rFonts w:ascii="Arial" w:cs="Arial" w:eastAsia="Arial" w:hAnsi="Arial"/>
          <w:sz w:val="23"/>
          <w:szCs w:val="23"/>
          <w:b w:val="1"/>
          <w:bCs w:val="1"/>
          <w:color w:val="23282B"/>
        </w:rPr>
        <w:t>Penetrate smaller markets, where the economics of a full-size DXL would not work, and certain larger markets that warrant an additional presence due to geographical considerations</w:t>
      </w:r>
    </w:p>
    <w:p>
      <w:pPr>
        <w:spacing w:after="0" w:line="233" w:lineRule="exact"/>
        <w:rPr>
          <w:sz w:val="20"/>
          <w:szCs w:val="20"/>
          <w:color w:val="auto"/>
        </w:rPr>
      </w:pPr>
    </w:p>
    <w:p>
      <w:pPr>
        <w:ind w:right="459"/>
        <w:spacing w:after="0" w:line="284" w:lineRule="auto"/>
        <w:rPr>
          <w:sz w:val="20"/>
          <w:szCs w:val="20"/>
          <w:color w:val="auto"/>
        </w:rPr>
      </w:pPr>
      <w:r>
        <w:rPr>
          <w:rFonts w:ascii="Arial" w:cs="Arial" w:eastAsia="Arial" w:hAnsi="Arial"/>
          <w:sz w:val="23"/>
          <w:szCs w:val="23"/>
          <w:b w:val="1"/>
          <w:bCs w:val="1"/>
          <w:color w:val="417C27"/>
        </w:rPr>
        <w:t>Economics of a 5,000 square foot DXL in year one in a sample market with expected annual sales of ~$800K:</w:t>
      </w:r>
    </w:p>
    <w:p>
      <w:pPr>
        <w:spacing w:after="0" w:line="240" w:lineRule="exact"/>
        <w:rPr>
          <w:sz w:val="20"/>
          <w:szCs w:val="20"/>
          <w:color w:val="auto"/>
        </w:rPr>
      </w:pPr>
    </w:p>
    <w:tbl>
      <w:tblPr>
        <w:tblLayout w:type="fixed"/>
        <w:tblInd w:w="1580" w:type="dxa"/>
        <w:tblCellMar>
          <w:top w:w="0" w:type="dxa"/>
          <w:left w:w="0" w:type="dxa"/>
          <w:bottom w:w="0" w:type="dxa"/>
          <w:right w:w="0" w:type="dxa"/>
        </w:tblCellMar>
      </w:tblPr>
      <w:tr>
        <w:trPr>
          <w:trHeight w:val="304"/>
        </w:trPr>
        <w:tc>
          <w:tcPr>
            <w:tcW w:w="4740" w:type="dxa"/>
            <w:vAlign w:val="bottom"/>
          </w:tcPr>
          <w:p>
            <w:pPr>
              <w:spacing w:after="0"/>
              <w:rPr>
                <w:sz w:val="20"/>
                <w:szCs w:val="20"/>
                <w:color w:val="auto"/>
              </w:rPr>
            </w:pPr>
            <w:r>
              <w:rPr>
                <w:rFonts w:ascii="Arial" w:cs="Arial" w:eastAsia="Arial" w:hAnsi="Arial"/>
                <w:sz w:val="23"/>
                <w:szCs w:val="23"/>
                <w:b w:val="1"/>
                <w:bCs w:val="1"/>
                <w:color w:val="354047"/>
              </w:rPr>
              <w:t>Sales per square foot</w:t>
            </w:r>
          </w:p>
        </w:tc>
        <w:tc>
          <w:tcPr>
            <w:tcW w:w="3040" w:type="dxa"/>
            <w:vAlign w:val="bottom"/>
          </w:tcPr>
          <w:p>
            <w:pPr>
              <w:jc w:val="right"/>
              <w:ind w:right="1749"/>
              <w:spacing w:after="0"/>
              <w:rPr>
                <w:sz w:val="20"/>
                <w:szCs w:val="20"/>
                <w:color w:val="auto"/>
              </w:rPr>
            </w:pPr>
            <w:r>
              <w:rPr>
                <w:rFonts w:ascii="Arial" w:cs="Arial" w:eastAsia="Arial" w:hAnsi="Arial"/>
                <w:sz w:val="23"/>
                <w:szCs w:val="23"/>
                <w:b w:val="1"/>
                <w:bCs w:val="1"/>
                <w:color w:val="354047"/>
              </w:rPr>
              <w:t>$160</w:t>
            </w:r>
          </w:p>
        </w:tc>
      </w:tr>
      <w:tr>
        <w:trPr>
          <w:trHeight w:val="515"/>
        </w:trPr>
        <w:tc>
          <w:tcPr>
            <w:tcW w:w="4740" w:type="dxa"/>
            <w:vAlign w:val="bottom"/>
          </w:tcPr>
          <w:p>
            <w:pPr>
              <w:spacing w:after="0"/>
              <w:rPr>
                <w:sz w:val="20"/>
                <w:szCs w:val="20"/>
                <w:color w:val="auto"/>
              </w:rPr>
            </w:pPr>
            <w:r>
              <w:rPr>
                <w:rFonts w:ascii="Arial" w:cs="Arial" w:eastAsia="Arial" w:hAnsi="Arial"/>
                <w:sz w:val="23"/>
                <w:szCs w:val="23"/>
                <w:b w:val="1"/>
                <w:bCs w:val="1"/>
                <w:color w:val="354047"/>
              </w:rPr>
              <w:t>Gross margin, net of occupancy costs</w:t>
            </w:r>
          </w:p>
        </w:tc>
        <w:tc>
          <w:tcPr>
            <w:tcW w:w="3040" w:type="dxa"/>
            <w:vAlign w:val="bottom"/>
          </w:tcPr>
          <w:p>
            <w:pPr>
              <w:jc w:val="right"/>
              <w:ind w:right="1729"/>
              <w:spacing w:after="0"/>
              <w:rPr>
                <w:sz w:val="20"/>
                <w:szCs w:val="20"/>
                <w:color w:val="auto"/>
              </w:rPr>
            </w:pPr>
            <w:r>
              <w:rPr>
                <w:rFonts w:ascii="Arial" w:cs="Arial" w:eastAsia="Arial" w:hAnsi="Arial"/>
                <w:sz w:val="23"/>
                <w:szCs w:val="23"/>
                <w:b w:val="1"/>
                <w:bCs w:val="1"/>
                <w:color w:val="354047"/>
              </w:rPr>
              <w:t>45.5%</w:t>
            </w:r>
          </w:p>
        </w:tc>
      </w:tr>
      <w:tr>
        <w:trPr>
          <w:trHeight w:val="504"/>
        </w:trPr>
        <w:tc>
          <w:tcPr>
            <w:tcW w:w="4740" w:type="dxa"/>
            <w:vAlign w:val="bottom"/>
          </w:tcPr>
          <w:p>
            <w:pPr>
              <w:spacing w:after="0"/>
              <w:rPr>
                <w:sz w:val="20"/>
                <w:szCs w:val="20"/>
                <w:color w:val="auto"/>
              </w:rPr>
            </w:pPr>
            <w:r>
              <w:rPr>
                <w:rFonts w:ascii="Arial" w:cs="Arial" w:eastAsia="Arial" w:hAnsi="Arial"/>
                <w:sz w:val="23"/>
                <w:szCs w:val="23"/>
                <w:b w:val="1"/>
                <w:bCs w:val="1"/>
                <w:color w:val="354047"/>
              </w:rPr>
              <w:t>SG&amp;A as a % of sales</w:t>
            </w:r>
          </w:p>
        </w:tc>
        <w:tc>
          <w:tcPr>
            <w:tcW w:w="3040" w:type="dxa"/>
            <w:vAlign w:val="bottom"/>
          </w:tcPr>
          <w:p>
            <w:pPr>
              <w:jc w:val="right"/>
              <w:ind w:right="1729"/>
              <w:spacing w:after="0"/>
              <w:rPr>
                <w:sz w:val="20"/>
                <w:szCs w:val="20"/>
                <w:color w:val="auto"/>
              </w:rPr>
            </w:pPr>
            <w:r>
              <w:rPr>
                <w:rFonts w:ascii="Arial" w:cs="Arial" w:eastAsia="Arial" w:hAnsi="Arial"/>
                <w:sz w:val="23"/>
                <w:szCs w:val="23"/>
                <w:b w:val="1"/>
                <w:bCs w:val="1"/>
                <w:color w:val="354047"/>
              </w:rPr>
              <w:t>30.5%</w:t>
            </w:r>
          </w:p>
        </w:tc>
      </w:tr>
      <w:tr>
        <w:trPr>
          <w:trHeight w:val="384"/>
        </w:trPr>
        <w:tc>
          <w:tcPr>
            <w:tcW w:w="4740" w:type="dxa"/>
            <w:vAlign w:val="bottom"/>
          </w:tcPr>
          <w:p>
            <w:pPr>
              <w:spacing w:after="0"/>
              <w:rPr>
                <w:sz w:val="20"/>
                <w:szCs w:val="20"/>
                <w:color w:val="auto"/>
              </w:rPr>
            </w:pPr>
            <w:r>
              <w:rPr>
                <w:rFonts w:ascii="Arial" w:cs="Arial" w:eastAsia="Arial" w:hAnsi="Arial"/>
                <w:sz w:val="23"/>
                <w:szCs w:val="23"/>
                <w:b w:val="1"/>
                <w:bCs w:val="1"/>
                <w:color w:val="354047"/>
              </w:rPr>
              <w:t>Four-wall cash flow</w:t>
            </w:r>
          </w:p>
        </w:tc>
        <w:tc>
          <w:tcPr>
            <w:tcW w:w="3040" w:type="dxa"/>
            <w:vAlign w:val="bottom"/>
          </w:tcPr>
          <w:p>
            <w:pPr>
              <w:jc w:val="right"/>
              <w:ind w:right="1729"/>
              <w:spacing w:after="0"/>
              <w:rPr>
                <w:sz w:val="20"/>
                <w:szCs w:val="20"/>
                <w:color w:val="auto"/>
              </w:rPr>
            </w:pPr>
            <w:r>
              <w:rPr>
                <w:rFonts w:ascii="Arial" w:cs="Arial" w:eastAsia="Arial" w:hAnsi="Arial"/>
                <w:sz w:val="23"/>
                <w:szCs w:val="23"/>
                <w:b w:val="1"/>
                <w:bCs w:val="1"/>
                <w:color w:val="354047"/>
              </w:rPr>
              <w:t>15.0%</w:t>
            </w:r>
          </w:p>
        </w:tc>
      </w:tr>
      <w:tr>
        <w:trPr>
          <w:trHeight w:val="395"/>
        </w:trPr>
        <w:tc>
          <w:tcPr>
            <w:tcW w:w="4740" w:type="dxa"/>
            <w:vAlign w:val="bottom"/>
          </w:tcPr>
          <w:p>
            <w:pPr>
              <w:spacing w:after="0"/>
              <w:rPr>
                <w:sz w:val="20"/>
                <w:szCs w:val="20"/>
                <w:color w:val="auto"/>
              </w:rPr>
            </w:pPr>
            <w:r>
              <w:rPr>
                <w:rFonts w:ascii="Arial" w:cs="Arial" w:eastAsia="Arial" w:hAnsi="Arial"/>
                <w:sz w:val="23"/>
                <w:szCs w:val="23"/>
                <w:b w:val="1"/>
                <w:bCs w:val="1"/>
                <w:color w:val="354047"/>
              </w:rPr>
              <w:t>Build out costs</w:t>
            </w:r>
          </w:p>
        </w:tc>
        <w:tc>
          <w:tcPr>
            <w:tcW w:w="3040" w:type="dxa"/>
            <w:vAlign w:val="bottom"/>
          </w:tcPr>
          <w:p>
            <w:pPr>
              <w:jc w:val="right"/>
              <w:ind w:right="1749"/>
              <w:spacing w:after="0"/>
              <w:rPr>
                <w:sz w:val="20"/>
                <w:szCs w:val="20"/>
                <w:color w:val="auto"/>
              </w:rPr>
            </w:pPr>
            <w:r>
              <w:rPr>
                <w:rFonts w:ascii="Arial" w:cs="Arial" w:eastAsia="Arial" w:hAnsi="Arial"/>
                <w:sz w:val="23"/>
                <w:szCs w:val="23"/>
                <w:b w:val="1"/>
                <w:bCs w:val="1"/>
                <w:color w:val="354047"/>
              </w:rPr>
              <w:t>$80</w:t>
            </w:r>
          </w:p>
        </w:tc>
      </w:tr>
      <w:tr>
        <w:trPr>
          <w:trHeight w:val="643"/>
        </w:trPr>
        <w:tc>
          <w:tcPr>
            <w:tcW w:w="4740" w:type="dxa"/>
            <w:vAlign w:val="bottom"/>
          </w:tcPr>
          <w:p>
            <w:pPr>
              <w:ind w:left="2200"/>
              <w:spacing w:after="0"/>
              <w:rPr>
                <w:sz w:val="20"/>
                <w:szCs w:val="20"/>
                <w:color w:val="auto"/>
              </w:rPr>
            </w:pPr>
            <w:r>
              <w:rPr>
                <w:rFonts w:ascii="Arial" w:cs="Arial" w:eastAsia="Arial" w:hAnsi="Arial"/>
                <w:sz w:val="14"/>
                <w:szCs w:val="14"/>
                <w:color w:val="4D5D67"/>
              </w:rPr>
              <w:t>Destination XL Group, Inc.</w:t>
            </w:r>
          </w:p>
        </w:tc>
        <w:tc>
          <w:tcPr>
            <w:tcW w:w="3040" w:type="dxa"/>
            <w:vAlign w:val="bottom"/>
          </w:tcPr>
          <w:p>
            <w:pPr>
              <w:jc w:val="right"/>
              <w:spacing w:after="0"/>
              <w:rPr>
                <w:sz w:val="20"/>
                <w:szCs w:val="20"/>
                <w:color w:val="auto"/>
              </w:rPr>
            </w:pPr>
            <w:r>
              <w:rPr>
                <w:rFonts w:ascii="Arial" w:cs="Arial" w:eastAsia="Arial" w:hAnsi="Arial"/>
                <w:sz w:val="18"/>
                <w:szCs w:val="18"/>
                <w:color w:val="8CA1A5"/>
              </w:rPr>
              <w:t>14</w:t>
            </w:r>
          </w:p>
        </w:tc>
      </w:tr>
    </w:tbl>
    <w:p>
      <w:pPr>
        <w:sectPr>
          <w:pgSz w:w="11900" w:h="16838" w:orient="portrait"/>
          <w:cols w:equalWidth="0" w:num="1">
            <w:col w:w="9639"/>
          </w:cols>
          <w:pgMar w:left="820" w:top="238" w:right="1440" w:bottom="1440" w:gutter="0" w:footer="0" w:header="0"/>
        </w:sectPr>
      </w:pPr>
    </w:p>
    <w:bookmarkStart w:id="17" w:name="page18"/>
    <w:bookmarkEnd w:id="17"/>
    <w:p>
      <w:pPr>
        <w:ind w:left="24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INCREASING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104775</wp:posOffset>
            </wp:positionV>
            <wp:extent cx="6478905" cy="4189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78905" cy="41897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6"/>
          <w:szCs w:val="26"/>
          <w:b w:val="1"/>
          <w:bCs w:val="1"/>
          <w:color w:val="23282B"/>
        </w:rPr>
        <w:t>Achieving stronger return on investment in first year with smaller store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40" w:type="dxa"/>
            <w:vAlign w:val="bottom"/>
            <w:gridSpan w:val="2"/>
          </w:tcPr>
          <w:p>
            <w:pPr>
              <w:ind w:left="840"/>
              <w:spacing w:after="0"/>
              <w:rPr>
                <w:sz w:val="20"/>
                <w:szCs w:val="20"/>
                <w:color w:val="auto"/>
              </w:rPr>
            </w:pPr>
            <w:r>
              <w:rPr>
                <w:rFonts w:ascii="Arial" w:cs="Arial" w:eastAsia="Arial" w:hAnsi="Arial"/>
                <w:sz w:val="23"/>
                <w:szCs w:val="23"/>
                <w:b w:val="1"/>
                <w:bCs w:val="1"/>
                <w:color w:val="354047"/>
              </w:rPr>
              <w:t>Per Square Foot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20" w:type="dxa"/>
            <w:vAlign w:val="bottom"/>
            <w:vMerge w:val="restart"/>
          </w:tcPr>
          <w:p>
            <w:pPr>
              <w:jc w:val="right"/>
              <w:ind w:right="45"/>
              <w:spacing w:after="0"/>
              <w:rPr>
                <w:sz w:val="20"/>
                <w:szCs w:val="20"/>
                <w:color w:val="auto"/>
              </w:rPr>
            </w:pPr>
            <w:r>
              <w:rPr>
                <w:rFonts w:ascii="Arial" w:cs="Arial" w:eastAsia="Arial" w:hAnsi="Arial"/>
                <w:sz w:val="23"/>
                <w:szCs w:val="23"/>
                <w:b w:val="1"/>
                <w:bCs w:val="1"/>
                <w:color w:val="354047"/>
              </w:rPr>
              <w:t>Average Sq. Ft.</w:t>
            </w:r>
            <w:r>
              <w:rPr>
                <w:rFonts w:ascii="Arial" w:cs="Arial" w:eastAsia="Arial" w:hAnsi="Arial"/>
                <w:sz w:val="28"/>
                <w:szCs w:val="28"/>
                <w:color w:val="23282B"/>
                <w:vertAlign w:val="superscript"/>
              </w:rPr>
              <w:t>1</w:t>
            </w:r>
          </w:p>
        </w:tc>
        <w:tc>
          <w:tcPr>
            <w:tcW w:w="1400" w:type="dxa"/>
            <w:vAlign w:val="bottom"/>
          </w:tcPr>
          <w:p>
            <w:pPr>
              <w:jc w:val="center"/>
              <w:spacing w:after="0" w:line="239" w:lineRule="exact"/>
              <w:rPr>
                <w:sz w:val="20"/>
                <w:szCs w:val="20"/>
                <w:color w:val="auto"/>
              </w:rPr>
            </w:pPr>
            <w:r>
              <w:rPr>
                <w:rFonts w:ascii="Arial" w:cs="Arial" w:eastAsia="Arial" w:hAnsi="Arial"/>
                <w:sz w:val="23"/>
                <w:szCs w:val="23"/>
                <w:b w:val="1"/>
                <w:bCs w:val="1"/>
                <w:color w:val="354047"/>
                <w:w w:val="98"/>
              </w:rPr>
              <w:t>Year One</w:t>
            </w:r>
          </w:p>
        </w:tc>
        <w:tc>
          <w:tcPr>
            <w:tcW w:w="2440" w:type="dxa"/>
            <w:vAlign w:val="bottom"/>
          </w:tcPr>
          <w:p>
            <w:pPr>
              <w:jc w:val="center"/>
              <w:ind w:right="5"/>
              <w:spacing w:after="0" w:line="239" w:lineRule="exact"/>
              <w:rPr>
                <w:sz w:val="20"/>
                <w:szCs w:val="20"/>
                <w:color w:val="auto"/>
              </w:rPr>
            </w:pPr>
            <w:r>
              <w:rPr>
                <w:rFonts w:ascii="Arial" w:cs="Arial" w:eastAsia="Arial" w:hAnsi="Arial"/>
                <w:sz w:val="23"/>
                <w:szCs w:val="23"/>
                <w:b w:val="1"/>
                <w:bCs w:val="1"/>
                <w:color w:val="354047"/>
                <w:w w:val="98"/>
              </w:rPr>
              <w:t>Year One</w:t>
            </w:r>
          </w:p>
        </w:tc>
        <w:tc>
          <w:tcPr>
            <w:tcW w:w="940" w:type="dxa"/>
            <w:vAlign w:val="bottom"/>
            <w:vMerge w:val="restart"/>
          </w:tcPr>
          <w:p>
            <w:pPr>
              <w:jc w:val="right"/>
              <w:spacing w:after="0"/>
              <w:rPr>
                <w:sz w:val="20"/>
                <w:szCs w:val="20"/>
                <w:color w:val="auto"/>
              </w:rPr>
            </w:pPr>
            <w:r>
              <w:rPr>
                <w:rFonts w:ascii="Arial" w:cs="Arial" w:eastAsia="Arial" w:hAnsi="Arial"/>
                <w:sz w:val="23"/>
                <w:szCs w:val="23"/>
                <w:b w:val="1"/>
                <w:bCs w:val="1"/>
                <w:color w:val="354047"/>
              </w:rPr>
              <w:t>ROI</w:t>
            </w:r>
            <w:r>
              <w:rPr>
                <w:rFonts w:ascii="Arial" w:cs="Arial" w:eastAsia="Arial" w:hAnsi="Arial"/>
                <w:sz w:val="28"/>
                <w:szCs w:val="28"/>
                <w:color w:val="23282B"/>
                <w:vertAlign w:val="superscript"/>
              </w:rPr>
              <w:t>1,2</w:t>
            </w: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0" w:type="dxa"/>
            <w:vAlign w:val="bottom"/>
          </w:tcPr>
          <w:p>
            <w:pPr>
              <w:ind w:left="380"/>
              <w:spacing w:after="0"/>
              <w:rPr>
                <w:sz w:val="20"/>
                <w:szCs w:val="20"/>
                <w:color w:val="auto"/>
              </w:rPr>
            </w:pPr>
            <w:r>
              <w:rPr>
                <w:rFonts w:ascii="Arial" w:cs="Arial" w:eastAsia="Arial" w:hAnsi="Arial"/>
                <w:sz w:val="23"/>
                <w:szCs w:val="23"/>
                <w:b w:val="1"/>
                <w:bCs w:val="1"/>
                <w:color w:val="354047"/>
              </w:rPr>
              <w:t>Sales</w:t>
            </w:r>
            <w:r>
              <w:rPr>
                <w:rFonts w:ascii="Arial" w:cs="Arial" w:eastAsia="Arial" w:hAnsi="Arial"/>
                <w:sz w:val="28"/>
                <w:szCs w:val="28"/>
                <w:color w:val="23282B"/>
                <w:vertAlign w:val="superscript"/>
              </w:rPr>
              <w:t>1</w:t>
            </w:r>
          </w:p>
        </w:tc>
        <w:tc>
          <w:tcPr>
            <w:tcW w:w="2440" w:type="dxa"/>
            <w:vAlign w:val="bottom"/>
          </w:tcPr>
          <w:p>
            <w:pPr>
              <w:ind w:left="220"/>
              <w:spacing w:after="0"/>
              <w:rPr>
                <w:sz w:val="20"/>
                <w:szCs w:val="20"/>
                <w:color w:val="auto"/>
              </w:rPr>
            </w:pPr>
            <w:r>
              <w:rPr>
                <w:rFonts w:ascii="Arial" w:cs="Arial" w:eastAsia="Arial" w:hAnsi="Arial"/>
                <w:sz w:val="23"/>
                <w:szCs w:val="23"/>
                <w:b w:val="1"/>
                <w:bCs w:val="1"/>
                <w:color w:val="354047"/>
              </w:rPr>
              <w:t xml:space="preserve">4-Wall Cash Flow </w:t>
            </w:r>
            <w:r>
              <w:rPr>
                <w:rFonts w:ascii="Arial" w:cs="Arial" w:eastAsia="Arial" w:hAnsi="Arial"/>
                <w:sz w:val="28"/>
                <w:szCs w:val="28"/>
                <w:color w:val="23282B"/>
                <w:vertAlign w:val="superscript"/>
              </w:rPr>
              <w:t>1</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0" w:type="dxa"/>
            <w:vAlign w:val="bottom"/>
          </w:tcPr>
          <w:p>
            <w:pPr>
              <w:jc w:val="right"/>
              <w:spacing w:after="0"/>
              <w:rPr>
                <w:sz w:val="20"/>
                <w:szCs w:val="20"/>
                <w:color w:val="auto"/>
              </w:rPr>
            </w:pPr>
            <w:r>
              <w:rPr>
                <w:rFonts w:ascii="Arial" w:cs="Arial" w:eastAsia="Arial" w:hAnsi="Arial"/>
                <w:sz w:val="23"/>
                <w:szCs w:val="23"/>
                <w:b w:val="1"/>
                <w:bCs w:val="1"/>
                <w:color w:val="354047"/>
                <w:w w:val="97"/>
              </w:rPr>
              <w:t>2010</w:t>
            </w:r>
          </w:p>
        </w:tc>
        <w:tc>
          <w:tcPr>
            <w:tcW w:w="2180" w:type="dxa"/>
            <w:vAlign w:val="bottom"/>
          </w:tcPr>
          <w:p>
            <w:pPr>
              <w:ind w:left="40"/>
              <w:spacing w:after="0"/>
              <w:rPr>
                <w:sz w:val="20"/>
                <w:szCs w:val="20"/>
                <w:color w:val="auto"/>
              </w:rPr>
            </w:pPr>
            <w:r>
              <w:rPr>
                <w:rFonts w:ascii="Arial" w:cs="Arial" w:eastAsia="Arial" w:hAnsi="Arial"/>
                <w:sz w:val="23"/>
                <w:szCs w:val="23"/>
                <w:b w:val="1"/>
                <w:bCs w:val="1"/>
                <w:color w:val="354047"/>
              </w:rPr>
              <w:t>– 2012 (48 stores)</w:t>
            </w:r>
          </w:p>
        </w:tc>
        <w:tc>
          <w:tcPr>
            <w:tcW w:w="2120" w:type="dxa"/>
            <w:vAlign w:val="bottom"/>
          </w:tcPr>
          <w:p>
            <w:pPr>
              <w:jc w:val="right"/>
              <w:ind w:right="685"/>
              <w:spacing w:after="0"/>
              <w:rPr>
                <w:sz w:val="20"/>
                <w:szCs w:val="20"/>
                <w:color w:val="auto"/>
              </w:rPr>
            </w:pPr>
            <w:r>
              <w:rPr>
                <w:rFonts w:ascii="Arial" w:cs="Arial" w:eastAsia="Arial" w:hAnsi="Arial"/>
                <w:sz w:val="23"/>
                <w:szCs w:val="23"/>
                <w:color w:val="354047"/>
              </w:rPr>
              <w:t>9,590</w:t>
            </w:r>
          </w:p>
        </w:tc>
        <w:tc>
          <w:tcPr>
            <w:tcW w:w="1400" w:type="dxa"/>
            <w:vAlign w:val="bottom"/>
          </w:tcPr>
          <w:p>
            <w:pPr>
              <w:jc w:val="center"/>
              <w:spacing w:after="0"/>
              <w:rPr>
                <w:sz w:val="20"/>
                <w:szCs w:val="20"/>
                <w:color w:val="auto"/>
              </w:rPr>
            </w:pPr>
            <w:r>
              <w:rPr>
                <w:rFonts w:ascii="Arial" w:cs="Arial" w:eastAsia="Arial" w:hAnsi="Arial"/>
                <w:sz w:val="23"/>
                <w:szCs w:val="23"/>
                <w:color w:val="354047"/>
              </w:rPr>
              <w:t>$151</w:t>
            </w:r>
          </w:p>
        </w:tc>
        <w:tc>
          <w:tcPr>
            <w:tcW w:w="2440" w:type="dxa"/>
            <w:vAlign w:val="bottom"/>
          </w:tcPr>
          <w:p>
            <w:pPr>
              <w:jc w:val="center"/>
              <w:spacing w:after="0"/>
              <w:rPr>
                <w:sz w:val="20"/>
                <w:szCs w:val="20"/>
                <w:color w:val="auto"/>
              </w:rPr>
            </w:pPr>
            <w:r>
              <w:rPr>
                <w:rFonts w:ascii="Arial" w:cs="Arial" w:eastAsia="Arial" w:hAnsi="Arial"/>
                <w:sz w:val="23"/>
                <w:szCs w:val="23"/>
                <w:color w:val="354047"/>
                <w:w w:val="98"/>
              </w:rPr>
              <w:t>$22</w:t>
            </w:r>
          </w:p>
        </w:tc>
        <w:tc>
          <w:tcPr>
            <w:tcW w:w="940" w:type="dxa"/>
            <w:vAlign w:val="bottom"/>
          </w:tcPr>
          <w:p>
            <w:pPr>
              <w:jc w:val="right"/>
              <w:spacing w:after="0"/>
              <w:rPr>
                <w:sz w:val="20"/>
                <w:szCs w:val="20"/>
                <w:color w:val="auto"/>
              </w:rPr>
            </w:pPr>
            <w:r>
              <w:rPr>
                <w:rFonts w:ascii="Arial" w:cs="Arial" w:eastAsia="Arial" w:hAnsi="Arial"/>
                <w:sz w:val="23"/>
                <w:szCs w:val="23"/>
                <w:color w:val="354047"/>
              </w:rPr>
              <w:t>30.0%</w:t>
            </w:r>
          </w:p>
        </w:tc>
        <w:tc>
          <w:tcPr>
            <w:tcW w:w="0" w:type="dxa"/>
            <w:vAlign w:val="bottom"/>
          </w:tcPr>
          <w:p>
            <w:pPr>
              <w:spacing w:after="0"/>
              <w:rPr>
                <w:sz w:val="1"/>
                <w:szCs w:val="1"/>
                <w:color w:val="auto"/>
              </w:rPr>
            </w:pPr>
          </w:p>
        </w:tc>
      </w:tr>
      <w:tr>
        <w:trPr>
          <w:trHeight w:val="384"/>
        </w:trPr>
        <w:tc>
          <w:tcPr>
            <w:tcW w:w="540" w:type="dxa"/>
            <w:vAlign w:val="bottom"/>
          </w:tcPr>
          <w:p>
            <w:pPr>
              <w:jc w:val="right"/>
              <w:spacing w:after="0"/>
              <w:rPr>
                <w:sz w:val="20"/>
                <w:szCs w:val="20"/>
                <w:color w:val="auto"/>
              </w:rPr>
            </w:pPr>
            <w:r>
              <w:rPr>
                <w:rFonts w:ascii="Arial" w:cs="Arial" w:eastAsia="Arial" w:hAnsi="Arial"/>
                <w:sz w:val="23"/>
                <w:szCs w:val="23"/>
                <w:b w:val="1"/>
                <w:bCs w:val="1"/>
                <w:color w:val="354047"/>
                <w:w w:val="97"/>
              </w:rPr>
              <w:t>2013</w:t>
            </w:r>
          </w:p>
        </w:tc>
        <w:tc>
          <w:tcPr>
            <w:tcW w:w="2180" w:type="dxa"/>
            <w:vAlign w:val="bottom"/>
          </w:tcPr>
          <w:p>
            <w:pPr>
              <w:ind w:left="40"/>
              <w:spacing w:after="0"/>
              <w:rPr>
                <w:sz w:val="20"/>
                <w:szCs w:val="20"/>
                <w:color w:val="auto"/>
              </w:rPr>
            </w:pPr>
            <w:r>
              <w:rPr>
                <w:rFonts w:ascii="Arial" w:cs="Arial" w:eastAsia="Arial" w:hAnsi="Arial"/>
                <w:sz w:val="23"/>
                <w:szCs w:val="23"/>
                <w:b w:val="1"/>
                <w:bCs w:val="1"/>
                <w:color w:val="354047"/>
              </w:rPr>
              <w:t>(51 stores)</w:t>
            </w:r>
          </w:p>
        </w:tc>
        <w:tc>
          <w:tcPr>
            <w:tcW w:w="2120" w:type="dxa"/>
            <w:vAlign w:val="bottom"/>
          </w:tcPr>
          <w:p>
            <w:pPr>
              <w:jc w:val="right"/>
              <w:ind w:right="685"/>
              <w:spacing w:after="0"/>
              <w:rPr>
                <w:sz w:val="20"/>
                <w:szCs w:val="20"/>
                <w:color w:val="auto"/>
              </w:rPr>
            </w:pPr>
            <w:r>
              <w:rPr>
                <w:rFonts w:ascii="Arial" w:cs="Arial" w:eastAsia="Arial" w:hAnsi="Arial"/>
                <w:sz w:val="23"/>
                <w:szCs w:val="23"/>
                <w:color w:val="354047"/>
              </w:rPr>
              <w:t>8,441</w:t>
            </w:r>
          </w:p>
        </w:tc>
        <w:tc>
          <w:tcPr>
            <w:tcW w:w="1400" w:type="dxa"/>
            <w:vAlign w:val="bottom"/>
          </w:tcPr>
          <w:p>
            <w:pPr>
              <w:jc w:val="center"/>
              <w:spacing w:after="0"/>
              <w:rPr>
                <w:sz w:val="20"/>
                <w:szCs w:val="20"/>
                <w:color w:val="auto"/>
              </w:rPr>
            </w:pPr>
            <w:r>
              <w:rPr>
                <w:rFonts w:ascii="Arial" w:cs="Arial" w:eastAsia="Arial" w:hAnsi="Arial"/>
                <w:sz w:val="23"/>
                <w:szCs w:val="23"/>
                <w:color w:val="354047"/>
              </w:rPr>
              <w:t>$145</w:t>
            </w:r>
          </w:p>
        </w:tc>
        <w:tc>
          <w:tcPr>
            <w:tcW w:w="2440" w:type="dxa"/>
            <w:vAlign w:val="bottom"/>
          </w:tcPr>
          <w:p>
            <w:pPr>
              <w:jc w:val="center"/>
              <w:spacing w:after="0"/>
              <w:rPr>
                <w:sz w:val="20"/>
                <w:szCs w:val="20"/>
                <w:color w:val="auto"/>
              </w:rPr>
            </w:pPr>
            <w:r>
              <w:rPr>
                <w:rFonts w:ascii="Arial" w:cs="Arial" w:eastAsia="Arial" w:hAnsi="Arial"/>
                <w:sz w:val="23"/>
                <w:szCs w:val="23"/>
                <w:color w:val="354047"/>
                <w:w w:val="98"/>
              </w:rPr>
              <w:t>$25</w:t>
            </w:r>
          </w:p>
        </w:tc>
        <w:tc>
          <w:tcPr>
            <w:tcW w:w="940" w:type="dxa"/>
            <w:vAlign w:val="bottom"/>
          </w:tcPr>
          <w:p>
            <w:pPr>
              <w:jc w:val="right"/>
              <w:spacing w:after="0"/>
              <w:rPr>
                <w:sz w:val="20"/>
                <w:szCs w:val="20"/>
                <w:color w:val="auto"/>
              </w:rPr>
            </w:pPr>
            <w:r>
              <w:rPr>
                <w:rFonts w:ascii="Arial" w:cs="Arial" w:eastAsia="Arial" w:hAnsi="Arial"/>
                <w:sz w:val="23"/>
                <w:szCs w:val="23"/>
                <w:color w:val="354047"/>
              </w:rPr>
              <w:t>38.0%</w:t>
            </w:r>
          </w:p>
        </w:tc>
        <w:tc>
          <w:tcPr>
            <w:tcW w:w="0" w:type="dxa"/>
            <w:vAlign w:val="bottom"/>
          </w:tcPr>
          <w:p>
            <w:pPr>
              <w:spacing w:after="0"/>
              <w:rPr>
                <w:sz w:val="1"/>
                <w:szCs w:val="1"/>
                <w:color w:val="auto"/>
              </w:rPr>
            </w:pPr>
          </w:p>
        </w:tc>
      </w:tr>
      <w:tr>
        <w:trPr>
          <w:trHeight w:val="395"/>
        </w:trPr>
        <w:tc>
          <w:tcPr>
            <w:tcW w:w="540" w:type="dxa"/>
            <w:vAlign w:val="bottom"/>
          </w:tcPr>
          <w:p>
            <w:pPr>
              <w:jc w:val="right"/>
              <w:spacing w:after="0"/>
              <w:rPr>
                <w:sz w:val="20"/>
                <w:szCs w:val="20"/>
                <w:color w:val="auto"/>
              </w:rPr>
            </w:pPr>
            <w:r>
              <w:rPr>
                <w:rFonts w:ascii="Arial" w:cs="Arial" w:eastAsia="Arial" w:hAnsi="Arial"/>
                <w:sz w:val="23"/>
                <w:szCs w:val="23"/>
                <w:b w:val="1"/>
                <w:bCs w:val="1"/>
                <w:color w:val="354047"/>
                <w:w w:val="97"/>
              </w:rPr>
              <w:t>2014</w:t>
            </w:r>
          </w:p>
        </w:tc>
        <w:tc>
          <w:tcPr>
            <w:tcW w:w="2180" w:type="dxa"/>
            <w:vAlign w:val="bottom"/>
          </w:tcPr>
          <w:p>
            <w:pPr>
              <w:ind w:left="40"/>
              <w:spacing w:after="0"/>
              <w:rPr>
                <w:sz w:val="20"/>
                <w:szCs w:val="20"/>
                <w:color w:val="auto"/>
              </w:rPr>
            </w:pPr>
            <w:r>
              <w:rPr>
                <w:rFonts w:ascii="Arial" w:cs="Arial" w:eastAsia="Arial" w:hAnsi="Arial"/>
                <w:sz w:val="23"/>
                <w:szCs w:val="23"/>
                <w:b w:val="1"/>
                <w:bCs w:val="1"/>
                <w:color w:val="354047"/>
              </w:rPr>
              <w:t>(40 stores)</w:t>
            </w:r>
          </w:p>
        </w:tc>
        <w:tc>
          <w:tcPr>
            <w:tcW w:w="2120" w:type="dxa"/>
            <w:vAlign w:val="bottom"/>
          </w:tcPr>
          <w:p>
            <w:pPr>
              <w:jc w:val="right"/>
              <w:ind w:right="685"/>
              <w:spacing w:after="0"/>
              <w:rPr>
                <w:sz w:val="20"/>
                <w:szCs w:val="20"/>
                <w:color w:val="auto"/>
              </w:rPr>
            </w:pPr>
            <w:r>
              <w:rPr>
                <w:rFonts w:ascii="Arial" w:cs="Arial" w:eastAsia="Arial" w:hAnsi="Arial"/>
                <w:sz w:val="23"/>
                <w:szCs w:val="23"/>
                <w:color w:val="354047"/>
              </w:rPr>
              <w:t>7,428</w:t>
            </w:r>
          </w:p>
        </w:tc>
        <w:tc>
          <w:tcPr>
            <w:tcW w:w="1400" w:type="dxa"/>
            <w:vAlign w:val="bottom"/>
          </w:tcPr>
          <w:p>
            <w:pPr>
              <w:jc w:val="center"/>
              <w:spacing w:after="0"/>
              <w:rPr>
                <w:sz w:val="20"/>
                <w:szCs w:val="20"/>
                <w:color w:val="auto"/>
              </w:rPr>
            </w:pPr>
            <w:r>
              <w:rPr>
                <w:rFonts w:ascii="Arial" w:cs="Arial" w:eastAsia="Arial" w:hAnsi="Arial"/>
                <w:sz w:val="23"/>
                <w:szCs w:val="23"/>
                <w:color w:val="354047"/>
              </w:rPr>
              <w:t>$153</w:t>
            </w:r>
          </w:p>
        </w:tc>
        <w:tc>
          <w:tcPr>
            <w:tcW w:w="2440" w:type="dxa"/>
            <w:vAlign w:val="bottom"/>
          </w:tcPr>
          <w:p>
            <w:pPr>
              <w:jc w:val="center"/>
              <w:spacing w:after="0"/>
              <w:rPr>
                <w:sz w:val="20"/>
                <w:szCs w:val="20"/>
                <w:color w:val="auto"/>
              </w:rPr>
            </w:pPr>
            <w:r>
              <w:rPr>
                <w:rFonts w:ascii="Arial" w:cs="Arial" w:eastAsia="Arial" w:hAnsi="Arial"/>
                <w:sz w:val="23"/>
                <w:szCs w:val="23"/>
                <w:color w:val="354047"/>
                <w:w w:val="98"/>
              </w:rPr>
              <w:t>$26</w:t>
            </w:r>
          </w:p>
        </w:tc>
        <w:tc>
          <w:tcPr>
            <w:tcW w:w="940" w:type="dxa"/>
            <w:vAlign w:val="bottom"/>
          </w:tcPr>
          <w:p>
            <w:pPr>
              <w:jc w:val="right"/>
              <w:spacing w:after="0"/>
              <w:rPr>
                <w:sz w:val="20"/>
                <w:szCs w:val="20"/>
                <w:color w:val="auto"/>
              </w:rPr>
            </w:pPr>
            <w:r>
              <w:rPr>
                <w:rFonts w:ascii="Arial" w:cs="Arial" w:eastAsia="Arial" w:hAnsi="Arial"/>
                <w:sz w:val="23"/>
                <w:szCs w:val="23"/>
                <w:color w:val="354047"/>
              </w:rPr>
              <w:t>42.0%</w:t>
            </w:r>
          </w:p>
        </w:tc>
        <w:tc>
          <w:tcPr>
            <w:tcW w:w="0" w:type="dxa"/>
            <w:vAlign w:val="bottom"/>
          </w:tcPr>
          <w:p>
            <w:pPr>
              <w:spacing w:after="0"/>
              <w:rPr>
                <w:sz w:val="1"/>
                <w:szCs w:val="1"/>
                <w:color w:val="auto"/>
              </w:rPr>
            </w:pPr>
          </w:p>
        </w:tc>
      </w:tr>
    </w:tbl>
    <w:p>
      <w:pPr>
        <w:ind w:left="180"/>
        <w:spacing w:after="0" w:line="227" w:lineRule="auto"/>
        <w:rPr>
          <w:sz w:val="20"/>
          <w:szCs w:val="20"/>
          <w:color w:val="auto"/>
        </w:rPr>
      </w:pPr>
      <w:r>
        <w:rPr>
          <w:rFonts w:ascii="Arial" w:cs="Arial" w:eastAsia="Arial" w:hAnsi="Arial"/>
          <w:sz w:val="24"/>
          <w:szCs w:val="24"/>
          <w:b w:val="1"/>
          <w:bCs w:val="1"/>
          <w:color w:val="23282B"/>
          <w:vertAlign w:val="superscript"/>
        </w:rPr>
        <w:t>1</w:t>
      </w:r>
      <w:r>
        <w:rPr>
          <w:rFonts w:ascii="Arial" w:cs="Arial" w:eastAsia="Arial" w:hAnsi="Arial"/>
          <w:sz w:val="18"/>
          <w:szCs w:val="18"/>
          <w:b w:val="1"/>
          <w:bCs w:val="1"/>
          <w:color w:val="23282B"/>
        </w:rPr>
        <w:t>Average store results</w:t>
      </w:r>
    </w:p>
    <w:p>
      <w:pPr>
        <w:ind w:left="180"/>
        <w:spacing w:after="0"/>
        <w:rPr>
          <w:sz w:val="20"/>
          <w:szCs w:val="20"/>
          <w:color w:val="auto"/>
        </w:rPr>
      </w:pPr>
      <w:r>
        <w:rPr>
          <w:rFonts w:ascii="Arial" w:cs="Arial" w:eastAsia="Arial" w:hAnsi="Arial"/>
          <w:sz w:val="24"/>
          <w:szCs w:val="24"/>
          <w:b w:val="1"/>
          <w:bCs w:val="1"/>
          <w:color w:val="23282B"/>
          <w:vertAlign w:val="superscript"/>
        </w:rPr>
        <w:t>2</w:t>
      </w:r>
      <w:r>
        <w:rPr>
          <w:rFonts w:ascii="Arial" w:cs="Arial" w:eastAsia="Arial" w:hAnsi="Arial"/>
          <w:sz w:val="18"/>
          <w:szCs w:val="18"/>
          <w:b w:val="1"/>
          <w:bCs w:val="1"/>
          <w:color w:val="23282B"/>
        </w:rPr>
        <w:t>ROI is defined as the internal rate of return calculated on a store four-wall basis over 5 years</w:t>
      </w:r>
    </w:p>
    <w:p>
      <w:pPr>
        <w:spacing w:after="0" w:line="58" w:lineRule="exact"/>
        <w:rPr>
          <w:sz w:val="20"/>
          <w:szCs w:val="20"/>
          <w:color w:val="auto"/>
        </w:rPr>
      </w:pPr>
    </w:p>
    <w:tbl>
      <w:tblPr>
        <w:tblLayout w:type="fixed"/>
        <w:tblInd w:w="402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15</w:t>
            </w:r>
          </w:p>
        </w:tc>
      </w:tr>
    </w:tbl>
    <w:p>
      <w:pPr>
        <w:sectPr>
          <w:pgSz w:w="11900" w:h="16838" w:orient="portrait"/>
          <w:cols w:equalWidth="0" w:num="1">
            <w:col w:w="9879"/>
          </w:cols>
          <w:pgMar w:left="580" w:top="238" w:right="1440" w:bottom="1440" w:gutter="0" w:footer="0" w:header="0"/>
        </w:sectPr>
      </w:pPr>
    </w:p>
    <w:bookmarkStart w:id="18" w:name="page19"/>
    <w:bookmarkEnd w:id="18"/>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SUCCESSFUL DXL MARKETING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104775</wp:posOffset>
            </wp:positionV>
            <wp:extent cx="6256655" cy="4189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5665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Arial" w:cs="Arial" w:eastAsia="Arial" w:hAnsi="Arial"/>
          <w:sz w:val="21"/>
          <w:szCs w:val="21"/>
          <w:b w:val="1"/>
          <w:bCs w:val="1"/>
          <w:color w:val="FFFFFF"/>
        </w:rPr>
        <w:t>You’re Looking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6"/>
          <w:szCs w:val="26"/>
          <w:color w:val="23282B"/>
        </w:rPr>
        <w:t>Since first flight launched (Q2 2014 vs. Q2 2013):</w:t>
      </w:r>
    </w:p>
    <w:p>
      <w:pPr>
        <w:spacing w:after="0" w:line="81" w:lineRule="exact"/>
        <w:rPr>
          <w:sz w:val="20"/>
          <w:szCs w:val="20"/>
          <w:color w:val="auto"/>
        </w:rPr>
      </w:pPr>
    </w:p>
    <w:tbl>
      <w:tblPr>
        <w:tblLayout w:type="fixed"/>
        <w:tblInd w:w="520" w:type="dxa"/>
        <w:tblCellMar>
          <w:top w:w="0" w:type="dxa"/>
          <w:left w:w="0" w:type="dxa"/>
          <w:bottom w:w="0" w:type="dxa"/>
          <w:right w:w="0" w:type="dxa"/>
        </w:tblCellMar>
      </w:tblPr>
      <w:tr>
        <w:trPr>
          <w:trHeight w:val="539"/>
        </w:trPr>
        <w:tc>
          <w:tcPr>
            <w:tcW w:w="2540" w:type="dxa"/>
            <w:vAlign w:val="bottom"/>
          </w:tcPr>
          <w:p>
            <w:pPr>
              <w:jc w:val="center"/>
              <w:ind w:right="581"/>
              <w:spacing w:after="0"/>
              <w:rPr>
                <w:sz w:val="20"/>
                <w:szCs w:val="20"/>
                <w:color w:val="auto"/>
              </w:rPr>
            </w:pPr>
            <w:r>
              <w:rPr>
                <w:rFonts w:ascii="Arial" w:cs="Arial" w:eastAsia="Arial" w:hAnsi="Arial"/>
                <w:sz w:val="41"/>
                <w:szCs w:val="41"/>
                <w:b w:val="1"/>
                <w:bCs w:val="1"/>
                <w:color w:val="417C27"/>
                <w:w w:val="98"/>
              </w:rPr>
              <w:t>+6.5%</w:t>
            </w:r>
          </w:p>
        </w:tc>
        <w:tc>
          <w:tcPr>
            <w:tcW w:w="3260" w:type="dxa"/>
            <w:vAlign w:val="bottom"/>
          </w:tcPr>
          <w:p>
            <w:pPr>
              <w:jc w:val="right"/>
              <w:ind w:right="719"/>
              <w:spacing w:after="0"/>
              <w:rPr>
                <w:sz w:val="20"/>
                <w:szCs w:val="20"/>
                <w:color w:val="auto"/>
              </w:rPr>
            </w:pPr>
            <w:r>
              <w:rPr>
                <w:rFonts w:ascii="Arial" w:cs="Arial" w:eastAsia="Arial" w:hAnsi="Arial"/>
                <w:sz w:val="41"/>
                <w:szCs w:val="41"/>
                <w:b w:val="1"/>
                <w:bCs w:val="1"/>
                <w:color w:val="417C27"/>
              </w:rPr>
              <w:t>+13.1%</w:t>
            </w:r>
          </w:p>
        </w:tc>
        <w:tc>
          <w:tcPr>
            <w:tcW w:w="3040" w:type="dxa"/>
            <w:vAlign w:val="bottom"/>
          </w:tcPr>
          <w:p>
            <w:pPr>
              <w:jc w:val="center"/>
              <w:spacing w:after="0"/>
              <w:rPr>
                <w:sz w:val="20"/>
                <w:szCs w:val="20"/>
                <w:color w:val="auto"/>
              </w:rPr>
            </w:pPr>
            <w:r>
              <w:rPr>
                <w:rFonts w:ascii="Arial" w:cs="Arial" w:eastAsia="Arial" w:hAnsi="Arial"/>
                <w:sz w:val="41"/>
                <w:szCs w:val="41"/>
                <w:b w:val="1"/>
                <w:bCs w:val="1"/>
                <w:color w:val="417C27"/>
                <w:w w:val="98"/>
              </w:rPr>
              <w:t>+7.6%</w:t>
            </w:r>
          </w:p>
        </w:tc>
      </w:tr>
      <w:tr>
        <w:trPr>
          <w:trHeight w:val="297"/>
        </w:trPr>
        <w:tc>
          <w:tcPr>
            <w:tcW w:w="2540" w:type="dxa"/>
            <w:vAlign w:val="bottom"/>
          </w:tcPr>
          <w:p>
            <w:pPr>
              <w:jc w:val="center"/>
              <w:ind w:right="581"/>
              <w:spacing w:after="0"/>
              <w:rPr>
                <w:sz w:val="20"/>
                <w:szCs w:val="20"/>
                <w:color w:val="auto"/>
              </w:rPr>
            </w:pPr>
            <w:r>
              <w:rPr>
                <w:rFonts w:ascii="Arial" w:cs="Arial" w:eastAsia="Arial" w:hAnsi="Arial"/>
                <w:sz w:val="23"/>
                <w:szCs w:val="23"/>
                <w:color w:val="23282B"/>
              </w:rPr>
              <w:t>Traffic</w:t>
            </w:r>
          </w:p>
        </w:tc>
        <w:tc>
          <w:tcPr>
            <w:tcW w:w="3260" w:type="dxa"/>
            <w:vAlign w:val="bottom"/>
          </w:tcPr>
          <w:p>
            <w:pPr>
              <w:jc w:val="center"/>
              <w:spacing w:after="0"/>
              <w:rPr>
                <w:sz w:val="20"/>
                <w:szCs w:val="20"/>
                <w:color w:val="auto"/>
              </w:rPr>
            </w:pPr>
            <w:r>
              <w:rPr>
                <w:rFonts w:ascii="Arial" w:cs="Arial" w:eastAsia="Arial" w:hAnsi="Arial"/>
                <w:sz w:val="23"/>
                <w:szCs w:val="23"/>
                <w:color w:val="23282B"/>
              </w:rPr>
              <w:t>Transactions</w:t>
            </w:r>
          </w:p>
        </w:tc>
        <w:tc>
          <w:tcPr>
            <w:tcW w:w="3040" w:type="dxa"/>
            <w:vAlign w:val="bottom"/>
          </w:tcPr>
          <w:p>
            <w:pPr>
              <w:jc w:val="center"/>
              <w:spacing w:after="0"/>
              <w:rPr>
                <w:sz w:val="20"/>
                <w:szCs w:val="20"/>
                <w:color w:val="auto"/>
              </w:rPr>
            </w:pPr>
            <w:r>
              <w:rPr>
                <w:rFonts w:ascii="Arial" w:cs="Arial" w:eastAsia="Arial" w:hAnsi="Arial"/>
                <w:sz w:val="23"/>
                <w:szCs w:val="23"/>
                <w:color w:val="23282B"/>
              </w:rPr>
              <w:t>End-of-Rack</w:t>
            </w:r>
          </w:p>
        </w:tc>
      </w:tr>
      <w:tr>
        <w:trPr>
          <w:trHeight w:val="831"/>
        </w:trPr>
        <w:tc>
          <w:tcPr>
            <w:tcW w:w="2540" w:type="dxa"/>
            <w:vAlign w:val="bottom"/>
          </w:tcPr>
          <w:p>
            <w:pPr>
              <w:jc w:val="center"/>
              <w:ind w:right="541"/>
              <w:spacing w:after="0"/>
              <w:rPr>
                <w:sz w:val="20"/>
                <w:szCs w:val="20"/>
                <w:color w:val="auto"/>
              </w:rPr>
            </w:pPr>
            <w:r>
              <w:rPr>
                <w:rFonts w:ascii="Arial" w:cs="Arial" w:eastAsia="Arial" w:hAnsi="Arial"/>
                <w:sz w:val="41"/>
                <w:szCs w:val="41"/>
                <w:b w:val="1"/>
                <w:bCs w:val="1"/>
                <w:color w:val="417C27"/>
                <w:w w:val="98"/>
              </w:rPr>
              <w:t>+6.2%</w:t>
            </w:r>
          </w:p>
        </w:tc>
        <w:tc>
          <w:tcPr>
            <w:tcW w:w="3260" w:type="dxa"/>
            <w:vAlign w:val="bottom"/>
          </w:tcPr>
          <w:p>
            <w:pPr>
              <w:jc w:val="right"/>
              <w:ind w:right="839"/>
              <w:spacing w:after="0"/>
              <w:rPr>
                <w:sz w:val="20"/>
                <w:szCs w:val="20"/>
                <w:color w:val="auto"/>
              </w:rPr>
            </w:pPr>
            <w:r>
              <w:rPr>
                <w:rFonts w:ascii="Arial" w:cs="Arial" w:eastAsia="Arial" w:hAnsi="Arial"/>
                <w:sz w:val="41"/>
                <w:szCs w:val="41"/>
                <w:b w:val="1"/>
                <w:bCs w:val="1"/>
                <w:color w:val="417C27"/>
              </w:rPr>
              <w:t>+5.6%</w:t>
            </w:r>
          </w:p>
        </w:tc>
        <w:tc>
          <w:tcPr>
            <w:tcW w:w="3040" w:type="dxa"/>
            <w:vAlign w:val="bottom"/>
          </w:tcPr>
          <w:p>
            <w:pPr>
              <w:jc w:val="center"/>
              <w:spacing w:after="0"/>
              <w:rPr>
                <w:sz w:val="20"/>
                <w:szCs w:val="20"/>
                <w:color w:val="auto"/>
              </w:rPr>
            </w:pPr>
            <w:r>
              <w:rPr>
                <w:rFonts w:ascii="Arial" w:cs="Arial" w:eastAsia="Arial" w:hAnsi="Arial"/>
                <w:sz w:val="41"/>
                <w:szCs w:val="41"/>
                <w:b w:val="1"/>
                <w:bCs w:val="1"/>
                <w:color w:val="417C27"/>
                <w:w w:val="99"/>
              </w:rPr>
              <w:t>+11.0%</w:t>
            </w:r>
          </w:p>
        </w:tc>
      </w:tr>
      <w:tr>
        <w:trPr>
          <w:trHeight w:val="331"/>
        </w:trPr>
        <w:tc>
          <w:tcPr>
            <w:tcW w:w="2540" w:type="dxa"/>
            <w:vAlign w:val="bottom"/>
          </w:tcPr>
          <w:p>
            <w:pPr>
              <w:jc w:val="center"/>
              <w:ind w:right="561"/>
              <w:spacing w:after="0"/>
              <w:rPr>
                <w:sz w:val="20"/>
                <w:szCs w:val="20"/>
                <w:color w:val="auto"/>
              </w:rPr>
            </w:pPr>
            <w:r>
              <w:rPr>
                <w:rFonts w:ascii="Arial" w:cs="Arial" w:eastAsia="Arial" w:hAnsi="Arial"/>
                <w:sz w:val="23"/>
                <w:szCs w:val="23"/>
                <w:color w:val="23282B"/>
              </w:rPr>
              <w:t>Retail Conversion</w:t>
            </w:r>
          </w:p>
        </w:tc>
        <w:tc>
          <w:tcPr>
            <w:tcW w:w="3260" w:type="dxa"/>
            <w:vAlign w:val="bottom"/>
          </w:tcPr>
          <w:p>
            <w:pPr>
              <w:jc w:val="center"/>
              <w:spacing w:after="0"/>
              <w:rPr>
                <w:sz w:val="20"/>
                <w:szCs w:val="20"/>
                <w:color w:val="auto"/>
              </w:rPr>
            </w:pPr>
            <w:r>
              <w:rPr>
                <w:rFonts w:ascii="Arial" w:cs="Arial" w:eastAsia="Arial" w:hAnsi="Arial"/>
                <w:sz w:val="23"/>
                <w:szCs w:val="23"/>
                <w:color w:val="23282B"/>
                <w:w w:val="98"/>
              </w:rPr>
              <w:t>Web Conversion</w:t>
            </w:r>
          </w:p>
        </w:tc>
        <w:tc>
          <w:tcPr>
            <w:tcW w:w="3040" w:type="dxa"/>
            <w:vAlign w:val="bottom"/>
          </w:tcPr>
          <w:p>
            <w:pPr>
              <w:jc w:val="center"/>
              <w:spacing w:after="0"/>
              <w:rPr>
                <w:sz w:val="20"/>
                <w:szCs w:val="20"/>
                <w:color w:val="auto"/>
              </w:rPr>
            </w:pPr>
            <w:r>
              <w:rPr>
                <w:rFonts w:ascii="Arial" w:cs="Arial" w:eastAsia="Arial" w:hAnsi="Arial"/>
                <w:sz w:val="23"/>
                <w:szCs w:val="23"/>
                <w:color w:val="23282B"/>
              </w:rPr>
              <w:t>Customer Count</w:t>
            </w:r>
          </w:p>
        </w:tc>
      </w:tr>
      <w:tr>
        <w:trPr>
          <w:trHeight w:val="610"/>
        </w:trPr>
        <w:tc>
          <w:tcPr>
            <w:tcW w:w="25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4"/>
                <w:szCs w:val="14"/>
                <w:color w:val="4D5D67"/>
              </w:rPr>
              <w:t>Destination XL Group, Inc.</w:t>
            </w:r>
          </w:p>
        </w:tc>
        <w:tc>
          <w:tcPr>
            <w:tcW w:w="3040" w:type="dxa"/>
            <w:vAlign w:val="bottom"/>
          </w:tcPr>
          <w:p>
            <w:pPr>
              <w:jc w:val="right"/>
              <w:spacing w:after="0"/>
              <w:rPr>
                <w:sz w:val="20"/>
                <w:szCs w:val="20"/>
                <w:color w:val="auto"/>
              </w:rPr>
            </w:pPr>
            <w:r>
              <w:rPr>
                <w:rFonts w:ascii="Arial" w:cs="Arial" w:eastAsia="Arial" w:hAnsi="Arial"/>
                <w:sz w:val="18"/>
                <w:szCs w:val="18"/>
                <w:color w:val="8CA1A5"/>
              </w:rPr>
              <w:t>16</w:t>
            </w:r>
          </w:p>
        </w:tc>
      </w:tr>
    </w:tbl>
    <w:p>
      <w:pPr>
        <w:sectPr>
          <w:pgSz w:w="11900" w:h="16838" w:orient="portrait"/>
          <w:cols w:equalWidth="0" w:num="1">
            <w:col w:w="9639"/>
          </w:cols>
          <w:pgMar w:left="820" w:top="238" w:right="1440" w:bottom="1440" w:gutter="0" w:footer="0" w:header="0"/>
        </w:sectPr>
      </w:pPr>
    </w:p>
    <w:bookmarkStart w:id="19" w:name="page20"/>
    <w:bookmarkEnd w:id="19"/>
    <w:p>
      <w:pPr>
        <w:ind w:left="8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DRIVING TRAFFIC TO DXL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104775</wp:posOffset>
            </wp:positionV>
            <wp:extent cx="6256655" cy="4182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6655" cy="41827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ind w:right="1439"/>
        <w:spacing w:after="0"/>
        <w:tabs>
          <w:tab w:leader="none" w:pos="3560" w:val="left"/>
        </w:tabs>
        <w:rPr>
          <w:sz w:val="20"/>
          <w:szCs w:val="20"/>
          <w:color w:val="auto"/>
        </w:rPr>
      </w:pPr>
      <w:r>
        <w:rPr>
          <w:rFonts w:ascii="Arial" w:cs="Arial" w:eastAsia="Arial" w:hAnsi="Arial"/>
          <w:sz w:val="23"/>
          <w:szCs w:val="23"/>
          <w:b w:val="1"/>
          <w:bCs w:val="1"/>
          <w:color w:val="23282B"/>
        </w:rPr>
        <w:t>Free Polo Offer</w:t>
      </w:r>
      <w:r>
        <w:rPr>
          <w:sz w:val="20"/>
          <w:szCs w:val="20"/>
          <w:color w:val="auto"/>
        </w:rPr>
        <w:tab/>
      </w:r>
      <w:r>
        <w:rPr>
          <w:rFonts w:ascii="Arial" w:cs="Arial" w:eastAsia="Arial" w:hAnsi="Arial"/>
          <w:sz w:val="22"/>
          <w:szCs w:val="22"/>
          <w:b w:val="1"/>
          <w:bCs w:val="1"/>
          <w:color w:val="23282B"/>
        </w:rPr>
        <w:t>Experience Book &amp; $50 Gift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tabs>
          <w:tab w:leader="none" w:pos="5380" w:val="left"/>
        </w:tabs>
        <w:rPr>
          <w:sz w:val="20"/>
          <w:szCs w:val="20"/>
          <w:color w:val="auto"/>
        </w:rPr>
      </w:pPr>
      <w:r>
        <w:rPr>
          <w:rFonts w:ascii="Arial" w:cs="Arial" w:eastAsia="Arial" w:hAnsi="Arial"/>
          <w:sz w:val="23"/>
          <w:szCs w:val="23"/>
          <w:b w:val="1"/>
          <w:bCs w:val="1"/>
          <w:color w:val="417C27"/>
        </w:rPr>
        <w:t>22% Response Rate</w:t>
      </w:r>
      <w:r>
        <w:rPr>
          <w:sz w:val="20"/>
          <w:szCs w:val="20"/>
          <w:color w:val="auto"/>
        </w:rPr>
        <w:tab/>
      </w:r>
      <w:r>
        <w:rPr>
          <w:rFonts w:ascii="Arial" w:cs="Arial" w:eastAsia="Arial" w:hAnsi="Arial"/>
          <w:sz w:val="23"/>
          <w:szCs w:val="23"/>
          <w:b w:val="1"/>
          <w:bCs w:val="1"/>
          <w:color w:val="417C27"/>
        </w:rPr>
        <w:t>35% Response Rate</w:t>
      </w:r>
    </w:p>
    <w:p>
      <w:pPr>
        <w:sectPr>
          <w:pgSz w:w="11900" w:h="16838" w:orient="portrait"/>
          <w:cols w:equalWidth="0" w:num="1">
            <w:col w:w="9719"/>
          </w:cols>
          <w:pgMar w:left="740" w:top="238"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40"/>
          <w:szCs w:val="40"/>
          <w:b w:val="1"/>
          <w:bCs w:val="1"/>
          <w:color w:val="FFFFFF"/>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1"/>
          <w:szCs w:val="41"/>
          <w:b w:val="1"/>
          <w:bCs w:val="1"/>
          <w:color w:val="FFFFFF"/>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1159"/>
        <w:spacing w:after="0" w:line="268" w:lineRule="auto"/>
        <w:rPr>
          <w:sz w:val="20"/>
          <w:szCs w:val="20"/>
          <w:color w:val="auto"/>
        </w:rPr>
      </w:pPr>
      <w:r>
        <w:rPr>
          <w:rFonts w:ascii="Arial" w:cs="Arial" w:eastAsia="Arial" w:hAnsi="Arial"/>
          <w:sz w:val="26"/>
          <w:szCs w:val="26"/>
          <w:color w:val="23282B"/>
        </w:rPr>
        <w:t>More customers in an average DXL store’s active database than at the average Casual Male XL store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959"/>
        <w:spacing w:after="0" w:line="268" w:lineRule="auto"/>
        <w:rPr>
          <w:sz w:val="20"/>
          <w:szCs w:val="20"/>
          <w:color w:val="auto"/>
        </w:rPr>
      </w:pPr>
      <w:r>
        <w:rPr>
          <w:rFonts w:ascii="Arial" w:cs="Arial" w:eastAsia="Arial" w:hAnsi="Arial"/>
          <w:sz w:val="26"/>
          <w:szCs w:val="26"/>
          <w:color w:val="23282B"/>
        </w:rPr>
        <w:t>Higher retention rate at an average DXL store compared with an average Casual Male XL store</w:t>
      </w:r>
    </w:p>
    <w:p>
      <w:pPr>
        <w:spacing w:after="0" w:line="200" w:lineRule="exact"/>
        <w:rPr>
          <w:sz w:val="20"/>
          <w:szCs w:val="20"/>
          <w:color w:val="auto"/>
        </w:rPr>
      </w:pPr>
    </w:p>
    <w:p>
      <w:pPr>
        <w:sectPr>
          <w:pgSz w:w="11900" w:h="16838" w:orient="portrait"/>
          <w:cols w:equalWidth="0" w:num="2">
            <w:col w:w="1080" w:space="580"/>
            <w:col w:w="8059"/>
          </w:cols>
          <w:pgMar w:left="740" w:top="238" w:right="1440" w:bottom="1440" w:gutter="0" w:footer="0" w:header="0"/>
          <w:type w:val="continuous"/>
        </w:sectPr>
      </w:pPr>
    </w:p>
    <w:p>
      <w:pPr>
        <w:spacing w:after="0" w:line="187" w:lineRule="exact"/>
        <w:rPr>
          <w:sz w:val="20"/>
          <w:szCs w:val="20"/>
          <w:color w:val="auto"/>
        </w:rPr>
      </w:pPr>
    </w:p>
    <w:tbl>
      <w:tblPr>
        <w:tblLayout w:type="fixed"/>
        <w:tblInd w:w="386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17</w:t>
            </w:r>
          </w:p>
        </w:tc>
      </w:tr>
    </w:tbl>
    <w:p>
      <w:pPr>
        <w:sectPr>
          <w:pgSz w:w="11900" w:h="16838" w:orient="portrait"/>
          <w:cols w:equalWidth="0" w:num="1">
            <w:col w:w="9719"/>
          </w:cols>
          <w:pgMar w:left="740" w:top="238"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CONVERTING THE CASUAL MALE CUSTOMER</w:t>
      </w:r>
    </w:p>
    <w:p>
      <w:pPr>
        <w:spacing w:after="0" w:line="200" w:lineRule="exact"/>
        <w:rPr>
          <w:sz w:val="20"/>
          <w:szCs w:val="20"/>
          <w:color w:val="auto"/>
        </w:rPr>
      </w:pPr>
    </w:p>
    <w:p>
      <w:pPr>
        <w:spacing w:after="0" w:line="253" w:lineRule="exact"/>
        <w:rPr>
          <w:sz w:val="20"/>
          <w:szCs w:val="20"/>
          <w:color w:val="auto"/>
        </w:rPr>
      </w:pPr>
    </w:p>
    <w:p>
      <w:pPr>
        <w:jc w:val="center"/>
        <w:ind w:left="900" w:right="140"/>
        <w:spacing w:after="0" w:line="276" w:lineRule="auto"/>
        <w:rPr>
          <w:sz w:val="20"/>
          <w:szCs w:val="20"/>
          <w:color w:val="auto"/>
        </w:rPr>
      </w:pPr>
      <w:r>
        <w:rPr>
          <w:rFonts w:ascii="Arial" w:cs="Arial" w:eastAsia="Arial" w:hAnsi="Arial"/>
          <w:sz w:val="30"/>
          <w:szCs w:val="30"/>
          <w:b w:val="1"/>
          <w:bCs w:val="1"/>
          <w:color w:val="23282B"/>
        </w:rPr>
        <w:t>Begin promoting new DXL store at ambassador Casual Male XL stores 6 months prior to closing</w:t>
      </w:r>
    </w:p>
    <w:p>
      <w:pPr>
        <w:spacing w:after="0" w:line="130" w:lineRule="exact"/>
        <w:rPr>
          <w:sz w:val="20"/>
          <w:szCs w:val="20"/>
          <w:color w:val="auto"/>
        </w:rPr>
      </w:pPr>
    </w:p>
    <w:tbl>
      <w:tblPr>
        <w:tblLayout w:type="fixed"/>
        <w:tblInd w:w="760" w:type="dxa"/>
        <w:tblCellMar>
          <w:top w:w="0" w:type="dxa"/>
          <w:left w:w="0" w:type="dxa"/>
          <w:bottom w:w="0" w:type="dxa"/>
          <w:right w:w="0" w:type="dxa"/>
        </w:tblCellMar>
      </w:tblPr>
      <w:tr>
        <w:trPr>
          <w:trHeight w:val="471"/>
        </w:trPr>
        <w:tc>
          <w:tcPr>
            <w:tcW w:w="1280" w:type="dxa"/>
            <w:vAlign w:val="bottom"/>
          </w:tcPr>
          <w:p>
            <w:pPr>
              <w:jc w:val="right"/>
              <w:ind w:right="17"/>
              <w:spacing w:after="0"/>
              <w:rPr>
                <w:sz w:val="20"/>
                <w:szCs w:val="20"/>
                <w:color w:val="auto"/>
              </w:rPr>
            </w:pPr>
            <w:r>
              <w:rPr>
                <w:rFonts w:ascii="Arial" w:cs="Arial" w:eastAsia="Arial" w:hAnsi="Arial"/>
                <w:sz w:val="41"/>
                <w:szCs w:val="41"/>
                <w:b w:val="1"/>
                <w:bCs w:val="1"/>
                <w:color w:val="FFFFFF"/>
                <w:w w:val="98"/>
              </w:rPr>
              <w:t>+24%</w:t>
            </w:r>
          </w:p>
        </w:tc>
        <w:tc>
          <w:tcPr>
            <w:tcW w:w="6280" w:type="dxa"/>
            <w:vAlign w:val="bottom"/>
          </w:tcPr>
          <w:p>
            <w:pPr>
              <w:ind w:left="220"/>
              <w:spacing w:after="0"/>
              <w:rPr>
                <w:sz w:val="20"/>
                <w:szCs w:val="20"/>
                <w:color w:val="auto"/>
              </w:rPr>
            </w:pPr>
            <w:r>
              <w:rPr>
                <w:rFonts w:ascii="Arial" w:cs="Arial" w:eastAsia="Arial" w:hAnsi="Arial"/>
                <w:sz w:val="30"/>
                <w:szCs w:val="30"/>
                <w:b w:val="1"/>
                <w:bCs w:val="1"/>
                <w:color w:val="23282B"/>
              </w:rPr>
              <w:t>Greater conversion rate of Casual Male XL</w:t>
            </w:r>
          </w:p>
        </w:tc>
      </w:tr>
      <w:tr>
        <w:trPr>
          <w:trHeight w:val="392"/>
        </w:trPr>
        <w:tc>
          <w:tcPr>
            <w:tcW w:w="1280" w:type="dxa"/>
            <w:vAlign w:val="bottom"/>
          </w:tcPr>
          <w:p>
            <w:pPr>
              <w:spacing w:after="0"/>
              <w:rPr>
                <w:sz w:val="24"/>
                <w:szCs w:val="24"/>
                <w:color w:val="auto"/>
              </w:rPr>
            </w:pPr>
          </w:p>
        </w:tc>
        <w:tc>
          <w:tcPr>
            <w:tcW w:w="6280" w:type="dxa"/>
            <w:vAlign w:val="bottom"/>
          </w:tcPr>
          <w:p>
            <w:pPr>
              <w:ind w:left="220"/>
              <w:spacing w:after="0"/>
              <w:rPr>
                <w:sz w:val="20"/>
                <w:szCs w:val="20"/>
                <w:color w:val="auto"/>
              </w:rPr>
            </w:pPr>
            <w:r>
              <w:rPr>
                <w:rFonts w:ascii="Arial" w:cs="Arial" w:eastAsia="Arial" w:hAnsi="Arial"/>
                <w:sz w:val="30"/>
                <w:szCs w:val="30"/>
                <w:b w:val="1"/>
                <w:bCs w:val="1"/>
                <w:color w:val="23282B"/>
                <w:w w:val="98"/>
              </w:rPr>
              <w:t>customers in Spring 2014 than Spring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80"/>
        <w:spacing w:after="0"/>
        <w:rPr>
          <w:sz w:val="20"/>
          <w:szCs w:val="20"/>
          <w:color w:val="auto"/>
        </w:rPr>
      </w:pPr>
      <w:r>
        <w:rPr>
          <w:rFonts w:ascii="Arial" w:cs="Arial" w:eastAsia="Arial" w:hAnsi="Arial"/>
          <w:sz w:val="30"/>
          <w:szCs w:val="30"/>
          <w:b w:val="1"/>
          <w:bCs w:val="1"/>
          <w:color w:val="23282B"/>
        </w:rPr>
        <w:t>Extending leases at certain Casual Male XL locations</w:t>
      </w:r>
    </w:p>
    <w:p>
      <w:pPr>
        <w:spacing w:after="0" w:line="200" w:lineRule="exact"/>
        <w:rPr>
          <w:sz w:val="20"/>
          <w:szCs w:val="20"/>
          <w:color w:val="auto"/>
        </w:rPr>
      </w:pPr>
    </w:p>
    <w:p>
      <w:pPr>
        <w:spacing w:after="0" w:line="269" w:lineRule="exact"/>
        <w:rPr>
          <w:sz w:val="20"/>
          <w:szCs w:val="20"/>
          <w:color w:val="auto"/>
        </w:rPr>
      </w:pPr>
    </w:p>
    <w:tbl>
      <w:tblPr>
        <w:tblLayout w:type="fixed"/>
        <w:tblInd w:w="3780" w:type="dxa"/>
        <w:tblCellMar>
          <w:top w:w="0" w:type="dxa"/>
          <w:left w:w="0" w:type="dxa"/>
          <w:bottom w:w="0" w:type="dxa"/>
          <w:right w:w="0" w:type="dxa"/>
        </w:tblCellMar>
      </w:tblPr>
      <w:tr>
        <w:trPr>
          <w:trHeight w:val="211"/>
        </w:trPr>
        <w:tc>
          <w:tcPr>
            <w:tcW w:w="348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20" w:type="dxa"/>
            <w:vAlign w:val="bottom"/>
          </w:tcPr>
          <w:p>
            <w:pPr>
              <w:jc w:val="right"/>
              <w:spacing w:after="0"/>
              <w:rPr>
                <w:sz w:val="20"/>
                <w:szCs w:val="20"/>
                <w:color w:val="auto"/>
              </w:rPr>
            </w:pPr>
            <w:r>
              <w:rPr>
                <w:rFonts w:ascii="Arial" w:cs="Arial" w:eastAsia="Arial" w:hAnsi="Arial"/>
                <w:sz w:val="18"/>
                <w:szCs w:val="18"/>
                <w:color w:val="8CA1A5"/>
              </w:rPr>
              <w:t>18</w:t>
            </w:r>
          </w:p>
        </w:tc>
      </w:tr>
    </w:tbl>
    <w:p>
      <w:pPr>
        <w:sectPr>
          <w:pgSz w:w="11900" w:h="16838" w:orient="portrait"/>
          <w:cols w:equalWidth="0" w:num="1">
            <w:col w:w="9639"/>
          </w:cols>
          <w:pgMar w:left="820" w:top="238" w:right="1440" w:bottom="1440" w:gutter="0" w:footer="0" w:header="0"/>
        </w:sectPr>
      </w:pPr>
    </w:p>
    <w:bookmarkStart w:id="21" w:name="page22"/>
    <w:bookmarkEnd w:id="21"/>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FALL 2014 MARKETING CAMPAIGN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104775</wp:posOffset>
            </wp:positionV>
            <wp:extent cx="6200775" cy="4189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3419" w:firstLine="11"/>
        <w:spacing w:after="0" w:line="382" w:lineRule="auto"/>
        <w:rPr>
          <w:sz w:val="20"/>
          <w:szCs w:val="20"/>
          <w:color w:val="auto"/>
        </w:rPr>
      </w:pPr>
      <w:r>
        <w:rPr>
          <w:rFonts w:ascii="Arial" w:cs="Arial" w:eastAsia="Arial" w:hAnsi="Arial"/>
          <w:sz w:val="26"/>
          <w:szCs w:val="26"/>
          <w:color w:val="23282B"/>
        </w:rPr>
        <w:t>Commence campaign two weeks later than prior year Will run from mid-October through mid-December</w:t>
      </w:r>
    </w:p>
    <w:p>
      <w:pPr>
        <w:spacing w:after="0" w:line="2" w:lineRule="exact"/>
        <w:rPr>
          <w:sz w:val="20"/>
          <w:szCs w:val="20"/>
          <w:color w:val="auto"/>
        </w:rPr>
      </w:pPr>
    </w:p>
    <w:p>
      <w:pPr>
        <w:ind w:left="20" w:right="1439"/>
        <w:spacing w:after="0" w:line="385" w:lineRule="auto"/>
        <w:rPr>
          <w:sz w:val="20"/>
          <w:szCs w:val="20"/>
          <w:color w:val="auto"/>
        </w:rPr>
      </w:pPr>
      <w:r>
        <w:rPr>
          <w:rFonts w:ascii="Arial" w:cs="Arial" w:eastAsia="Arial" w:hAnsi="Arial"/>
          <w:sz w:val="26"/>
          <w:szCs w:val="26"/>
          <w:color w:val="23282B"/>
        </w:rPr>
        <w:t>Aligned with peak holiday selling season and targeting gift givers Greater quality of program for ad placement (NFL, ESPN, Prime Time) Increased media presence for Thanksgiving week to mid-December Implement a “lead into the weekend”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19</w:t>
            </w:r>
          </w:p>
        </w:tc>
      </w:tr>
    </w:tbl>
    <w:p>
      <w:pPr>
        <w:sectPr>
          <w:pgSz w:w="11900" w:h="16838" w:orient="portrait"/>
          <w:cols w:equalWidth="0" w:num="1">
            <w:col w:w="9639"/>
          </w:cols>
          <w:pgMar w:left="820" w:top="238" w:right="1440" w:bottom="1440" w:gutter="0" w:footer="0" w:header="0"/>
        </w:sectPr>
      </w:pPr>
    </w:p>
    <w:bookmarkStart w:id="22" w:name="page23"/>
    <w:bookmarkEnd w:id="22"/>
    <w:p>
      <w:pPr>
        <w:spacing w:after="0"/>
        <w:rPr>
          <w:sz w:val="20"/>
          <w:szCs w:val="20"/>
          <w:color w:val="auto"/>
        </w:rPr>
      </w:pPr>
      <w:r>
        <w:rPr>
          <w:rFonts w:ascii="Arial" w:cs="Arial" w:eastAsia="Arial" w:hAnsi="Arial"/>
          <w:sz w:val="40"/>
          <w:szCs w:val="40"/>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GREATER PRESENCE IN METRO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111760</wp:posOffset>
            </wp:positionV>
            <wp:extent cx="6200775" cy="4182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0775" cy="4182745"/>
                    </a:xfrm>
                    <a:prstGeom prst="rect">
                      <a:avLst/>
                    </a:prstGeom>
                    <a:noFill/>
                  </pic:spPr>
                </pic:pic>
              </a:graphicData>
            </a:graphic>
          </wp:anchor>
        </w:drawing>
      </w:r>
    </w:p>
    <w:p>
      <w:pPr>
        <w:sectPr>
          <w:pgSz w:w="11900" w:h="16838" w:orient="portrait"/>
          <w:cols w:equalWidth="0" w:num="1">
            <w:col w:w="9639"/>
          </w:cols>
          <w:pgMar w:left="820" w:top="238"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23282B"/>
        </w:rPr>
        <w:t>Full size DXL</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23282B"/>
        </w:rPr>
        <w:t>5K DXL</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23282B"/>
        </w:rPr>
        <w:t>Future DXL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79"/>
        <w:spacing w:after="0" w:line="257" w:lineRule="auto"/>
        <w:rPr>
          <w:sz w:val="20"/>
          <w:szCs w:val="20"/>
          <w:color w:val="auto"/>
        </w:rPr>
      </w:pPr>
      <w:r>
        <w:rPr>
          <w:rFonts w:ascii="Arial" w:cs="Arial" w:eastAsia="Arial" w:hAnsi="Arial"/>
          <w:sz w:val="26"/>
          <w:szCs w:val="26"/>
          <w:color w:val="23282B"/>
        </w:rPr>
        <w:t>Customers typically willing to drive up to 20 miles to shop at DXL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79"/>
        <w:spacing w:after="0" w:line="256" w:lineRule="auto"/>
        <w:rPr>
          <w:sz w:val="20"/>
          <w:szCs w:val="20"/>
          <w:color w:val="auto"/>
        </w:rPr>
      </w:pPr>
      <w:r>
        <w:rPr>
          <w:rFonts w:ascii="Arial" w:cs="Arial" w:eastAsia="Arial" w:hAnsi="Arial"/>
          <w:sz w:val="26"/>
          <w:szCs w:val="26"/>
          <w:color w:val="23282B"/>
        </w:rPr>
        <w:t>Chicago metro market large enough for multiple full-sized and 5K DXL stores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59"/>
        <w:spacing w:after="0" w:line="256" w:lineRule="auto"/>
        <w:rPr>
          <w:sz w:val="20"/>
          <w:szCs w:val="20"/>
          <w:color w:val="auto"/>
        </w:rPr>
      </w:pPr>
      <w:r>
        <w:rPr>
          <w:rFonts w:ascii="Arial" w:cs="Arial" w:eastAsia="Arial" w:hAnsi="Arial"/>
          <w:sz w:val="26"/>
          <w:szCs w:val="26"/>
          <w:color w:val="23282B"/>
        </w:rPr>
        <w:t>Prior to conversion, there were 19 Casual Male XL stores that serviced this market</w:t>
      </w:r>
    </w:p>
    <w:p>
      <w:pPr>
        <w:spacing w:after="0" w:line="200" w:lineRule="exact"/>
        <w:rPr>
          <w:sz w:val="20"/>
          <w:szCs w:val="20"/>
          <w:color w:val="auto"/>
        </w:rPr>
      </w:pPr>
    </w:p>
    <w:p>
      <w:pPr>
        <w:sectPr>
          <w:pgSz w:w="11900" w:h="16838" w:orient="portrait"/>
          <w:cols w:equalWidth="0" w:num="2">
            <w:col w:w="5860" w:space="720"/>
            <w:col w:w="3059"/>
          </w:cols>
          <w:pgMar w:left="820" w:top="238"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8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100" w:type="dxa"/>
            <w:vAlign w:val="bottom"/>
          </w:tcPr>
          <w:p>
            <w:pPr>
              <w:jc w:val="right"/>
              <w:spacing w:after="0"/>
              <w:rPr>
                <w:sz w:val="20"/>
                <w:szCs w:val="20"/>
                <w:color w:val="auto"/>
              </w:rPr>
            </w:pPr>
            <w:r>
              <w:rPr>
                <w:rFonts w:ascii="Arial" w:cs="Arial" w:eastAsia="Arial" w:hAnsi="Arial"/>
                <w:sz w:val="18"/>
                <w:szCs w:val="18"/>
                <w:color w:val="8CA1A5"/>
              </w:rPr>
              <w:t>20</w:t>
            </w:r>
          </w:p>
        </w:tc>
      </w:tr>
    </w:tbl>
    <w:p>
      <w:pPr>
        <w:sectPr>
          <w:pgSz w:w="11900" w:h="16838" w:orient="portrait"/>
          <w:cols w:equalWidth="0" w:num="1">
            <w:col w:w="9639"/>
          </w:cols>
          <w:pgMar w:left="820" w:top="238"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IMPRESSIVE DOUBLE-DIGIT COMP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104775</wp:posOffset>
            </wp:positionV>
            <wp:extent cx="6193790" cy="4189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3790" cy="418973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16.5%</w:t>
      </w:r>
    </w:p>
    <w:p>
      <w:pPr>
        <w:spacing w:after="0" w:line="145"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13.6%</w:t>
      </w:r>
    </w:p>
    <w:p>
      <w:pPr>
        <w:ind w:left="6920"/>
        <w:spacing w:after="0"/>
        <w:rPr>
          <w:sz w:val="20"/>
          <w:szCs w:val="20"/>
          <w:color w:val="auto"/>
        </w:rPr>
      </w:pPr>
      <w:r>
        <w:rPr>
          <w:rFonts w:ascii="Arial" w:cs="Arial" w:eastAsia="Arial" w:hAnsi="Arial"/>
          <w:sz w:val="18"/>
          <w:szCs w:val="18"/>
          <w:b w:val="1"/>
          <w:bCs w:val="1"/>
          <w:color w:val="auto"/>
        </w:rPr>
        <w:t>12.8%</w:t>
      </w:r>
    </w:p>
    <w:p>
      <w:pPr>
        <w:spacing w:after="0" w:line="4" w:lineRule="exact"/>
        <w:rPr>
          <w:sz w:val="20"/>
          <w:szCs w:val="20"/>
          <w:color w:val="auto"/>
        </w:rPr>
      </w:pPr>
    </w:p>
    <w:p>
      <w:pPr>
        <w:jc w:val="right"/>
        <w:ind w:right="1119"/>
        <w:spacing w:after="0"/>
        <w:tabs>
          <w:tab w:leader="none" w:pos="13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26"/>
          <w:szCs w:val="26"/>
          <w:b w:val="1"/>
          <w:bCs w:val="1"/>
          <w:color w:val="auto"/>
          <w:vertAlign w:val="superscript"/>
        </w:rPr>
        <w:t>11.3%</w:t>
      </w:r>
    </w:p>
    <w:p>
      <w:pPr>
        <w:spacing w:after="0" w:line="200" w:lineRule="exact"/>
        <w:rPr>
          <w:sz w:val="20"/>
          <w:szCs w:val="20"/>
          <w:color w:val="auto"/>
        </w:rPr>
      </w:pPr>
    </w:p>
    <w:p>
      <w:pPr>
        <w:spacing w:after="0" w:line="27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5.9%</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40" w:type="dxa"/>
        <w:tblCellMar>
          <w:top w:w="0" w:type="dxa"/>
          <w:left w:w="0" w:type="dxa"/>
          <w:bottom w:w="0" w:type="dxa"/>
          <w:right w:w="0" w:type="dxa"/>
        </w:tblCellMar>
      </w:tblPr>
      <w:tr>
        <w:trPr>
          <w:trHeight w:val="276"/>
        </w:trPr>
        <w:tc>
          <w:tcPr>
            <w:tcW w:w="88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(2.7)%</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40" w:type="dxa"/>
            <w:vAlign w:val="bottom"/>
            <w:gridSpan w:val="5"/>
          </w:tcPr>
          <w:p>
            <w:pPr>
              <w:jc w:val="center"/>
              <w:ind w:left="61"/>
              <w:spacing w:after="0"/>
              <w:rPr>
                <w:sz w:val="20"/>
                <w:szCs w:val="20"/>
                <w:color w:val="auto"/>
              </w:rPr>
            </w:pPr>
            <w:r>
              <w:rPr>
                <w:rFonts w:ascii="Arial" w:cs="Arial" w:eastAsia="Arial" w:hAnsi="Arial"/>
                <w:sz w:val="21"/>
                <w:szCs w:val="21"/>
                <w:b w:val="1"/>
                <w:bCs w:val="1"/>
                <w:color w:val="FFFFFF"/>
                <w:w w:val="99"/>
              </w:rPr>
              <w:t>5 quarters of double-digit comp sales increases</w:t>
            </w:r>
          </w:p>
        </w:tc>
        <w:tc>
          <w:tcPr>
            <w:tcW w:w="0" w:type="dxa"/>
            <w:vAlign w:val="bottom"/>
          </w:tcPr>
          <w:p>
            <w:pPr>
              <w:spacing w:after="0"/>
              <w:rPr>
                <w:sz w:val="1"/>
                <w:szCs w:val="1"/>
                <w:color w:val="auto"/>
              </w:rPr>
            </w:pPr>
          </w:p>
        </w:tc>
      </w:tr>
      <w:tr>
        <w:trPr>
          <w:trHeight w:val="132"/>
        </w:trPr>
        <w:tc>
          <w:tcPr>
            <w:tcW w:w="8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8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w w:val="98"/>
              </w:rPr>
              <w:t>Q3 2012</w:t>
            </w:r>
          </w:p>
        </w:tc>
        <w:tc>
          <w:tcPr>
            <w:tcW w:w="10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Q4 2012</w:t>
            </w:r>
          </w:p>
        </w:tc>
        <w:tc>
          <w:tcPr>
            <w:tcW w:w="10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Q1 2013</w:t>
            </w:r>
          </w:p>
        </w:tc>
        <w:tc>
          <w:tcPr>
            <w:tcW w:w="1080" w:type="dxa"/>
            <w:vAlign w:val="bottom"/>
          </w:tcPr>
          <w:p>
            <w:pPr>
              <w:jc w:val="right"/>
              <w:ind w:right="81"/>
              <w:spacing w:after="0"/>
              <w:rPr>
                <w:sz w:val="20"/>
                <w:szCs w:val="20"/>
                <w:color w:val="auto"/>
              </w:rPr>
            </w:pPr>
            <w:r>
              <w:rPr>
                <w:rFonts w:ascii="Arial" w:cs="Arial" w:eastAsia="Arial" w:hAnsi="Arial"/>
                <w:sz w:val="12"/>
                <w:szCs w:val="12"/>
                <w:b w:val="1"/>
                <w:bCs w:val="1"/>
                <w:color w:val="23282B"/>
              </w:rPr>
              <w:t>1</w:t>
            </w:r>
          </w:p>
        </w:tc>
        <w:tc>
          <w:tcPr>
            <w:tcW w:w="1040" w:type="dxa"/>
            <w:vAlign w:val="bottom"/>
          </w:tcPr>
          <w:p>
            <w:pPr>
              <w:jc w:val="right"/>
              <w:ind w:right="109"/>
              <w:spacing w:after="0"/>
              <w:rPr>
                <w:sz w:val="20"/>
                <w:szCs w:val="20"/>
                <w:color w:val="auto"/>
              </w:rPr>
            </w:pPr>
            <w:r>
              <w:rPr>
                <w:rFonts w:ascii="Arial" w:cs="Arial" w:eastAsia="Arial" w:hAnsi="Arial"/>
                <w:sz w:val="12"/>
                <w:szCs w:val="12"/>
                <w:b w:val="1"/>
                <w:bCs w:val="1"/>
                <w:color w:val="23282B"/>
              </w:rPr>
              <w:t>1</w:t>
            </w:r>
          </w:p>
        </w:tc>
        <w:tc>
          <w:tcPr>
            <w:tcW w:w="1060" w:type="dxa"/>
            <w:vAlign w:val="bottom"/>
          </w:tcPr>
          <w:p>
            <w:pPr>
              <w:jc w:val="right"/>
              <w:ind w:right="89"/>
              <w:spacing w:after="0"/>
              <w:rPr>
                <w:sz w:val="20"/>
                <w:szCs w:val="20"/>
                <w:color w:val="auto"/>
              </w:rPr>
            </w:pPr>
            <w:r>
              <w:rPr>
                <w:rFonts w:ascii="Arial" w:cs="Arial" w:eastAsia="Arial" w:hAnsi="Arial"/>
                <w:sz w:val="12"/>
                <w:szCs w:val="12"/>
                <w:b w:val="1"/>
                <w:bCs w:val="1"/>
                <w:color w:val="23282B"/>
              </w:rPr>
              <w:t>2</w:t>
            </w:r>
          </w:p>
        </w:tc>
        <w:tc>
          <w:tcPr>
            <w:tcW w:w="10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Q1 2014</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23282B"/>
              </w:rPr>
              <w:t>3</w:t>
            </w:r>
          </w:p>
        </w:tc>
        <w:tc>
          <w:tcPr>
            <w:tcW w:w="0" w:type="dxa"/>
            <w:vAlign w:val="bottom"/>
          </w:tcPr>
          <w:p>
            <w:pPr>
              <w:spacing w:after="0"/>
              <w:rPr>
                <w:sz w:val="1"/>
                <w:szCs w:val="1"/>
                <w:color w:val="auto"/>
              </w:rPr>
            </w:pPr>
          </w:p>
        </w:tc>
      </w:tr>
      <w:tr>
        <w:trPr>
          <w:trHeight w:val="161"/>
        </w:trPr>
        <w:tc>
          <w:tcPr>
            <w:tcW w:w="8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ind w:left="200"/>
              <w:spacing w:after="0" w:line="161" w:lineRule="exact"/>
              <w:rPr>
                <w:sz w:val="20"/>
                <w:szCs w:val="20"/>
                <w:color w:val="auto"/>
              </w:rPr>
            </w:pPr>
            <w:r>
              <w:rPr>
                <w:rFonts w:ascii="Arial" w:cs="Arial" w:eastAsia="Arial" w:hAnsi="Arial"/>
                <w:sz w:val="18"/>
                <w:szCs w:val="18"/>
                <w:b w:val="1"/>
                <w:bCs w:val="1"/>
                <w:color w:val="auto"/>
              </w:rPr>
              <w:t>Q2 2013</w:t>
            </w:r>
          </w:p>
        </w:tc>
        <w:tc>
          <w:tcPr>
            <w:tcW w:w="1040" w:type="dxa"/>
            <w:vAlign w:val="bottom"/>
          </w:tcPr>
          <w:p>
            <w:pPr>
              <w:jc w:val="right"/>
              <w:ind w:right="109"/>
              <w:spacing w:after="0" w:line="161" w:lineRule="exact"/>
              <w:rPr>
                <w:sz w:val="20"/>
                <w:szCs w:val="20"/>
                <w:color w:val="auto"/>
              </w:rPr>
            </w:pPr>
            <w:r>
              <w:rPr>
                <w:rFonts w:ascii="Arial" w:cs="Arial" w:eastAsia="Arial" w:hAnsi="Arial"/>
                <w:sz w:val="18"/>
                <w:szCs w:val="18"/>
                <w:b w:val="1"/>
                <w:bCs w:val="1"/>
                <w:color w:val="auto"/>
              </w:rPr>
              <w:t>Q3 2013</w:t>
            </w:r>
          </w:p>
        </w:tc>
        <w:tc>
          <w:tcPr>
            <w:tcW w:w="1060" w:type="dxa"/>
            <w:vAlign w:val="bottom"/>
          </w:tcPr>
          <w:p>
            <w:pPr>
              <w:jc w:val="center"/>
              <w:spacing w:after="0" w:line="161" w:lineRule="exact"/>
              <w:rPr>
                <w:sz w:val="20"/>
                <w:szCs w:val="20"/>
                <w:color w:val="auto"/>
              </w:rPr>
            </w:pPr>
            <w:r>
              <w:rPr>
                <w:rFonts w:ascii="Arial" w:cs="Arial" w:eastAsia="Arial" w:hAnsi="Arial"/>
                <w:sz w:val="18"/>
                <w:szCs w:val="18"/>
                <w:b w:val="1"/>
                <w:bCs w:val="1"/>
                <w:color w:val="auto"/>
                <w:w w:val="98"/>
              </w:rPr>
              <w:t>Q4 2013</w:t>
            </w:r>
          </w:p>
        </w:tc>
        <w:tc>
          <w:tcPr>
            <w:tcW w:w="1040" w:type="dxa"/>
            <w:vAlign w:val="bottom"/>
            <w:vMerge w:val="continue"/>
          </w:tcPr>
          <w:p>
            <w:pPr>
              <w:spacing w:after="0"/>
              <w:rPr>
                <w:sz w:val="13"/>
                <w:szCs w:val="13"/>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8"/>
                <w:szCs w:val="18"/>
                <w:b w:val="1"/>
                <w:bCs w:val="1"/>
                <w:color w:val="auto"/>
              </w:rPr>
              <w:t>Q2 2014</w:t>
            </w:r>
          </w:p>
        </w:tc>
        <w:tc>
          <w:tcPr>
            <w:tcW w:w="0" w:type="dxa"/>
            <w:vAlign w:val="bottom"/>
          </w:tcPr>
          <w:p>
            <w:pPr>
              <w:spacing w:after="0"/>
              <w:rPr>
                <w:sz w:val="1"/>
                <w:szCs w:val="1"/>
                <w:color w:val="auto"/>
              </w:rPr>
            </w:pPr>
          </w:p>
        </w:tc>
      </w:tr>
      <w:tr>
        <w:trPr>
          <w:trHeight w:val="173"/>
        </w:trPr>
        <w:tc>
          <w:tcPr>
            <w:tcW w:w="880" w:type="dxa"/>
            <w:vAlign w:val="bottom"/>
          </w:tcPr>
          <w:p>
            <w:pPr>
              <w:jc w:val="right"/>
              <w:ind w:right="140"/>
              <w:spacing w:after="0"/>
              <w:rPr>
                <w:sz w:val="20"/>
                <w:szCs w:val="20"/>
                <w:color w:val="auto"/>
              </w:rPr>
            </w:pPr>
            <w:r>
              <w:rPr>
                <w:rFonts w:ascii="Arial" w:cs="Arial" w:eastAsia="Arial" w:hAnsi="Arial"/>
                <w:sz w:val="13"/>
                <w:szCs w:val="13"/>
                <w:b w:val="1"/>
                <w:bCs w:val="1"/>
                <w:color w:val="23282B"/>
                <w:w w:val="97"/>
              </w:rPr>
              <w:t>(11 stores)</w:t>
            </w:r>
          </w:p>
        </w:tc>
        <w:tc>
          <w:tcPr>
            <w:tcW w:w="1060" w:type="dxa"/>
            <w:vAlign w:val="bottom"/>
          </w:tcPr>
          <w:p>
            <w:pPr>
              <w:ind w:left="180"/>
              <w:spacing w:after="0"/>
              <w:rPr>
                <w:sz w:val="20"/>
                <w:szCs w:val="20"/>
                <w:color w:val="auto"/>
              </w:rPr>
            </w:pPr>
            <w:r>
              <w:rPr>
                <w:rFonts w:ascii="Arial" w:cs="Arial" w:eastAsia="Arial" w:hAnsi="Arial"/>
                <w:sz w:val="13"/>
                <w:szCs w:val="13"/>
                <w:b w:val="1"/>
                <w:bCs w:val="1"/>
                <w:color w:val="23282B"/>
              </w:rPr>
              <w:t>(16 stores)</w:t>
            </w:r>
          </w:p>
        </w:tc>
        <w:tc>
          <w:tcPr>
            <w:tcW w:w="1060" w:type="dxa"/>
            <w:vAlign w:val="bottom"/>
          </w:tcPr>
          <w:p>
            <w:pPr>
              <w:ind w:left="180"/>
              <w:spacing w:after="0"/>
              <w:rPr>
                <w:sz w:val="20"/>
                <w:szCs w:val="20"/>
                <w:color w:val="auto"/>
              </w:rPr>
            </w:pPr>
            <w:r>
              <w:rPr>
                <w:rFonts w:ascii="Arial" w:cs="Arial" w:eastAsia="Arial" w:hAnsi="Arial"/>
                <w:sz w:val="13"/>
                <w:szCs w:val="13"/>
                <w:b w:val="1"/>
                <w:bCs w:val="1"/>
                <w:color w:val="23282B"/>
              </w:rPr>
              <w:t>(23 stores)</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23282B"/>
              </w:rPr>
              <w:t>(29 stores)</w:t>
            </w:r>
          </w:p>
        </w:tc>
        <w:tc>
          <w:tcPr>
            <w:tcW w:w="1040" w:type="dxa"/>
            <w:vAlign w:val="bottom"/>
          </w:tcPr>
          <w:p>
            <w:pPr>
              <w:jc w:val="right"/>
              <w:ind w:right="129"/>
              <w:spacing w:after="0"/>
              <w:rPr>
                <w:sz w:val="20"/>
                <w:szCs w:val="20"/>
                <w:color w:val="auto"/>
              </w:rPr>
            </w:pPr>
            <w:r>
              <w:rPr>
                <w:rFonts w:ascii="Arial" w:cs="Arial" w:eastAsia="Arial" w:hAnsi="Arial"/>
                <w:sz w:val="13"/>
                <w:szCs w:val="13"/>
                <w:b w:val="1"/>
                <w:bCs w:val="1"/>
                <w:color w:val="23282B"/>
              </w:rPr>
              <w:t>(36 stores)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23282B"/>
              </w:rPr>
              <w:t>(48 stores)</w:t>
            </w:r>
          </w:p>
        </w:tc>
        <w:tc>
          <w:tcPr>
            <w:tcW w:w="1040" w:type="dxa"/>
            <w:vAlign w:val="bottom"/>
          </w:tcPr>
          <w:p>
            <w:pPr>
              <w:ind w:left="160"/>
              <w:spacing w:after="0"/>
              <w:rPr>
                <w:sz w:val="20"/>
                <w:szCs w:val="20"/>
                <w:color w:val="auto"/>
              </w:rPr>
            </w:pPr>
            <w:r>
              <w:rPr>
                <w:rFonts w:ascii="Arial" w:cs="Arial" w:eastAsia="Arial" w:hAnsi="Arial"/>
                <w:sz w:val="13"/>
                <w:szCs w:val="13"/>
                <w:b w:val="1"/>
                <w:bCs w:val="1"/>
                <w:color w:val="23282B"/>
              </w:rPr>
              <w:t>(52 stores)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23282B"/>
              </w:rPr>
              <w:t>(61 stores)</w:t>
            </w: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23282B"/>
          <w:vertAlign w:val="superscript"/>
        </w:rPr>
        <w:t>1</w:t>
      </w:r>
      <w:r>
        <w:rPr>
          <w:rFonts w:ascii="Arial" w:cs="Arial" w:eastAsia="Arial" w:hAnsi="Arial"/>
          <w:sz w:val="18"/>
          <w:szCs w:val="18"/>
          <w:b w:val="1"/>
          <w:bCs w:val="1"/>
          <w:color w:val="23282B"/>
        </w:rPr>
        <w:t>Spring marketing campaign ran from 5/5/13 to 6/14/13</w:t>
      </w:r>
    </w:p>
    <w:p>
      <w:pPr>
        <w:ind w:left="320"/>
        <w:spacing w:after="0" w:line="181" w:lineRule="auto"/>
        <w:rPr>
          <w:sz w:val="20"/>
          <w:szCs w:val="20"/>
          <w:color w:val="auto"/>
        </w:rPr>
      </w:pPr>
      <w:r>
        <w:rPr>
          <w:rFonts w:ascii="Arial" w:cs="Arial" w:eastAsia="Arial" w:hAnsi="Arial"/>
          <w:sz w:val="24"/>
          <w:szCs w:val="24"/>
          <w:b w:val="1"/>
          <w:bCs w:val="1"/>
          <w:color w:val="23282B"/>
          <w:vertAlign w:val="superscript"/>
        </w:rPr>
        <w:t>2</w:t>
      </w:r>
      <w:r>
        <w:rPr>
          <w:rFonts w:ascii="Arial" w:cs="Arial" w:eastAsia="Arial" w:hAnsi="Arial"/>
          <w:sz w:val="18"/>
          <w:szCs w:val="18"/>
          <w:b w:val="1"/>
          <w:bCs w:val="1"/>
          <w:color w:val="23282B"/>
        </w:rPr>
        <w:t>Fall marketing campaign ran from 9/28/13 to 11/23/13</w:t>
      </w:r>
    </w:p>
    <w:p>
      <w:pPr>
        <w:ind w:left="320"/>
        <w:spacing w:after="0"/>
        <w:rPr>
          <w:sz w:val="20"/>
          <w:szCs w:val="20"/>
          <w:color w:val="auto"/>
        </w:rPr>
      </w:pPr>
      <w:r>
        <w:rPr>
          <w:rFonts w:ascii="Arial" w:cs="Arial" w:eastAsia="Arial" w:hAnsi="Arial"/>
          <w:sz w:val="24"/>
          <w:szCs w:val="24"/>
          <w:b w:val="1"/>
          <w:bCs w:val="1"/>
          <w:color w:val="23282B"/>
          <w:vertAlign w:val="superscript"/>
        </w:rPr>
        <w:t>3</w:t>
      </w:r>
      <w:r>
        <w:rPr>
          <w:rFonts w:ascii="Arial" w:cs="Arial" w:eastAsia="Arial" w:hAnsi="Arial"/>
          <w:sz w:val="18"/>
          <w:szCs w:val="18"/>
          <w:b w:val="1"/>
          <w:bCs w:val="1"/>
          <w:color w:val="23282B"/>
        </w:rPr>
        <w:t>Spring marketing campaign ran from 4/27/14 to 6/14/14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21</w:t>
            </w:r>
          </w:p>
        </w:tc>
      </w:tr>
    </w:tbl>
    <w:p>
      <w:pPr>
        <w:sectPr>
          <w:pgSz w:w="11900" w:h="16838" w:orient="portrait"/>
          <w:cols w:equalWidth="0" w:num="1">
            <w:col w:w="9639"/>
          </w:cols>
          <w:pgMar w:left="820" w:top="238" w:right="1440" w:bottom="1440" w:gutter="0" w:footer="0" w:header="0"/>
        </w:sectPr>
      </w:pPr>
    </w:p>
    <w:bookmarkStart w:id="24" w:name="page25"/>
    <w:bookmarkEnd w:id="24"/>
    <w:p>
      <w:pPr>
        <w:ind w:left="18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IMPROVING DIRECT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104775</wp:posOffset>
            </wp:positionV>
            <wp:extent cx="6249670" cy="4189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49670" cy="418973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30"/>
          <w:szCs w:val="30"/>
          <w:color w:val="23282B"/>
        </w:rPr>
        <w:t>Eliminated catalog</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circulation in May 2013</w:t>
      </w:r>
    </w:p>
    <w:p>
      <w:pPr>
        <w:spacing w:after="0" w:line="356" w:lineRule="exact"/>
        <w:rPr>
          <w:sz w:val="20"/>
          <w:szCs w:val="20"/>
          <w:color w:val="auto"/>
        </w:rPr>
      </w:pPr>
    </w:p>
    <w:p>
      <w:pPr>
        <w:spacing w:after="0"/>
        <w:rPr>
          <w:sz w:val="20"/>
          <w:szCs w:val="20"/>
          <w:color w:val="auto"/>
        </w:rPr>
      </w:pPr>
      <w:r>
        <w:rPr>
          <w:rFonts w:ascii="Arial" w:cs="Arial" w:eastAsia="Arial" w:hAnsi="Arial"/>
          <w:sz w:val="30"/>
          <w:szCs w:val="30"/>
          <w:color w:val="23282B"/>
        </w:rPr>
        <w:t>Improved website</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functionality</w:t>
      </w:r>
    </w:p>
    <w:p>
      <w:pPr>
        <w:spacing w:after="0" w:line="356" w:lineRule="exact"/>
        <w:rPr>
          <w:sz w:val="20"/>
          <w:szCs w:val="20"/>
          <w:color w:val="auto"/>
        </w:rPr>
      </w:pPr>
    </w:p>
    <w:p>
      <w:pPr>
        <w:spacing w:after="0"/>
        <w:rPr>
          <w:sz w:val="20"/>
          <w:szCs w:val="20"/>
          <w:color w:val="auto"/>
        </w:rPr>
      </w:pPr>
      <w:r>
        <w:rPr>
          <w:rFonts w:ascii="Arial" w:cs="Arial" w:eastAsia="Arial" w:hAnsi="Arial"/>
          <w:sz w:val="30"/>
          <w:szCs w:val="30"/>
          <w:color w:val="23282B"/>
        </w:rPr>
        <w:t>Omnichannel retailer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23282B"/>
        </w:rPr>
        <w:t>•Ship to store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23282B"/>
        </w:rPr>
        <w:t>•Preferred delivery</w:t>
      </w:r>
    </w:p>
    <w:p>
      <w:pPr>
        <w:spacing w:after="0"/>
        <w:rPr>
          <w:sz w:val="20"/>
          <w:szCs w:val="20"/>
          <w:color w:val="auto"/>
        </w:rPr>
      </w:pPr>
      <w:r>
        <w:rPr>
          <w:rFonts w:ascii="Arial" w:cs="Arial" w:eastAsia="Arial" w:hAnsi="Arial"/>
          <w:sz w:val="21"/>
          <w:szCs w:val="21"/>
          <w:color w:val="23282B"/>
        </w:rPr>
        <w:t>•Store inventory available online</w:t>
      </w:r>
    </w:p>
    <w:p>
      <w:pPr>
        <w:spacing w:after="0"/>
        <w:rPr>
          <w:sz w:val="20"/>
          <w:szCs w:val="20"/>
          <w:color w:val="auto"/>
        </w:rPr>
      </w:pPr>
      <w:r>
        <w:rPr>
          <w:rFonts w:ascii="Arial" w:cs="Arial" w:eastAsia="Arial" w:hAnsi="Arial"/>
          <w:sz w:val="21"/>
          <w:szCs w:val="21"/>
          <w:color w:val="23282B"/>
        </w:rPr>
        <w:t>•Free shipping on orders above $100</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23282B"/>
        </w:rPr>
        <w:t>•Mobile coming soon</w:t>
      </w:r>
    </w:p>
    <w:p>
      <w:pPr>
        <w:spacing w:after="0" w:line="348" w:lineRule="exact"/>
        <w:rPr>
          <w:sz w:val="20"/>
          <w:szCs w:val="20"/>
          <w:color w:val="auto"/>
        </w:rPr>
      </w:pPr>
    </w:p>
    <w:p>
      <w:pPr>
        <w:spacing w:after="0"/>
        <w:rPr>
          <w:sz w:val="20"/>
          <w:szCs w:val="20"/>
          <w:color w:val="auto"/>
        </w:rPr>
      </w:pPr>
      <w:r>
        <w:rPr>
          <w:rFonts w:ascii="Arial" w:cs="Arial" w:eastAsia="Arial" w:hAnsi="Arial"/>
          <w:sz w:val="30"/>
          <w:szCs w:val="30"/>
          <w:color w:val="23282B"/>
        </w:rPr>
        <w:t>Increased digital display</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marketing</w:t>
      </w:r>
    </w:p>
    <w:p>
      <w:pPr>
        <w:spacing w:after="0" w:line="356" w:lineRule="exact"/>
        <w:rPr>
          <w:sz w:val="20"/>
          <w:szCs w:val="20"/>
          <w:color w:val="auto"/>
        </w:rPr>
      </w:pPr>
    </w:p>
    <w:p>
      <w:pPr>
        <w:spacing w:after="0"/>
        <w:rPr>
          <w:sz w:val="20"/>
          <w:szCs w:val="20"/>
          <w:color w:val="auto"/>
        </w:rPr>
      </w:pPr>
      <w:r>
        <w:rPr>
          <w:rFonts w:ascii="Arial" w:cs="Arial" w:eastAsia="Arial" w:hAnsi="Arial"/>
          <w:sz w:val="30"/>
          <w:szCs w:val="30"/>
          <w:color w:val="23282B"/>
        </w:rPr>
        <w:t>Stronger promotional</w:t>
      </w:r>
    </w:p>
    <w:p>
      <w:pPr>
        <w:spacing w:after="0" w:line="6" w:lineRule="exact"/>
        <w:rPr>
          <w:sz w:val="20"/>
          <w:szCs w:val="20"/>
          <w:color w:val="auto"/>
        </w:rPr>
      </w:pPr>
    </w:p>
    <w:p>
      <w:pPr>
        <w:spacing w:after="0"/>
        <w:rPr>
          <w:sz w:val="20"/>
          <w:szCs w:val="20"/>
          <w:color w:val="auto"/>
        </w:rPr>
      </w:pPr>
      <w:r>
        <w:rPr>
          <w:rFonts w:ascii="Arial" w:cs="Arial" w:eastAsia="Arial" w:hAnsi="Arial"/>
          <w:sz w:val="30"/>
          <w:szCs w:val="30"/>
          <w:color w:val="23282B"/>
        </w:rPr>
        <w:t>cadence</w:t>
      </w:r>
    </w:p>
    <w:p>
      <w:pPr>
        <w:spacing w:after="0" w:line="148" w:lineRule="exact"/>
        <w:rPr>
          <w:sz w:val="20"/>
          <w:szCs w:val="20"/>
          <w:color w:val="auto"/>
        </w:rPr>
      </w:pPr>
    </w:p>
    <w:tbl>
      <w:tblPr>
        <w:tblLayout w:type="fixed"/>
        <w:tblInd w:w="396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22</w:t>
            </w:r>
          </w:p>
        </w:tc>
      </w:tr>
    </w:tbl>
    <w:p>
      <w:pPr>
        <w:sectPr>
          <w:pgSz w:w="11900" w:h="16838" w:orient="portrait"/>
          <w:cols w:equalWidth="0" w:num="1">
            <w:col w:w="9819"/>
          </w:cols>
          <w:pgMar w:left="640" w:top="238"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5163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025" cy="516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139"/>
        <w:spacing w:after="0"/>
        <w:rPr>
          <w:sz w:val="20"/>
          <w:szCs w:val="20"/>
          <w:color w:val="auto"/>
        </w:rPr>
      </w:pPr>
      <w:r>
        <w:rPr>
          <w:rFonts w:ascii="Arial" w:cs="Arial" w:eastAsia="Arial" w:hAnsi="Arial"/>
          <w:sz w:val="41"/>
          <w:szCs w:val="41"/>
          <w:b w:val="1"/>
          <w:bCs w:val="1"/>
          <w:color w:val="FFFFFF"/>
        </w:rPr>
        <w:t>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FFFFFF"/>
        </w:rPr>
        <w:t>Destination XL Group, Inc.</w:t>
      </w:r>
    </w:p>
    <w:p>
      <w:pPr>
        <w:sectPr>
          <w:pgSz w:w="11900" w:h="16838" w:orient="portrait"/>
          <w:cols w:equalWidth="0" w:num="1">
            <w:col w:w="9999"/>
          </w:cols>
          <w:pgMar w:left="460" w:top="1440" w:right="1440" w:bottom="1440" w:gutter="0" w:footer="0" w:header="0"/>
        </w:sectPr>
      </w:pPr>
    </w:p>
    <w:bookmarkStart w:id="26" w:name="page27"/>
    <w:bookmarkEnd w:id="26"/>
    <w:p>
      <w:pPr>
        <w:ind w:left="16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Q2 2014 SALES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104775</wp:posOffset>
            </wp:positionV>
            <wp:extent cx="6200775" cy="4189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41"/>
          <w:szCs w:val="41"/>
          <w:b w:val="1"/>
          <w:bCs w:val="1"/>
          <w:color w:val="FFFFFF"/>
        </w:rPr>
        <w:t>+5.8%</w:t>
      </w:r>
      <w:r>
        <w:rPr>
          <w:sz w:val="20"/>
          <w:szCs w:val="20"/>
          <w:color w:val="auto"/>
        </w:rPr>
        <w:tab/>
      </w:r>
      <w:r>
        <w:rPr>
          <w:rFonts w:ascii="Arial" w:cs="Arial" w:eastAsia="Arial" w:hAnsi="Arial"/>
          <w:sz w:val="34"/>
          <w:szCs w:val="34"/>
          <w:b w:val="1"/>
          <w:bCs w:val="1"/>
          <w:color w:val="354047"/>
        </w:rPr>
        <w:t>Total sales (Retail and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41"/>
          <w:szCs w:val="41"/>
          <w:b w:val="1"/>
          <w:bCs w:val="1"/>
          <w:color w:val="FFFFFF"/>
        </w:rPr>
        <w:t>+7.0%</w:t>
      </w:r>
      <w:r>
        <w:rPr>
          <w:sz w:val="20"/>
          <w:szCs w:val="20"/>
          <w:color w:val="auto"/>
        </w:rPr>
        <w:tab/>
      </w:r>
      <w:r>
        <w:rPr>
          <w:rFonts w:ascii="Arial" w:cs="Arial" w:eastAsia="Arial" w:hAnsi="Arial"/>
          <w:sz w:val="35"/>
          <w:szCs w:val="35"/>
          <w:b w:val="1"/>
          <w:bCs w:val="1"/>
          <w:color w:val="354047"/>
        </w:rPr>
        <w:t>Comparable sales (all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41"/>
          <w:szCs w:val="41"/>
          <w:b w:val="1"/>
          <w:bCs w:val="1"/>
          <w:color w:val="FFFFFF"/>
        </w:rPr>
        <w:t xml:space="preserve">+11.3%  </w:t>
      </w:r>
      <w:r>
        <w:rPr>
          <w:rFonts w:ascii="Arial" w:cs="Arial" w:eastAsia="Arial" w:hAnsi="Arial"/>
          <w:sz w:val="35"/>
          <w:szCs w:val="35"/>
          <w:b w:val="1"/>
          <w:bCs w:val="1"/>
          <w:color w:val="354047"/>
        </w:rPr>
        <w:t>DXL comparable store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41"/>
          <w:szCs w:val="41"/>
          <w:b w:val="1"/>
          <w:bCs w:val="1"/>
          <w:color w:val="FFFFFF"/>
        </w:rPr>
        <w:t>+7.1%</w:t>
      </w:r>
      <w:r>
        <w:rPr>
          <w:sz w:val="20"/>
          <w:szCs w:val="20"/>
          <w:color w:val="auto"/>
        </w:rPr>
        <w:tab/>
      </w:r>
      <w:r>
        <w:rPr>
          <w:rFonts w:ascii="Arial" w:cs="Arial" w:eastAsia="Arial" w:hAnsi="Arial"/>
          <w:sz w:val="35"/>
          <w:szCs w:val="35"/>
          <w:b w:val="1"/>
          <w:bCs w:val="1"/>
          <w:color w:val="354047"/>
        </w:rPr>
        <w:t>Casual Male XL and Rochester Clothing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94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24</w:t>
            </w:r>
          </w:p>
        </w:tc>
      </w:tr>
    </w:tbl>
    <w:p>
      <w:pPr>
        <w:sectPr>
          <w:pgSz w:w="11900" w:h="16838" w:orient="portrait"/>
          <w:cols w:equalWidth="0" w:num="1">
            <w:col w:w="9799"/>
          </w:cols>
          <w:pgMar w:left="660" w:top="23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SALES AND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90805</wp:posOffset>
            </wp:positionV>
            <wp:extent cx="6249670" cy="4189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49670" cy="4189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($MM)</w:t>
      </w:r>
    </w:p>
    <w:p>
      <w:pPr>
        <w:spacing w:after="0" w:line="219" w:lineRule="exact"/>
        <w:rPr>
          <w:sz w:val="20"/>
          <w:szCs w:val="20"/>
          <w:color w:val="auto"/>
        </w:rPr>
      </w:pPr>
    </w:p>
    <w:tbl>
      <w:tblPr>
        <w:tblLayout w:type="fixed"/>
        <w:tblInd w:w="1060" w:type="dxa"/>
        <w:tblCellMar>
          <w:top w:w="0" w:type="dxa"/>
          <w:left w:w="0" w:type="dxa"/>
          <w:bottom w:w="0" w:type="dxa"/>
          <w:right w:w="0" w:type="dxa"/>
        </w:tblCellMar>
      </w:tblPr>
      <w:tr>
        <w:trPr>
          <w:trHeight w:val="293"/>
        </w:trPr>
        <w:tc>
          <w:tcPr>
            <w:tcW w:w="840" w:type="dxa"/>
            <w:vAlign w:val="bottom"/>
          </w:tcPr>
          <w:p>
            <w:pPr>
              <w:jc w:val="center"/>
              <w:ind w:right="238"/>
              <w:spacing w:after="0"/>
              <w:rPr>
                <w:sz w:val="20"/>
                <w:szCs w:val="20"/>
                <w:color w:val="auto"/>
              </w:rPr>
            </w:pPr>
            <w:r>
              <w:rPr>
                <w:rFonts w:ascii="Arial" w:cs="Arial" w:eastAsia="Arial" w:hAnsi="Arial"/>
                <w:sz w:val="16"/>
                <w:szCs w:val="16"/>
                <w:b w:val="1"/>
                <w:bCs w:val="1"/>
                <w:color w:val="auto"/>
              </w:rPr>
              <w:t>$392.0</w:t>
            </w:r>
          </w:p>
        </w:tc>
        <w:tc>
          <w:tcPr>
            <w:tcW w:w="1840" w:type="dxa"/>
            <w:vAlign w:val="bottom"/>
          </w:tcPr>
          <w:p>
            <w:pPr>
              <w:jc w:val="right"/>
              <w:ind w:right="418"/>
              <w:spacing w:after="0"/>
              <w:rPr>
                <w:sz w:val="20"/>
                <w:szCs w:val="20"/>
                <w:color w:val="auto"/>
              </w:rPr>
            </w:pPr>
            <w:r>
              <w:rPr>
                <w:rFonts w:ascii="Arial" w:cs="Arial" w:eastAsia="Arial" w:hAnsi="Arial"/>
                <w:sz w:val="16"/>
                <w:szCs w:val="16"/>
                <w:b w:val="1"/>
                <w:bCs w:val="1"/>
                <w:color w:val="auto"/>
              </w:rPr>
              <w:t>$395.9</w:t>
            </w:r>
          </w:p>
        </w:tc>
        <w:tc>
          <w:tcPr>
            <w:tcW w:w="2100" w:type="dxa"/>
            <w:vAlign w:val="bottom"/>
          </w:tcPr>
          <w:p>
            <w:pPr>
              <w:jc w:val="right"/>
              <w:ind w:right="838"/>
              <w:spacing w:after="0"/>
              <w:rPr>
                <w:sz w:val="20"/>
                <w:szCs w:val="20"/>
                <w:color w:val="auto"/>
              </w:rPr>
            </w:pPr>
            <w:r>
              <w:rPr>
                <w:rFonts w:ascii="Arial" w:cs="Arial" w:eastAsia="Arial" w:hAnsi="Arial"/>
                <w:sz w:val="16"/>
                <w:szCs w:val="16"/>
                <w:b w:val="1"/>
                <w:bCs w:val="1"/>
                <w:color w:val="auto"/>
              </w:rPr>
              <w:t>$399.7</w:t>
            </w:r>
          </w:p>
        </w:tc>
        <w:tc>
          <w:tcPr>
            <w:tcW w:w="1720" w:type="dxa"/>
            <w:vAlign w:val="bottom"/>
          </w:tcPr>
          <w:p>
            <w:pPr>
              <w:jc w:val="right"/>
              <w:ind w:right="858"/>
              <w:spacing w:after="0"/>
              <w:rPr>
                <w:sz w:val="20"/>
                <w:szCs w:val="20"/>
                <w:color w:val="auto"/>
              </w:rPr>
            </w:pPr>
            <w:r>
              <w:rPr>
                <w:rFonts w:ascii="Arial" w:cs="Arial" w:eastAsia="Arial" w:hAnsi="Arial"/>
                <w:sz w:val="16"/>
                <w:szCs w:val="16"/>
                <w:b w:val="1"/>
                <w:bCs w:val="1"/>
                <w:color w:val="auto"/>
              </w:rPr>
              <w:t>$388.0</w:t>
            </w:r>
          </w:p>
        </w:tc>
        <w:tc>
          <w:tcPr>
            <w:tcW w:w="860" w:type="dxa"/>
            <w:vAlign w:val="bottom"/>
          </w:tcPr>
          <w:p>
            <w:pPr>
              <w:spacing w:after="0"/>
              <w:rPr>
                <w:sz w:val="24"/>
                <w:szCs w:val="24"/>
                <w:color w:val="auto"/>
              </w:rPr>
            </w:pPr>
          </w:p>
        </w:tc>
      </w:tr>
      <w:tr>
        <w:trPr>
          <w:trHeight w:val="1107"/>
        </w:trPr>
        <w:tc>
          <w:tcPr>
            <w:tcW w:w="840" w:type="dxa"/>
            <w:vAlign w:val="bottom"/>
          </w:tcPr>
          <w:p>
            <w:pPr>
              <w:jc w:val="center"/>
              <w:ind w:right="258"/>
              <w:spacing w:after="0"/>
              <w:rPr>
                <w:sz w:val="20"/>
                <w:szCs w:val="20"/>
                <w:color w:val="auto"/>
              </w:rPr>
            </w:pPr>
            <w:r>
              <w:rPr>
                <w:rFonts w:ascii="Arial" w:cs="Arial" w:eastAsia="Arial" w:hAnsi="Arial"/>
                <w:sz w:val="16"/>
                <w:szCs w:val="16"/>
                <w:b w:val="1"/>
                <w:bCs w:val="1"/>
                <w:color w:val="FFFFFF"/>
              </w:rPr>
              <w:t>45.9%</w:t>
            </w:r>
          </w:p>
        </w:tc>
        <w:tc>
          <w:tcPr>
            <w:tcW w:w="1840" w:type="dxa"/>
            <w:vAlign w:val="bottom"/>
          </w:tcPr>
          <w:p>
            <w:pPr>
              <w:jc w:val="right"/>
              <w:ind w:right="438"/>
              <w:spacing w:after="0"/>
              <w:rPr>
                <w:sz w:val="20"/>
                <w:szCs w:val="20"/>
                <w:color w:val="auto"/>
              </w:rPr>
            </w:pPr>
            <w:r>
              <w:rPr>
                <w:rFonts w:ascii="Arial" w:cs="Arial" w:eastAsia="Arial" w:hAnsi="Arial"/>
                <w:sz w:val="16"/>
                <w:szCs w:val="16"/>
                <w:b w:val="1"/>
                <w:bCs w:val="1"/>
                <w:color w:val="FFFFFF"/>
              </w:rPr>
              <w:t>46.3%</w:t>
            </w:r>
          </w:p>
        </w:tc>
        <w:tc>
          <w:tcPr>
            <w:tcW w:w="2100" w:type="dxa"/>
            <w:vAlign w:val="bottom"/>
          </w:tcPr>
          <w:p>
            <w:pPr>
              <w:jc w:val="right"/>
              <w:ind w:right="838"/>
              <w:spacing w:after="0"/>
              <w:rPr>
                <w:sz w:val="20"/>
                <w:szCs w:val="20"/>
                <w:color w:val="auto"/>
              </w:rPr>
            </w:pPr>
            <w:r>
              <w:rPr>
                <w:rFonts w:ascii="Arial" w:cs="Arial" w:eastAsia="Arial" w:hAnsi="Arial"/>
                <w:sz w:val="16"/>
                <w:szCs w:val="16"/>
                <w:b w:val="1"/>
                <w:bCs w:val="1"/>
                <w:color w:val="FFFFFF"/>
              </w:rPr>
              <w:t>46.5%</w:t>
            </w:r>
          </w:p>
        </w:tc>
        <w:tc>
          <w:tcPr>
            <w:tcW w:w="1720" w:type="dxa"/>
            <w:vAlign w:val="bottom"/>
          </w:tcPr>
          <w:p>
            <w:pPr>
              <w:jc w:val="right"/>
              <w:ind w:right="838"/>
              <w:spacing w:after="0"/>
              <w:rPr>
                <w:sz w:val="20"/>
                <w:szCs w:val="20"/>
                <w:color w:val="auto"/>
              </w:rPr>
            </w:pPr>
            <w:r>
              <w:rPr>
                <w:rFonts w:ascii="Arial" w:cs="Arial" w:eastAsia="Arial" w:hAnsi="Arial"/>
                <w:sz w:val="16"/>
                <w:szCs w:val="16"/>
                <w:b w:val="1"/>
                <w:bCs w:val="1"/>
                <w:color w:val="FFFFFF"/>
              </w:rPr>
              <w:t>46.0%</w:t>
            </w:r>
          </w:p>
        </w:tc>
        <w:tc>
          <w:tcPr>
            <w:tcW w:w="860" w:type="dxa"/>
            <w:vAlign w:val="bottom"/>
          </w:tcPr>
          <w:p>
            <w:pPr>
              <w:jc w:val="right"/>
              <w:ind w:right="58"/>
              <w:spacing w:after="0"/>
              <w:rPr>
                <w:sz w:val="20"/>
                <w:szCs w:val="20"/>
                <w:color w:val="auto"/>
              </w:rPr>
            </w:pPr>
            <w:r>
              <w:rPr>
                <w:rFonts w:ascii="Arial" w:cs="Arial" w:eastAsia="Arial" w:hAnsi="Arial"/>
                <w:sz w:val="16"/>
                <w:szCs w:val="16"/>
                <w:b w:val="1"/>
                <w:bCs w:val="1"/>
                <w:color w:val="auto"/>
              </w:rPr>
              <w:t>45.6%</w:t>
            </w:r>
          </w:p>
        </w:tc>
      </w:tr>
      <w:tr>
        <w:trPr>
          <w:trHeight w:val="1260"/>
        </w:trPr>
        <w:tc>
          <w:tcPr>
            <w:tcW w:w="840" w:type="dxa"/>
            <w:vAlign w:val="bottom"/>
          </w:tcPr>
          <w:p>
            <w:pPr>
              <w:jc w:val="center"/>
              <w:ind w:right="238"/>
              <w:spacing w:after="0"/>
              <w:rPr>
                <w:sz w:val="20"/>
                <w:szCs w:val="20"/>
                <w:color w:val="auto"/>
              </w:rPr>
            </w:pPr>
            <w:r>
              <w:rPr>
                <w:rFonts w:ascii="Arial" w:cs="Arial" w:eastAsia="Arial" w:hAnsi="Arial"/>
                <w:sz w:val="16"/>
                <w:szCs w:val="16"/>
                <w:b w:val="1"/>
                <w:bCs w:val="1"/>
                <w:color w:val="auto"/>
              </w:rPr>
              <w:t>$192.2</w:t>
            </w:r>
          </w:p>
        </w:tc>
        <w:tc>
          <w:tcPr>
            <w:tcW w:w="1840" w:type="dxa"/>
            <w:vAlign w:val="bottom"/>
          </w:tcPr>
          <w:p>
            <w:pPr>
              <w:jc w:val="right"/>
              <w:ind w:right="418"/>
              <w:spacing w:after="0"/>
              <w:rPr>
                <w:sz w:val="20"/>
                <w:szCs w:val="20"/>
                <w:color w:val="auto"/>
              </w:rPr>
            </w:pPr>
            <w:r>
              <w:rPr>
                <w:rFonts w:ascii="Arial" w:cs="Arial" w:eastAsia="Arial" w:hAnsi="Arial"/>
                <w:sz w:val="16"/>
                <w:szCs w:val="16"/>
                <w:b w:val="1"/>
                <w:bCs w:val="1"/>
                <w:color w:val="auto"/>
              </w:rPr>
              <w:t>$195.8</w:t>
            </w:r>
          </w:p>
        </w:tc>
        <w:tc>
          <w:tcPr>
            <w:tcW w:w="2100" w:type="dxa"/>
            <w:vAlign w:val="bottom"/>
          </w:tcPr>
          <w:p>
            <w:pPr>
              <w:jc w:val="right"/>
              <w:ind w:right="838"/>
              <w:spacing w:after="0"/>
              <w:rPr>
                <w:sz w:val="20"/>
                <w:szCs w:val="20"/>
                <w:color w:val="auto"/>
              </w:rPr>
            </w:pPr>
            <w:r>
              <w:rPr>
                <w:rFonts w:ascii="Arial" w:cs="Arial" w:eastAsia="Arial" w:hAnsi="Arial"/>
                <w:sz w:val="16"/>
                <w:szCs w:val="16"/>
                <w:b w:val="1"/>
                <w:bCs w:val="1"/>
                <w:color w:val="auto"/>
              </w:rPr>
              <w:t>$196.0</w:t>
            </w:r>
          </w:p>
        </w:tc>
        <w:tc>
          <w:tcPr>
            <w:tcW w:w="1720" w:type="dxa"/>
            <w:vAlign w:val="bottom"/>
          </w:tcPr>
          <w:p>
            <w:pPr>
              <w:jc w:val="right"/>
              <w:ind w:right="878"/>
              <w:spacing w:after="0"/>
              <w:rPr>
                <w:sz w:val="20"/>
                <w:szCs w:val="20"/>
                <w:color w:val="auto"/>
              </w:rPr>
            </w:pPr>
            <w:r>
              <w:rPr>
                <w:rFonts w:ascii="Arial" w:cs="Arial" w:eastAsia="Arial" w:hAnsi="Arial"/>
                <w:sz w:val="16"/>
                <w:szCs w:val="16"/>
                <w:b w:val="1"/>
                <w:bCs w:val="1"/>
                <w:color w:val="auto"/>
              </w:rPr>
              <w:t>$192.0</w:t>
            </w:r>
          </w:p>
        </w:tc>
        <w:tc>
          <w:tcPr>
            <w:tcW w:w="860" w:type="dxa"/>
            <w:vAlign w:val="bottom"/>
          </w:tcPr>
          <w:p>
            <w:pPr>
              <w:jc w:val="right"/>
              <w:ind w:right="78"/>
              <w:spacing w:after="0"/>
              <w:rPr>
                <w:sz w:val="20"/>
                <w:szCs w:val="20"/>
                <w:color w:val="auto"/>
              </w:rPr>
            </w:pPr>
            <w:r>
              <w:rPr>
                <w:rFonts w:ascii="Arial" w:cs="Arial" w:eastAsia="Arial" w:hAnsi="Arial"/>
                <w:sz w:val="16"/>
                <w:szCs w:val="16"/>
                <w:b w:val="1"/>
                <w:bCs w:val="1"/>
                <w:color w:val="auto"/>
              </w:rPr>
              <w:t>$200.5</w:t>
            </w:r>
          </w:p>
        </w:tc>
      </w:tr>
      <w:tr>
        <w:trPr>
          <w:trHeight w:val="888"/>
        </w:trPr>
        <w:tc>
          <w:tcPr>
            <w:tcW w:w="840" w:type="dxa"/>
            <w:vAlign w:val="bottom"/>
          </w:tcPr>
          <w:p>
            <w:pPr>
              <w:jc w:val="center"/>
              <w:ind w:right="278"/>
              <w:spacing w:after="0"/>
              <w:rPr>
                <w:sz w:val="20"/>
                <w:szCs w:val="20"/>
                <w:color w:val="auto"/>
              </w:rPr>
            </w:pPr>
            <w:r>
              <w:rPr>
                <w:rFonts w:ascii="Arial" w:cs="Arial" w:eastAsia="Arial" w:hAnsi="Arial"/>
                <w:sz w:val="16"/>
                <w:szCs w:val="16"/>
                <w:b w:val="1"/>
                <w:bCs w:val="1"/>
                <w:color w:val="auto"/>
              </w:rPr>
              <w:t>2010</w:t>
            </w:r>
          </w:p>
        </w:tc>
        <w:tc>
          <w:tcPr>
            <w:tcW w:w="1840" w:type="dxa"/>
            <w:vAlign w:val="bottom"/>
          </w:tcPr>
          <w:p>
            <w:pPr>
              <w:jc w:val="right"/>
              <w:ind w:right="518"/>
              <w:spacing w:after="0"/>
              <w:rPr>
                <w:sz w:val="20"/>
                <w:szCs w:val="20"/>
                <w:color w:val="auto"/>
              </w:rPr>
            </w:pPr>
            <w:r>
              <w:rPr>
                <w:rFonts w:ascii="Arial" w:cs="Arial" w:eastAsia="Arial" w:hAnsi="Arial"/>
                <w:sz w:val="16"/>
                <w:szCs w:val="16"/>
                <w:b w:val="1"/>
                <w:bCs w:val="1"/>
                <w:color w:val="auto"/>
              </w:rPr>
              <w:t>2011</w:t>
            </w:r>
          </w:p>
        </w:tc>
        <w:tc>
          <w:tcPr>
            <w:tcW w:w="2100" w:type="dxa"/>
            <w:vAlign w:val="bottom"/>
          </w:tcPr>
          <w:p>
            <w:pPr>
              <w:jc w:val="right"/>
              <w:ind w:right="938"/>
              <w:spacing w:after="0"/>
              <w:rPr>
                <w:sz w:val="20"/>
                <w:szCs w:val="20"/>
                <w:color w:val="auto"/>
              </w:rPr>
            </w:pPr>
            <w:r>
              <w:rPr>
                <w:rFonts w:ascii="Arial" w:cs="Arial" w:eastAsia="Arial" w:hAnsi="Arial"/>
                <w:sz w:val="16"/>
                <w:szCs w:val="16"/>
                <w:b w:val="1"/>
                <w:bCs w:val="1"/>
                <w:color w:val="auto"/>
              </w:rPr>
              <w:t>2012</w:t>
            </w:r>
          </w:p>
        </w:tc>
        <w:tc>
          <w:tcPr>
            <w:tcW w:w="1720" w:type="dxa"/>
            <w:vAlign w:val="bottom"/>
          </w:tcPr>
          <w:p>
            <w:pPr>
              <w:jc w:val="right"/>
              <w:ind w:right="978"/>
              <w:spacing w:after="0"/>
              <w:rPr>
                <w:sz w:val="20"/>
                <w:szCs w:val="20"/>
                <w:color w:val="auto"/>
              </w:rPr>
            </w:pPr>
            <w:r>
              <w:rPr>
                <w:rFonts w:ascii="Arial" w:cs="Arial" w:eastAsia="Arial" w:hAnsi="Arial"/>
                <w:sz w:val="16"/>
                <w:szCs w:val="16"/>
                <w:b w:val="1"/>
                <w:bCs w:val="1"/>
                <w:color w:val="auto"/>
              </w:rPr>
              <w:t>2013</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2014 YTD</w:t>
            </w:r>
          </w:p>
        </w:tc>
      </w:tr>
      <w:tr>
        <w:trPr>
          <w:trHeight w:val="636"/>
        </w:trPr>
        <w:tc>
          <w:tcPr>
            <w:tcW w:w="840" w:type="dxa"/>
            <w:vAlign w:val="bottom"/>
          </w:tcPr>
          <w:p>
            <w:pPr>
              <w:spacing w:after="0"/>
              <w:rPr>
                <w:sz w:val="24"/>
                <w:szCs w:val="24"/>
                <w:color w:val="auto"/>
              </w:rPr>
            </w:pPr>
          </w:p>
        </w:tc>
        <w:tc>
          <w:tcPr>
            <w:tcW w:w="1840" w:type="dxa"/>
            <w:vAlign w:val="bottom"/>
          </w:tcPr>
          <w:p>
            <w:pPr>
              <w:jc w:val="right"/>
              <w:ind w:right="298"/>
              <w:spacing w:after="0"/>
              <w:rPr>
                <w:sz w:val="20"/>
                <w:szCs w:val="20"/>
                <w:color w:val="auto"/>
              </w:rPr>
            </w:pPr>
            <w:r>
              <w:rPr>
                <w:rFonts w:ascii="Arial" w:cs="Arial" w:eastAsia="Arial" w:hAnsi="Arial"/>
                <w:sz w:val="16"/>
                <w:szCs w:val="16"/>
                <w:b w:val="1"/>
                <w:bCs w:val="1"/>
                <w:color w:val="auto"/>
              </w:rPr>
              <w:t>Sales Q1 &amp; Q2</w:t>
            </w:r>
          </w:p>
        </w:tc>
        <w:tc>
          <w:tcPr>
            <w:tcW w:w="2100" w:type="dxa"/>
            <w:vAlign w:val="bottom"/>
          </w:tcPr>
          <w:p>
            <w:pPr>
              <w:jc w:val="right"/>
              <w:ind w:right="178"/>
              <w:spacing w:after="0"/>
              <w:rPr>
                <w:sz w:val="20"/>
                <w:szCs w:val="20"/>
                <w:color w:val="auto"/>
              </w:rPr>
            </w:pPr>
            <w:r>
              <w:rPr>
                <w:rFonts w:ascii="Arial" w:cs="Arial" w:eastAsia="Arial" w:hAnsi="Arial"/>
                <w:sz w:val="16"/>
                <w:szCs w:val="16"/>
                <w:b w:val="1"/>
                <w:bCs w:val="1"/>
                <w:color w:val="auto"/>
              </w:rPr>
              <w:t>Total Annual Sales</w:t>
            </w:r>
          </w:p>
        </w:tc>
        <w:tc>
          <w:tcPr>
            <w:tcW w:w="1720" w:type="dxa"/>
            <w:vAlign w:val="bottom"/>
          </w:tcPr>
          <w:p>
            <w:pPr>
              <w:jc w:val="right"/>
              <w:ind w:right="58"/>
              <w:spacing w:after="0"/>
              <w:rPr>
                <w:sz w:val="20"/>
                <w:szCs w:val="20"/>
                <w:color w:val="auto"/>
              </w:rPr>
            </w:pPr>
            <w:r>
              <w:rPr>
                <w:rFonts w:ascii="Arial" w:cs="Arial" w:eastAsia="Arial" w:hAnsi="Arial"/>
                <w:sz w:val="16"/>
                <w:szCs w:val="16"/>
                <w:b w:val="1"/>
                <w:bCs w:val="1"/>
                <w:color w:val="auto"/>
              </w:rPr>
              <w:t>Gross Margin</w:t>
            </w:r>
          </w:p>
        </w:tc>
        <w:tc>
          <w:tcPr>
            <w:tcW w:w="860" w:type="dxa"/>
            <w:vAlign w:val="bottom"/>
          </w:tcPr>
          <w:p>
            <w:pPr>
              <w:spacing w:after="0"/>
              <w:rPr>
                <w:sz w:val="24"/>
                <w:szCs w:val="24"/>
                <w:color w:val="auto"/>
              </w:rPr>
            </w:pPr>
          </w:p>
        </w:tc>
      </w:tr>
    </w:tbl>
    <w:p>
      <w:pPr>
        <w:spacing w:after="0" w:line="361"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354047"/>
        </w:rPr>
        <w:t>Strong gross margins provide opportunity for significant sales leverage</w:t>
      </w:r>
    </w:p>
    <w:p>
      <w:pPr>
        <w:spacing w:after="0" w:line="200" w:lineRule="exact"/>
        <w:rPr>
          <w:sz w:val="20"/>
          <w:szCs w:val="20"/>
          <w:color w:val="auto"/>
        </w:rPr>
      </w:pPr>
    </w:p>
    <w:p>
      <w:pPr>
        <w:spacing w:after="0" w:line="281" w:lineRule="exact"/>
        <w:rPr>
          <w:sz w:val="20"/>
          <w:szCs w:val="20"/>
          <w:color w:val="auto"/>
        </w:rPr>
      </w:pPr>
    </w:p>
    <w:tbl>
      <w:tblPr>
        <w:tblLayout w:type="fixed"/>
        <w:tblInd w:w="384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25</w:t>
            </w:r>
          </w:p>
        </w:tc>
      </w:tr>
    </w:tbl>
    <w:p>
      <w:pPr>
        <w:sectPr>
          <w:pgSz w:w="11900" w:h="16838" w:orient="portrait"/>
          <w:cols w:equalWidth="0" w:num="1">
            <w:col w:w="9699"/>
          </w:cols>
          <w:pgMar w:left="760" w:top="238"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025" cy="33655"/>
                    </a:xfrm>
                    <a:prstGeom prst="rect">
                      <a:avLst/>
                    </a:prstGeom>
                    <a:noFill/>
                  </pic:spPr>
                </pic:pic>
              </a:graphicData>
            </a:graphic>
          </wp:anchor>
        </w:drawing>
        <w:t>EBITDA &amp;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97790</wp:posOffset>
            </wp:positionV>
            <wp:extent cx="6193790" cy="4196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93790" cy="419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($MM)</w:t>
      </w:r>
    </w:p>
    <w:p>
      <w:pPr>
        <w:spacing w:after="0" w:line="243" w:lineRule="exact"/>
        <w:rPr>
          <w:sz w:val="20"/>
          <w:szCs w:val="20"/>
          <w:color w:val="auto"/>
        </w:rPr>
      </w:pPr>
    </w:p>
    <w:p>
      <w:pPr>
        <w:ind w:left="1080"/>
        <w:spacing w:after="0"/>
        <w:tabs>
          <w:tab w:leader="none" w:pos="270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$31.2</w:t>
      </w:r>
    </w:p>
    <w:p>
      <w:pPr>
        <w:ind w:left="4340"/>
        <w:spacing w:after="0"/>
        <w:rPr>
          <w:sz w:val="20"/>
          <w:szCs w:val="20"/>
          <w:color w:val="auto"/>
        </w:rPr>
      </w:pPr>
      <w:r>
        <w:rPr>
          <w:rFonts w:ascii="Arial" w:cs="Arial" w:eastAsia="Arial" w:hAnsi="Arial"/>
          <w:sz w:val="18"/>
          <w:szCs w:val="18"/>
          <w:b w:val="1"/>
          <w:bCs w:val="1"/>
          <w:color w:val="auto"/>
        </w:rPr>
        <w:t>$29.4</w:t>
      </w:r>
    </w:p>
    <w:p>
      <w:pPr>
        <w:spacing w:after="0" w:line="59"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8"/>
          <w:szCs w:val="18"/>
          <w:b w:val="1"/>
          <w:bCs w:val="1"/>
          <w:color w:val="FFFFFF"/>
        </w:rPr>
        <w:t>8.0%</w:t>
      </w:r>
      <w:r>
        <w:rPr>
          <w:sz w:val="20"/>
          <w:szCs w:val="20"/>
          <w:color w:val="auto"/>
        </w:rPr>
        <w:tab/>
      </w:r>
      <w:r>
        <w:rPr>
          <w:rFonts w:ascii="Arial" w:cs="Arial" w:eastAsia="Arial" w:hAnsi="Arial"/>
          <w:sz w:val="26"/>
          <w:szCs w:val="26"/>
          <w:b w:val="1"/>
          <w:bCs w:val="1"/>
          <w:color w:val="FFFFFF"/>
          <w:vertAlign w:val="subscript"/>
        </w:rPr>
        <w:t>7.9%</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FFFFFF"/>
        </w:rPr>
        <w:t>7.4%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4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$7.7</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74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FFFFFF"/>
              </w:rPr>
              <w:t>2.0%</w:t>
            </w:r>
          </w:p>
        </w:tc>
        <w:tc>
          <w:tcPr>
            <w:tcW w:w="1160" w:type="dxa"/>
            <w:vAlign w:val="bottom"/>
          </w:tcPr>
          <w:p>
            <w:pPr>
              <w:jc w:val="right"/>
              <w:ind w:right="172"/>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w w:val="94"/>
              </w:rPr>
              <w:t>2010</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2011</w:t>
            </w:r>
          </w:p>
        </w:tc>
        <w:tc>
          <w:tcPr>
            <w:tcW w:w="17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1740" w:type="dxa"/>
            <w:vAlign w:val="bottom"/>
          </w:tcPr>
          <w:p>
            <w:pPr>
              <w:jc w:val="right"/>
              <w:ind w:right="632"/>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2014 YTD</w:t>
            </w:r>
          </w:p>
        </w:tc>
        <w:tc>
          <w:tcPr>
            <w:tcW w:w="0" w:type="dxa"/>
            <w:vAlign w:val="bottom"/>
          </w:tcPr>
          <w:p>
            <w:pPr>
              <w:spacing w:after="0"/>
              <w:rPr>
                <w:sz w:val="1"/>
                <w:szCs w:val="1"/>
                <w:color w:val="auto"/>
              </w:rPr>
            </w:pPr>
          </w:p>
        </w:tc>
      </w:tr>
      <w:tr>
        <w:trPr>
          <w:trHeight w:val="455"/>
        </w:trPr>
        <w:tc>
          <w:tcPr>
            <w:tcW w:w="900" w:type="dxa"/>
            <w:vAlign w:val="bottom"/>
          </w:tcPr>
          <w:p>
            <w:pPr>
              <w:spacing w:after="0"/>
              <w:rPr>
                <w:sz w:val="24"/>
                <w:szCs w:val="24"/>
                <w:color w:val="auto"/>
              </w:rPr>
            </w:pP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24"/>
                <w:szCs w:val="24"/>
                <w:color w:val="auto"/>
                <w:vertAlign w:val="superscript"/>
              </w:rPr>
              <w:t>1</w:t>
            </w:r>
          </w:p>
        </w:tc>
        <w:tc>
          <w:tcPr>
            <w:tcW w:w="350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EBITDA as a Percentage of Sales</w:t>
            </w:r>
            <w:r>
              <w:rPr>
                <w:rFonts w:ascii="Arial" w:cs="Arial" w:eastAsia="Arial" w:hAnsi="Arial"/>
                <w:sz w:val="24"/>
                <w:szCs w:val="24"/>
                <w:color w:val="auto"/>
                <w:vertAlign w:val="superscript"/>
              </w:rPr>
              <w:t>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80"/>
        <w:spacing w:after="0" w:line="237" w:lineRule="auto"/>
        <w:rPr>
          <w:sz w:val="20"/>
          <w:szCs w:val="20"/>
          <w:color w:val="auto"/>
        </w:rPr>
      </w:pPr>
      <w:r>
        <w:rPr>
          <w:rFonts w:ascii="Arial" w:cs="Arial" w:eastAsia="Arial" w:hAnsi="Arial"/>
          <w:sz w:val="23"/>
          <w:szCs w:val="23"/>
          <w:b w:val="1"/>
          <w:bCs w:val="1"/>
          <w:color w:val="23282B"/>
          <w:vertAlign w:val="superscript"/>
        </w:rPr>
        <w:t>1</w:t>
      </w:r>
      <w:r>
        <w:rPr>
          <w:rFonts w:ascii="Arial" w:cs="Arial" w:eastAsia="Arial" w:hAnsi="Arial"/>
          <w:sz w:val="17"/>
          <w:szCs w:val="17"/>
          <w:b w:val="1"/>
          <w:bCs w:val="1"/>
          <w:color w:val="23282B"/>
        </w:rPr>
        <w:t>EBITDA, Adjusted EBITDA, EBITDA Margin and Adjusted EBITDA Margin are non-GAAP measures. The above Adjusted EBITDA for fiscal 2011 excludes a trademark impairment charge of $23.1 million. For additional information about these non-GAAP measures, including a reconciliation to their respective GAAP measures, see Appendix A attached to this presentation.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80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26</w:t>
            </w:r>
          </w:p>
        </w:tc>
      </w:tr>
    </w:tbl>
    <w:p>
      <w:pPr>
        <w:sectPr>
          <w:pgSz w:w="11900" w:h="16838" w:orient="portrait"/>
          <w:cols w:equalWidth="0" w:num="1">
            <w:col w:w="10960"/>
          </w:cols>
          <w:pgMar w:left="800" w:top="238" w:right="139" w:bottom="1440" w:gutter="0" w:footer="0" w:header="0"/>
        </w:sectPr>
      </w:pPr>
    </w:p>
    <w:bookmarkStart w:id="29" w:name="page30"/>
    <w:bookmarkEnd w:id="29"/>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OPERATING MARGIN &amp; COMPARABLE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97790</wp:posOffset>
            </wp:positionV>
            <wp:extent cx="6249670" cy="4196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49670" cy="41967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282B"/>
        </w:rPr>
        <w:t>(continuing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480" w:type="dxa"/>
            <w:vAlign w:val="bottom"/>
          </w:tcPr>
          <w:p>
            <w:pPr>
              <w:spacing w:after="0"/>
              <w:rPr>
                <w:sz w:val="20"/>
                <w:szCs w:val="20"/>
                <w:color w:val="auto"/>
              </w:rPr>
            </w:pPr>
          </w:p>
        </w:tc>
        <w:tc>
          <w:tcPr>
            <w:tcW w:w="2680" w:type="dxa"/>
            <w:vAlign w:val="bottom"/>
            <w:gridSpan w:val="2"/>
          </w:tcPr>
          <w:p>
            <w:pPr>
              <w:jc w:val="right"/>
              <w:ind w:right="38"/>
              <w:spacing w:after="0"/>
              <w:rPr>
                <w:sz w:val="20"/>
                <w:szCs w:val="20"/>
                <w:color w:val="auto"/>
              </w:rPr>
            </w:pPr>
            <w:r>
              <w:rPr>
                <w:rFonts w:ascii="Arial" w:cs="Arial" w:eastAsia="Arial" w:hAnsi="Arial"/>
                <w:sz w:val="18"/>
                <w:szCs w:val="18"/>
                <w:b w:val="1"/>
                <w:bCs w:val="1"/>
                <w:color w:val="23282B"/>
              </w:rPr>
              <w:t>Total DXLG Operating Margin</w:t>
            </w:r>
          </w:p>
        </w:tc>
        <w:tc>
          <w:tcPr>
            <w:tcW w:w="2180" w:type="dxa"/>
            <w:vAlign w:val="bottom"/>
          </w:tcPr>
          <w:p>
            <w:pPr>
              <w:spacing w:after="0"/>
              <w:rPr>
                <w:sz w:val="20"/>
                <w:szCs w:val="20"/>
                <w:color w:val="auto"/>
              </w:rPr>
            </w:pPr>
          </w:p>
        </w:tc>
        <w:tc>
          <w:tcPr>
            <w:tcW w:w="2560" w:type="dxa"/>
            <w:vAlign w:val="bottom"/>
            <w:gridSpan w:val="3"/>
            <w:vMerge w:val="restart"/>
          </w:tcPr>
          <w:p>
            <w:pPr>
              <w:jc w:val="right"/>
              <w:ind w:right="58"/>
              <w:spacing w:after="0"/>
              <w:rPr>
                <w:sz w:val="20"/>
                <w:szCs w:val="20"/>
                <w:color w:val="auto"/>
              </w:rPr>
            </w:pPr>
            <w:r>
              <w:rPr>
                <w:rFonts w:ascii="Arial" w:cs="Arial" w:eastAsia="Arial" w:hAnsi="Arial"/>
                <w:sz w:val="18"/>
                <w:szCs w:val="18"/>
                <w:b w:val="1"/>
                <w:bCs w:val="1"/>
                <w:color w:val="23282B"/>
              </w:rPr>
              <w:t>Total DXLG Comp Sales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0"/>
        </w:trPr>
        <w:tc>
          <w:tcPr>
            <w:tcW w:w="480" w:type="dxa"/>
            <w:vAlign w:val="bottom"/>
          </w:tcPr>
          <w:p>
            <w:pPr>
              <w:jc w:val="right"/>
              <w:ind w:right="18"/>
              <w:spacing w:after="0"/>
              <w:rPr>
                <w:sz w:val="20"/>
                <w:szCs w:val="20"/>
                <w:color w:val="auto"/>
              </w:rPr>
            </w:pPr>
            <w:r>
              <w:rPr>
                <w:rFonts w:ascii="Arial" w:cs="Arial" w:eastAsia="Arial" w:hAnsi="Arial"/>
                <w:sz w:val="16"/>
                <w:szCs w:val="16"/>
                <w:b w:val="1"/>
                <w:bCs w:val="1"/>
                <w:color w:val="auto"/>
                <w:w w:val="98"/>
              </w:rPr>
              <w:t>4.6%</w:t>
            </w:r>
          </w:p>
        </w:tc>
        <w:tc>
          <w:tcPr>
            <w:tcW w:w="960" w:type="dxa"/>
            <w:vAlign w:val="bottom"/>
          </w:tcPr>
          <w:p>
            <w:pPr>
              <w:jc w:val="right"/>
              <w:ind w:right="155"/>
              <w:spacing w:after="0"/>
              <w:rPr>
                <w:sz w:val="20"/>
                <w:szCs w:val="20"/>
                <w:color w:val="auto"/>
              </w:rPr>
            </w:pPr>
            <w:r>
              <w:rPr>
                <w:rFonts w:ascii="Arial" w:cs="Arial" w:eastAsia="Arial" w:hAnsi="Arial"/>
                <w:sz w:val="16"/>
                <w:szCs w:val="16"/>
                <w:b w:val="1"/>
                <w:bCs w:val="1"/>
                <w:color w:val="auto"/>
              </w:rPr>
              <w:t>4.7%</w:t>
            </w:r>
          </w:p>
        </w:tc>
        <w:tc>
          <w:tcPr>
            <w:tcW w:w="1720" w:type="dxa"/>
            <w:vAlign w:val="bottom"/>
          </w:tcPr>
          <w:p>
            <w:pPr>
              <w:jc w:val="right"/>
              <w:ind w:right="1038"/>
              <w:spacing w:after="0"/>
              <w:rPr>
                <w:sz w:val="20"/>
                <w:szCs w:val="20"/>
                <w:color w:val="auto"/>
              </w:rPr>
            </w:pPr>
            <w:r>
              <w:rPr>
                <w:rFonts w:ascii="Arial" w:cs="Arial" w:eastAsia="Arial" w:hAnsi="Arial"/>
                <w:sz w:val="16"/>
                <w:szCs w:val="16"/>
                <w:b w:val="1"/>
                <w:bCs w:val="1"/>
                <w:color w:val="auto"/>
              </w:rPr>
              <w:t>3.5%</w:t>
            </w:r>
          </w:p>
        </w:tc>
        <w:tc>
          <w:tcPr>
            <w:tcW w:w="218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1.5%</w:t>
            </w:r>
          </w:p>
        </w:tc>
        <w:tc>
          <w:tcPr>
            <w:tcW w:w="82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rPr>
              <w:t>2.1%</w:t>
            </w:r>
          </w:p>
        </w:tc>
        <w:tc>
          <w:tcPr>
            <w:tcW w:w="82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rPr>
              <w:t>1.5%</w:t>
            </w:r>
          </w:p>
        </w:tc>
        <w:tc>
          <w:tcPr>
            <w:tcW w:w="920" w:type="dxa"/>
            <w:vAlign w:val="bottom"/>
            <w:vMerge w:val="restart"/>
          </w:tcPr>
          <w:p>
            <w:pPr>
              <w:jc w:val="right"/>
              <w:ind w:right="238"/>
              <w:spacing w:after="0"/>
              <w:rPr>
                <w:sz w:val="20"/>
                <w:szCs w:val="20"/>
                <w:color w:val="auto"/>
              </w:rPr>
            </w:pPr>
            <w:r>
              <w:rPr>
                <w:rFonts w:ascii="Arial" w:cs="Arial" w:eastAsia="Arial" w:hAnsi="Arial"/>
                <w:sz w:val="16"/>
                <w:szCs w:val="16"/>
                <w:b w:val="1"/>
                <w:bCs w:val="1"/>
                <w:color w:val="auto"/>
              </w:rPr>
              <w:t>3.0%</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77"/>
        </w:trPr>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3"/>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jc w:val="right"/>
              <w:ind w:right="178"/>
              <w:spacing w:after="0"/>
              <w:rPr>
                <w:sz w:val="20"/>
                <w:szCs w:val="20"/>
                <w:color w:val="auto"/>
              </w:rPr>
            </w:pPr>
            <w:r>
              <w:rPr>
                <w:rFonts w:ascii="Arial" w:cs="Arial" w:eastAsia="Arial" w:hAnsi="Arial"/>
                <w:sz w:val="16"/>
                <w:szCs w:val="16"/>
                <w:b w:val="1"/>
                <w:bCs w:val="1"/>
                <w:color w:val="auto"/>
              </w:rPr>
              <w:t>(3.4)%</w:t>
            </w:r>
          </w:p>
        </w:tc>
        <w:tc>
          <w:tcPr>
            <w:tcW w:w="2180" w:type="dxa"/>
            <w:vAlign w:val="bottom"/>
          </w:tcPr>
          <w:p>
            <w:pPr>
              <w:jc w:val="right"/>
              <w:ind w:right="1498"/>
              <w:spacing w:after="0"/>
              <w:rPr>
                <w:sz w:val="20"/>
                <w:szCs w:val="20"/>
                <w:color w:val="auto"/>
              </w:rPr>
            </w:pPr>
            <w:r>
              <w:rPr>
                <w:rFonts w:ascii="Arial" w:cs="Arial" w:eastAsia="Arial" w:hAnsi="Arial"/>
                <w:sz w:val="16"/>
                <w:szCs w:val="16"/>
                <w:b w:val="1"/>
                <w:bCs w:val="1"/>
                <w:color w:val="auto"/>
              </w:rPr>
              <w:t>(3.3)%</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740" w:type="dxa"/>
        <w:tblCellMar>
          <w:top w:w="0" w:type="dxa"/>
          <w:left w:w="0" w:type="dxa"/>
          <w:bottom w:w="0" w:type="dxa"/>
          <w:right w:w="0" w:type="dxa"/>
        </w:tblCellMar>
      </w:tblPr>
      <w:tr>
        <w:trPr>
          <w:trHeight w:val="217"/>
        </w:trPr>
        <w:tc>
          <w:tcPr>
            <w:tcW w:w="58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w w:val="95"/>
              </w:rPr>
              <w:t>2010</w:t>
            </w:r>
          </w:p>
        </w:tc>
        <w:tc>
          <w:tcPr>
            <w:tcW w:w="82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rPr>
              <w:t>2011</w:t>
            </w:r>
          </w:p>
        </w:tc>
        <w:tc>
          <w:tcPr>
            <w:tcW w:w="84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2012</w:t>
            </w:r>
          </w:p>
        </w:tc>
        <w:tc>
          <w:tcPr>
            <w:tcW w:w="20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2013   2014 YTD</w:t>
            </w:r>
          </w:p>
        </w:tc>
        <w:tc>
          <w:tcPr>
            <w:tcW w:w="1040" w:type="dxa"/>
            <w:vAlign w:val="bottom"/>
          </w:tcPr>
          <w:p>
            <w:pPr>
              <w:jc w:val="right"/>
              <w:ind w:right="138"/>
              <w:spacing w:after="0"/>
              <w:rPr>
                <w:sz w:val="20"/>
                <w:szCs w:val="20"/>
                <w:color w:val="auto"/>
              </w:rPr>
            </w:pPr>
            <w:r>
              <w:rPr>
                <w:rFonts w:ascii="Arial" w:cs="Arial" w:eastAsia="Arial" w:hAnsi="Arial"/>
                <w:sz w:val="16"/>
                <w:szCs w:val="16"/>
                <w:b w:val="1"/>
                <w:bCs w:val="1"/>
                <w:color w:val="auto"/>
              </w:rPr>
              <w:t>2010</w:t>
            </w:r>
          </w:p>
        </w:tc>
        <w:tc>
          <w:tcPr>
            <w:tcW w:w="820" w:type="dxa"/>
            <w:vAlign w:val="bottom"/>
          </w:tcPr>
          <w:p>
            <w:pPr>
              <w:jc w:val="right"/>
              <w:ind w:right="138"/>
              <w:spacing w:after="0"/>
              <w:rPr>
                <w:sz w:val="20"/>
                <w:szCs w:val="20"/>
                <w:color w:val="auto"/>
              </w:rPr>
            </w:pPr>
            <w:r>
              <w:rPr>
                <w:rFonts w:ascii="Arial" w:cs="Arial" w:eastAsia="Arial" w:hAnsi="Arial"/>
                <w:sz w:val="16"/>
                <w:szCs w:val="16"/>
                <w:b w:val="1"/>
                <w:bCs w:val="1"/>
                <w:color w:val="auto"/>
              </w:rPr>
              <w:t>2011</w:t>
            </w:r>
          </w:p>
        </w:tc>
        <w:tc>
          <w:tcPr>
            <w:tcW w:w="840" w:type="dxa"/>
            <w:vAlign w:val="bottom"/>
          </w:tcPr>
          <w:p>
            <w:pPr>
              <w:jc w:val="right"/>
              <w:ind w:right="158"/>
              <w:spacing w:after="0"/>
              <w:rPr>
                <w:sz w:val="20"/>
                <w:szCs w:val="20"/>
                <w:color w:val="auto"/>
              </w:rPr>
            </w:pPr>
            <w:r>
              <w:rPr>
                <w:rFonts w:ascii="Arial" w:cs="Arial" w:eastAsia="Arial" w:hAnsi="Arial"/>
                <w:sz w:val="16"/>
                <w:szCs w:val="16"/>
                <w:b w:val="1"/>
                <w:bCs w:val="1"/>
                <w:color w:val="auto"/>
              </w:rPr>
              <w:t>2012</w:t>
            </w:r>
          </w:p>
        </w:tc>
        <w:tc>
          <w:tcPr>
            <w:tcW w:w="1600" w:type="dxa"/>
            <w:vAlign w:val="bottom"/>
          </w:tcPr>
          <w:p>
            <w:pPr>
              <w:ind w:left="220"/>
              <w:spacing w:after="0"/>
              <w:rPr>
                <w:sz w:val="20"/>
                <w:szCs w:val="20"/>
                <w:color w:val="auto"/>
              </w:rPr>
            </w:pPr>
            <w:r>
              <w:rPr>
                <w:rFonts w:ascii="Arial" w:cs="Arial" w:eastAsia="Arial" w:hAnsi="Arial"/>
                <w:sz w:val="16"/>
                <w:szCs w:val="16"/>
                <w:b w:val="1"/>
                <w:bCs w:val="1"/>
                <w:color w:val="auto"/>
              </w:rPr>
              <w:t>2013   2014 YTD</w:t>
            </w:r>
          </w:p>
        </w:tc>
        <w:tc>
          <w:tcPr>
            <w:tcW w:w="0" w:type="dxa"/>
            <w:vAlign w:val="bottom"/>
          </w:tcPr>
          <w:p>
            <w:pPr>
              <w:spacing w:after="0"/>
              <w:rPr>
                <w:sz w:val="1"/>
                <w:szCs w:val="1"/>
                <w:color w:val="auto"/>
              </w:rPr>
            </w:pPr>
          </w:p>
        </w:tc>
      </w:tr>
      <w:tr>
        <w:trPr>
          <w:trHeight w:val="66"/>
        </w:trPr>
        <w:tc>
          <w:tcPr>
            <w:tcW w:w="5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24"/>
          <w:szCs w:val="24"/>
          <w:b w:val="1"/>
          <w:bCs w:val="1"/>
          <w:color w:val="23282B"/>
          <w:vertAlign w:val="superscript"/>
        </w:rPr>
        <w:t>1</w:t>
      </w:r>
      <w:r>
        <w:rPr>
          <w:rFonts w:ascii="Arial" w:cs="Arial" w:eastAsia="Arial" w:hAnsi="Arial"/>
          <w:sz w:val="18"/>
          <w:szCs w:val="18"/>
          <w:b w:val="1"/>
          <w:bCs w:val="1"/>
          <w:color w:val="23282B"/>
        </w:rPr>
        <w:t>Before impairment charge of $23.1 million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354047"/>
        </w:rPr>
        <w:t>Focus on improving operating margins through greater DXL sales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8D8D"/>
              </w:rPr>
              <w:t>27</w:t>
            </w:r>
          </w:p>
        </w:tc>
      </w:tr>
    </w:tbl>
    <w:p>
      <w:pPr>
        <w:sectPr>
          <w:pgSz w:w="11900" w:h="16838" w:orient="portrait"/>
          <w:cols w:equalWidth="0" w:num="1">
            <w:col w:w="9639"/>
          </w:cols>
          <w:pgMar w:left="820" w:top="238" w:right="1440" w:bottom="1440" w:gutter="0" w:footer="0" w:header="0"/>
        </w:sectPr>
      </w:pPr>
    </w:p>
    <w:bookmarkStart w:id="30" w:name="page31"/>
    <w:bookmarkEnd w:id="30"/>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INCREASING SG&amp;A WITH DXL ROLL-OUT</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82B"/>
        </w:rPr>
        <w:t>($MM)</w:t>
      </w:r>
    </w:p>
    <w:p>
      <w:pPr>
        <w:spacing w:after="0" w:line="373" w:lineRule="exact"/>
        <w:rPr>
          <w:sz w:val="20"/>
          <w:szCs w:val="20"/>
          <w:color w:val="auto"/>
        </w:rPr>
      </w:pPr>
    </w:p>
    <w:tbl>
      <w:tblPr>
        <w:tblLayout w:type="fixed"/>
        <w:tblInd w:w="1220" w:type="dxa"/>
        <w:tblCellMar>
          <w:top w:w="0" w:type="dxa"/>
          <w:left w:w="0" w:type="dxa"/>
          <w:bottom w:w="0" w:type="dxa"/>
          <w:right w:w="0" w:type="dxa"/>
        </w:tblCellMar>
      </w:tblPr>
      <w:tr>
        <w:trPr>
          <w:trHeight w:val="233"/>
        </w:trPr>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Arial" w:cs="Arial" w:eastAsia="Arial" w:hAnsi="Arial"/>
                <w:sz w:val="18"/>
                <w:szCs w:val="18"/>
                <w:b w:val="1"/>
                <w:bCs w:val="1"/>
                <w:color w:val="23282B"/>
              </w:rPr>
              <w:t>$170.7</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23282B"/>
                <w:w w:val="94"/>
              </w:rPr>
              <w:t>$148.4</w:t>
            </w:r>
          </w:p>
        </w:tc>
        <w:tc>
          <w:tcPr>
            <w:tcW w:w="1280" w:type="dxa"/>
            <w:vAlign w:val="bottom"/>
          </w:tcPr>
          <w:p>
            <w:pPr>
              <w:jc w:val="right"/>
              <w:ind w:right="132"/>
              <w:spacing w:after="0"/>
              <w:rPr>
                <w:sz w:val="20"/>
                <w:szCs w:val="20"/>
                <w:color w:val="auto"/>
              </w:rPr>
            </w:pPr>
            <w:r>
              <w:rPr>
                <w:rFonts w:ascii="Arial" w:cs="Arial" w:eastAsia="Arial" w:hAnsi="Arial"/>
                <w:sz w:val="18"/>
                <w:szCs w:val="18"/>
                <w:b w:val="1"/>
                <w:bCs w:val="1"/>
                <w:color w:val="23282B"/>
              </w:rPr>
              <w:t>$152.0</w:t>
            </w:r>
          </w:p>
        </w:tc>
        <w:tc>
          <w:tcPr>
            <w:tcW w:w="2020" w:type="dxa"/>
            <w:vAlign w:val="bottom"/>
          </w:tcPr>
          <w:p>
            <w:pPr>
              <w:jc w:val="right"/>
              <w:ind w:right="675"/>
              <w:spacing w:after="0"/>
              <w:rPr>
                <w:sz w:val="20"/>
                <w:szCs w:val="20"/>
                <w:color w:val="auto"/>
              </w:rPr>
            </w:pPr>
            <w:r>
              <w:rPr>
                <w:rFonts w:ascii="Arial" w:cs="Arial" w:eastAsia="Arial" w:hAnsi="Arial"/>
                <w:sz w:val="18"/>
                <w:szCs w:val="18"/>
                <w:b w:val="1"/>
                <w:bCs w:val="1"/>
                <w:color w:val="23282B"/>
              </w:rPr>
              <w:t>$156.4</w:t>
            </w: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jc w:val="right"/>
              <w:ind w:right="1132"/>
              <w:spacing w:after="0"/>
              <w:rPr>
                <w:sz w:val="20"/>
                <w:szCs w:val="20"/>
                <w:color w:val="auto"/>
              </w:rPr>
            </w:pPr>
            <w:r>
              <w:rPr>
                <w:rFonts w:ascii="Arial" w:cs="Arial" w:eastAsia="Arial" w:hAnsi="Arial"/>
                <w:sz w:val="18"/>
                <w:szCs w:val="18"/>
                <w:b w:val="1"/>
                <w:bCs w:val="1"/>
                <w:color w:val="23282B"/>
              </w:rPr>
              <w:t>43.3%</w:t>
            </w:r>
          </w:p>
        </w:tc>
        <w:tc>
          <w:tcPr>
            <w:tcW w:w="0" w:type="dxa"/>
            <w:vAlign w:val="bottom"/>
          </w:tcPr>
          <w:p>
            <w:pPr>
              <w:spacing w:after="0"/>
              <w:rPr>
                <w:sz w:val="1"/>
                <w:szCs w:val="1"/>
                <w:color w:val="auto"/>
              </w:rPr>
            </w:pPr>
          </w:p>
        </w:tc>
      </w:tr>
      <w:tr>
        <w:trPr>
          <w:trHeight w:val="416"/>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8"/>
                <w:szCs w:val="18"/>
                <w:b w:val="1"/>
                <w:bCs w:val="1"/>
                <w:color w:val="FFFFFF"/>
              </w:rPr>
              <w:t>44.0%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jc w:val="right"/>
              <w:ind w:right="1452"/>
              <w:spacing w:after="0"/>
              <w:rPr>
                <w:sz w:val="20"/>
                <w:szCs w:val="20"/>
                <w:color w:val="auto"/>
              </w:rPr>
            </w:pPr>
            <w:r>
              <w:rPr>
                <w:rFonts w:ascii="Arial" w:cs="Arial" w:eastAsia="Arial" w:hAnsi="Arial"/>
                <w:sz w:val="18"/>
                <w:szCs w:val="18"/>
                <w:b w:val="1"/>
                <w:bCs w:val="1"/>
                <w:color w:val="23282B"/>
              </w:rPr>
              <w:t>$86.8</w:t>
            </w:r>
          </w:p>
        </w:tc>
        <w:tc>
          <w:tcPr>
            <w:tcW w:w="0" w:type="dxa"/>
            <w:vAlign w:val="bottom"/>
          </w:tcPr>
          <w:p>
            <w:pPr>
              <w:spacing w:after="0"/>
              <w:rPr>
                <w:sz w:val="1"/>
                <w:szCs w:val="1"/>
                <w:color w:val="auto"/>
              </w:rPr>
            </w:pPr>
          </w:p>
        </w:tc>
      </w:tr>
      <w:tr>
        <w:trPr>
          <w:trHeight w:val="438"/>
        </w:trPr>
        <w:tc>
          <w:tcPr>
            <w:tcW w:w="1060" w:type="dxa"/>
            <w:vAlign w:val="bottom"/>
          </w:tcPr>
          <w:p>
            <w:pPr>
              <w:spacing w:after="0"/>
              <w:rPr>
                <w:sz w:val="24"/>
                <w:szCs w:val="24"/>
                <w:color w:val="auto"/>
              </w:rPr>
            </w:pP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FFFFFF"/>
              </w:rPr>
              <w:t>38.4%</w:t>
            </w:r>
          </w:p>
        </w:tc>
        <w:tc>
          <w:tcPr>
            <w:tcW w:w="2020" w:type="dxa"/>
            <w:vAlign w:val="bottom"/>
          </w:tcPr>
          <w:p>
            <w:pPr>
              <w:jc w:val="right"/>
              <w:ind w:right="595"/>
              <w:spacing w:after="0"/>
              <w:rPr>
                <w:sz w:val="20"/>
                <w:szCs w:val="20"/>
                <w:color w:val="auto"/>
              </w:rPr>
            </w:pPr>
            <w:r>
              <w:rPr>
                <w:rFonts w:ascii="Arial" w:cs="Arial" w:eastAsia="Arial" w:hAnsi="Arial"/>
                <w:sz w:val="18"/>
                <w:szCs w:val="18"/>
                <w:b w:val="1"/>
                <w:bCs w:val="1"/>
                <w:color w:val="FFFFFF"/>
              </w:rPr>
              <w:t>39.1%</w:t>
            </w: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060" w:type="dxa"/>
            <w:vAlign w:val="bottom"/>
            <w:vMerge w:val="restart"/>
          </w:tcPr>
          <w:p>
            <w:pPr>
              <w:jc w:val="center"/>
              <w:ind w:right="332"/>
              <w:spacing w:after="0"/>
              <w:rPr>
                <w:sz w:val="20"/>
                <w:szCs w:val="20"/>
                <w:color w:val="auto"/>
              </w:rPr>
            </w:pPr>
            <w:r>
              <w:rPr>
                <w:rFonts w:ascii="Arial" w:cs="Arial" w:eastAsia="Arial" w:hAnsi="Arial"/>
                <w:sz w:val="18"/>
                <w:szCs w:val="18"/>
                <w:b w:val="1"/>
                <w:bCs w:val="1"/>
                <w:color w:val="FFFFFF"/>
                <w:w w:val="93"/>
              </w:rPr>
              <w:t>37.9%</w:t>
            </w:r>
          </w:p>
        </w:tc>
        <w:tc>
          <w:tcPr>
            <w:tcW w:w="128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3"/>
        </w:trPr>
        <w:tc>
          <w:tcPr>
            <w:tcW w:w="1060" w:type="dxa"/>
            <w:vAlign w:val="bottom"/>
            <w:vMerge w:val="restart"/>
          </w:tcPr>
          <w:p>
            <w:pPr>
              <w:jc w:val="center"/>
              <w:ind w:right="332"/>
              <w:spacing w:after="0"/>
              <w:rPr>
                <w:sz w:val="20"/>
                <w:szCs w:val="20"/>
                <w:color w:val="auto"/>
              </w:rPr>
            </w:pPr>
            <w:r>
              <w:rPr>
                <w:rFonts w:ascii="Arial" w:cs="Arial" w:eastAsia="Arial" w:hAnsi="Arial"/>
                <w:sz w:val="18"/>
                <w:szCs w:val="18"/>
                <w:b w:val="1"/>
                <w:bCs w:val="1"/>
                <w:color w:val="23282B"/>
                <w:w w:val="97"/>
              </w:rPr>
              <w:t>$19.0</w:t>
            </w:r>
          </w:p>
        </w:tc>
        <w:tc>
          <w:tcPr>
            <w:tcW w:w="12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23282B"/>
              </w:rPr>
              <w:t>$19.6</w:t>
            </w:r>
          </w:p>
        </w:tc>
        <w:tc>
          <w:tcPr>
            <w:tcW w:w="2020" w:type="dxa"/>
            <w:vAlign w:val="bottom"/>
            <w:vMerge w:val="restart"/>
          </w:tcPr>
          <w:p>
            <w:pPr>
              <w:jc w:val="right"/>
              <w:ind w:right="715"/>
              <w:spacing w:after="0"/>
              <w:rPr>
                <w:sz w:val="20"/>
                <w:szCs w:val="20"/>
                <w:color w:val="auto"/>
              </w:rPr>
            </w:pPr>
            <w:r>
              <w:rPr>
                <w:rFonts w:ascii="Arial" w:cs="Arial" w:eastAsia="Arial" w:hAnsi="Arial"/>
                <w:sz w:val="18"/>
                <w:szCs w:val="18"/>
                <w:b w:val="1"/>
                <w:bCs w:val="1"/>
                <w:color w:val="23282B"/>
              </w:rPr>
              <w:t>$18.5</w:t>
            </w:r>
          </w:p>
        </w:tc>
        <w:tc>
          <w:tcPr>
            <w:tcW w:w="1260" w:type="dxa"/>
            <w:vAlign w:val="bottom"/>
          </w:tcPr>
          <w:p>
            <w:pPr>
              <w:ind w:left="320"/>
              <w:spacing w:after="0"/>
              <w:rPr>
                <w:sz w:val="20"/>
                <w:szCs w:val="20"/>
                <w:color w:val="auto"/>
              </w:rPr>
            </w:pPr>
            <w:r>
              <w:rPr>
                <w:rFonts w:ascii="Arial" w:cs="Arial" w:eastAsia="Arial" w:hAnsi="Arial"/>
                <w:sz w:val="18"/>
                <w:szCs w:val="18"/>
                <w:b w:val="1"/>
                <w:bCs w:val="1"/>
                <w:color w:val="23282B"/>
              </w:rPr>
              <w:t>$27.8</w:t>
            </w:r>
          </w:p>
        </w:tc>
        <w:tc>
          <w:tcPr>
            <w:tcW w:w="2520" w:type="dxa"/>
            <w:vAlign w:val="bottom"/>
            <w:vMerge w:val="restart"/>
          </w:tcPr>
          <w:p>
            <w:pPr>
              <w:jc w:val="right"/>
              <w:ind w:right="1372"/>
              <w:spacing w:after="0"/>
              <w:rPr>
                <w:sz w:val="20"/>
                <w:szCs w:val="20"/>
                <w:color w:val="auto"/>
              </w:rPr>
            </w:pPr>
            <w:r>
              <w:rPr>
                <w:rFonts w:ascii="Arial" w:cs="Arial" w:eastAsia="Arial" w:hAnsi="Arial"/>
                <w:sz w:val="18"/>
                <w:szCs w:val="18"/>
                <w:b w:val="1"/>
                <w:bCs w:val="1"/>
                <w:color w:val="23282B"/>
              </w:rPr>
              <w:t>$14.3</w:t>
            </w:r>
          </w:p>
        </w:tc>
        <w:tc>
          <w:tcPr>
            <w:tcW w:w="0" w:type="dxa"/>
            <w:vAlign w:val="bottom"/>
          </w:tcPr>
          <w:p>
            <w:pPr>
              <w:spacing w:after="0"/>
              <w:rPr>
                <w:sz w:val="1"/>
                <w:szCs w:val="1"/>
                <w:color w:val="auto"/>
              </w:rPr>
            </w:pPr>
          </w:p>
        </w:tc>
      </w:tr>
      <w:tr>
        <w:trPr>
          <w:trHeight w:val="142"/>
        </w:trPr>
        <w:tc>
          <w:tcPr>
            <w:tcW w:w="10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1060" w:type="dxa"/>
            <w:vAlign w:val="bottom"/>
          </w:tcPr>
          <w:p>
            <w:pPr>
              <w:jc w:val="center"/>
              <w:ind w:right="352"/>
              <w:spacing w:after="0"/>
              <w:rPr>
                <w:sz w:val="20"/>
                <w:szCs w:val="20"/>
                <w:color w:val="auto"/>
              </w:rPr>
            </w:pPr>
            <w:r>
              <w:rPr>
                <w:rFonts w:ascii="Arial" w:cs="Arial" w:eastAsia="Arial" w:hAnsi="Arial"/>
                <w:sz w:val="18"/>
                <w:szCs w:val="18"/>
                <w:b w:val="1"/>
                <w:bCs w:val="1"/>
                <w:color w:val="23282B"/>
                <w:w w:val="94"/>
              </w:rPr>
              <w:t>2010</w:t>
            </w: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23282B"/>
              </w:rPr>
              <w:t>2011</w:t>
            </w:r>
          </w:p>
        </w:tc>
        <w:tc>
          <w:tcPr>
            <w:tcW w:w="2020" w:type="dxa"/>
            <w:vAlign w:val="bottom"/>
          </w:tcPr>
          <w:p>
            <w:pPr>
              <w:jc w:val="right"/>
              <w:ind w:right="715"/>
              <w:spacing w:after="0"/>
              <w:rPr>
                <w:sz w:val="20"/>
                <w:szCs w:val="20"/>
                <w:color w:val="auto"/>
              </w:rPr>
            </w:pPr>
            <w:r>
              <w:rPr>
                <w:rFonts w:ascii="Arial" w:cs="Arial" w:eastAsia="Arial" w:hAnsi="Arial"/>
                <w:sz w:val="18"/>
                <w:szCs w:val="18"/>
                <w:b w:val="1"/>
                <w:bCs w:val="1"/>
                <w:color w:val="23282B"/>
              </w:rPr>
              <w:t>2012</w:t>
            </w:r>
          </w:p>
        </w:tc>
        <w:tc>
          <w:tcPr>
            <w:tcW w:w="1260" w:type="dxa"/>
            <w:vAlign w:val="bottom"/>
          </w:tcPr>
          <w:p>
            <w:pPr>
              <w:ind w:left="340"/>
              <w:spacing w:after="0"/>
              <w:rPr>
                <w:sz w:val="20"/>
                <w:szCs w:val="20"/>
                <w:color w:val="auto"/>
              </w:rPr>
            </w:pPr>
            <w:r>
              <w:rPr>
                <w:rFonts w:ascii="Arial" w:cs="Arial" w:eastAsia="Arial" w:hAnsi="Arial"/>
                <w:sz w:val="18"/>
                <w:szCs w:val="18"/>
                <w:b w:val="1"/>
                <w:bCs w:val="1"/>
                <w:color w:val="23282B"/>
              </w:rPr>
              <w:t>2013</w:t>
            </w:r>
          </w:p>
        </w:tc>
        <w:tc>
          <w:tcPr>
            <w:tcW w:w="2520" w:type="dxa"/>
            <w:vAlign w:val="bottom"/>
          </w:tcPr>
          <w:p>
            <w:pPr>
              <w:jc w:val="right"/>
              <w:ind w:right="1232"/>
              <w:spacing w:after="0"/>
              <w:rPr>
                <w:sz w:val="20"/>
                <w:szCs w:val="20"/>
                <w:color w:val="auto"/>
              </w:rPr>
            </w:pPr>
            <w:r>
              <w:rPr>
                <w:rFonts w:ascii="Arial" w:cs="Arial" w:eastAsia="Arial" w:hAnsi="Arial"/>
                <w:sz w:val="18"/>
                <w:szCs w:val="18"/>
                <w:b w:val="1"/>
                <w:bCs w:val="1"/>
                <w:color w:val="23282B"/>
              </w:rPr>
              <w:t>2014 YTD</w:t>
            </w:r>
          </w:p>
        </w:tc>
        <w:tc>
          <w:tcPr>
            <w:tcW w:w="0" w:type="dxa"/>
            <w:vAlign w:val="bottom"/>
          </w:tcPr>
          <w:p>
            <w:pPr>
              <w:spacing w:after="0"/>
              <w:rPr>
                <w:sz w:val="1"/>
                <w:szCs w:val="1"/>
                <w:color w:val="auto"/>
              </w:rPr>
            </w:pPr>
          </w:p>
        </w:tc>
      </w:tr>
      <w:tr>
        <w:trPr>
          <w:trHeight w:val="570"/>
        </w:trPr>
        <w:tc>
          <w:tcPr>
            <w:tcW w:w="2340" w:type="dxa"/>
            <w:vAlign w:val="bottom"/>
            <w:gridSpan w:val="2"/>
          </w:tcPr>
          <w:p>
            <w:pPr>
              <w:jc w:val="right"/>
              <w:ind w:right="292"/>
              <w:spacing w:after="0"/>
              <w:rPr>
                <w:sz w:val="20"/>
                <w:szCs w:val="20"/>
                <w:color w:val="auto"/>
              </w:rPr>
            </w:pPr>
            <w:r>
              <w:rPr>
                <w:rFonts w:ascii="Arial" w:cs="Arial" w:eastAsia="Arial" w:hAnsi="Arial"/>
                <w:sz w:val="18"/>
                <w:szCs w:val="18"/>
                <w:color w:val="23282B"/>
              </w:rPr>
              <w:t>Marketing Expense</w:t>
            </w:r>
          </w:p>
        </w:tc>
        <w:tc>
          <w:tcPr>
            <w:tcW w:w="2020" w:type="dxa"/>
            <w:vAlign w:val="bottom"/>
          </w:tcPr>
          <w:p>
            <w:pPr>
              <w:jc w:val="right"/>
              <w:ind w:right="595"/>
              <w:spacing w:after="0"/>
              <w:rPr>
                <w:sz w:val="20"/>
                <w:szCs w:val="20"/>
                <w:color w:val="auto"/>
              </w:rPr>
            </w:pPr>
            <w:r>
              <w:rPr>
                <w:rFonts w:ascii="Arial" w:cs="Arial" w:eastAsia="Arial" w:hAnsi="Arial"/>
                <w:sz w:val="18"/>
                <w:szCs w:val="18"/>
                <w:color w:val="23282B"/>
              </w:rPr>
              <w:t>Total SG&amp;A</w:t>
            </w:r>
          </w:p>
        </w:tc>
        <w:tc>
          <w:tcPr>
            <w:tcW w:w="3780" w:type="dxa"/>
            <w:vAlign w:val="bottom"/>
            <w:gridSpan w:val="2"/>
          </w:tcPr>
          <w:p>
            <w:pPr>
              <w:ind w:left="120"/>
              <w:spacing w:after="0"/>
              <w:rPr>
                <w:sz w:val="20"/>
                <w:szCs w:val="20"/>
                <w:color w:val="auto"/>
              </w:rPr>
            </w:pPr>
            <w:r>
              <w:rPr>
                <w:rFonts w:ascii="Arial" w:cs="Arial" w:eastAsia="Arial" w:hAnsi="Arial"/>
                <w:sz w:val="18"/>
                <w:szCs w:val="18"/>
                <w:color w:val="23282B"/>
              </w:rPr>
              <w:t>SG&amp;A as a Percentage of Sales</w:t>
            </w:r>
          </w:p>
        </w:tc>
        <w:tc>
          <w:tcPr>
            <w:tcW w:w="0" w:type="dxa"/>
            <w:vAlign w:val="bottom"/>
          </w:tcPr>
          <w:p>
            <w:pPr>
              <w:spacing w:after="0"/>
              <w:rPr>
                <w:sz w:val="1"/>
                <w:szCs w:val="1"/>
                <w:color w:val="auto"/>
              </w:rPr>
            </w:pPr>
          </w:p>
        </w:tc>
      </w:tr>
      <w:tr>
        <w:trPr>
          <w:trHeight w:val="659"/>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jc w:val="right"/>
              <w:ind w:right="35"/>
              <w:spacing w:after="0"/>
              <w:rPr>
                <w:sz w:val="20"/>
                <w:szCs w:val="20"/>
                <w:color w:val="auto"/>
              </w:rPr>
            </w:pPr>
            <w:r>
              <w:rPr>
                <w:rFonts w:ascii="Arial" w:cs="Arial" w:eastAsia="Arial" w:hAnsi="Arial"/>
                <w:sz w:val="14"/>
                <w:szCs w:val="14"/>
                <w:color w:val="4D5D67"/>
              </w:rPr>
              <w:t>Destination XL Group, Inc.</w:t>
            </w:r>
          </w:p>
        </w:tc>
        <w:tc>
          <w:tcPr>
            <w:tcW w:w="12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8CA1A5"/>
              </w:rPr>
              <w:t>28</w:t>
            </w:r>
          </w:p>
        </w:tc>
        <w:tc>
          <w:tcPr>
            <w:tcW w:w="0" w:type="dxa"/>
            <w:vAlign w:val="bottom"/>
          </w:tcPr>
          <w:p>
            <w:pPr>
              <w:spacing w:after="0"/>
              <w:rPr>
                <w:sz w:val="1"/>
                <w:szCs w:val="1"/>
                <w:color w:val="auto"/>
              </w:rPr>
            </w:pPr>
          </w:p>
        </w:tc>
      </w:tr>
    </w:tbl>
    <w:p>
      <w:pPr>
        <w:sectPr>
          <w:pgSz w:w="11900" w:h="16838" w:orient="portrait"/>
          <w:cols w:equalWidth="0" w:num="1">
            <w:col w:w="9639"/>
          </w:cols>
          <w:pgMar w:left="820" w:top="238" w:right="1440" w:bottom="1440" w:gutter="0" w:footer="0" w:header="0"/>
        </w:sectPr>
      </w:pPr>
    </w:p>
    <w:bookmarkStart w:id="31" w:name="page32"/>
    <w:bookmarkEnd w:id="31"/>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SOLID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97790</wp:posOffset>
            </wp:positionV>
            <wp:extent cx="6200775" cy="4189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20" w:type="dxa"/>
            <w:vAlign w:val="bottom"/>
          </w:tcPr>
          <w:p>
            <w:pPr>
              <w:spacing w:after="0"/>
              <w:rPr>
                <w:sz w:val="20"/>
                <w:szCs w:val="20"/>
                <w:color w:val="auto"/>
              </w:rPr>
            </w:pPr>
            <w:r>
              <w:rPr>
                <w:rFonts w:ascii="Arial" w:cs="Arial" w:eastAsia="Arial" w:hAnsi="Arial"/>
                <w:sz w:val="21"/>
                <w:szCs w:val="21"/>
                <w:b w:val="1"/>
                <w:bCs w:val="1"/>
                <w:color w:val="23282B"/>
              </w:rPr>
              <w:t>($MM)</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6"/>
        </w:trPr>
        <w:tc>
          <w:tcPr>
            <w:tcW w:w="3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23"/>
                <w:szCs w:val="23"/>
                <w:b w:val="1"/>
                <w:bCs w:val="1"/>
                <w:color w:val="23282B"/>
              </w:rPr>
              <w:t>Q2</w:t>
            </w:r>
          </w:p>
        </w:tc>
      </w:tr>
      <w:tr>
        <w:trPr>
          <w:trHeight w:val="304"/>
        </w:trPr>
        <w:tc>
          <w:tcPr>
            <w:tcW w:w="3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3"/>
                <w:szCs w:val="23"/>
                <w:b w:val="1"/>
                <w:bCs w:val="1"/>
                <w:color w:val="23282B"/>
                <w:w w:val="97"/>
              </w:rPr>
              <w:t>2010</w:t>
            </w:r>
          </w:p>
        </w:tc>
        <w:tc>
          <w:tcPr>
            <w:tcW w:w="1040" w:type="dxa"/>
            <w:vAlign w:val="bottom"/>
          </w:tcPr>
          <w:p>
            <w:pPr>
              <w:jc w:val="center"/>
              <w:spacing w:after="0"/>
              <w:rPr>
                <w:sz w:val="20"/>
                <w:szCs w:val="20"/>
                <w:color w:val="auto"/>
              </w:rPr>
            </w:pPr>
            <w:r>
              <w:rPr>
                <w:rFonts w:ascii="Arial" w:cs="Arial" w:eastAsia="Arial" w:hAnsi="Arial"/>
                <w:sz w:val="23"/>
                <w:szCs w:val="23"/>
                <w:b w:val="1"/>
                <w:bCs w:val="1"/>
                <w:color w:val="23282B"/>
                <w:w w:val="97"/>
              </w:rPr>
              <w:t>2011</w:t>
            </w:r>
          </w:p>
        </w:tc>
        <w:tc>
          <w:tcPr>
            <w:tcW w:w="1060" w:type="dxa"/>
            <w:vAlign w:val="bottom"/>
          </w:tcPr>
          <w:p>
            <w:pPr>
              <w:jc w:val="center"/>
              <w:spacing w:after="0"/>
              <w:rPr>
                <w:sz w:val="20"/>
                <w:szCs w:val="20"/>
                <w:color w:val="auto"/>
              </w:rPr>
            </w:pPr>
            <w:r>
              <w:rPr>
                <w:rFonts w:ascii="Arial" w:cs="Arial" w:eastAsia="Arial" w:hAnsi="Arial"/>
                <w:sz w:val="23"/>
                <w:szCs w:val="23"/>
                <w:b w:val="1"/>
                <w:bCs w:val="1"/>
                <w:color w:val="23282B"/>
                <w:w w:val="97"/>
              </w:rPr>
              <w:t>2012</w:t>
            </w:r>
          </w:p>
        </w:tc>
        <w:tc>
          <w:tcPr>
            <w:tcW w:w="1040" w:type="dxa"/>
            <w:vAlign w:val="bottom"/>
          </w:tcPr>
          <w:p>
            <w:pPr>
              <w:jc w:val="center"/>
              <w:spacing w:after="0"/>
              <w:rPr>
                <w:sz w:val="20"/>
                <w:szCs w:val="20"/>
                <w:color w:val="auto"/>
              </w:rPr>
            </w:pPr>
            <w:r>
              <w:rPr>
                <w:rFonts w:ascii="Arial" w:cs="Arial" w:eastAsia="Arial" w:hAnsi="Arial"/>
                <w:sz w:val="23"/>
                <w:szCs w:val="23"/>
                <w:b w:val="1"/>
                <w:bCs w:val="1"/>
                <w:color w:val="23282B"/>
              </w:rPr>
              <w:t>2013</w:t>
            </w:r>
          </w:p>
        </w:tc>
        <w:tc>
          <w:tcPr>
            <w:tcW w:w="880" w:type="dxa"/>
            <w:vAlign w:val="bottom"/>
          </w:tcPr>
          <w:p>
            <w:pPr>
              <w:jc w:val="center"/>
              <w:ind w:left="65"/>
              <w:spacing w:after="0"/>
              <w:rPr>
                <w:sz w:val="20"/>
                <w:szCs w:val="20"/>
                <w:color w:val="auto"/>
              </w:rPr>
            </w:pPr>
            <w:r>
              <w:rPr>
                <w:rFonts w:ascii="Arial" w:cs="Arial" w:eastAsia="Arial" w:hAnsi="Arial"/>
                <w:sz w:val="23"/>
                <w:szCs w:val="23"/>
                <w:b w:val="1"/>
                <w:bCs w:val="1"/>
                <w:color w:val="23282B"/>
                <w:w w:val="97"/>
              </w:rPr>
              <w:t>2014</w:t>
            </w:r>
          </w:p>
        </w:tc>
      </w:tr>
      <w:tr>
        <w:trPr>
          <w:trHeight w:val="427"/>
        </w:trPr>
        <w:tc>
          <w:tcPr>
            <w:tcW w:w="3620" w:type="dxa"/>
            <w:vAlign w:val="bottom"/>
          </w:tcPr>
          <w:p>
            <w:pPr>
              <w:ind w:left="80"/>
              <w:spacing w:after="0"/>
              <w:rPr>
                <w:sz w:val="20"/>
                <w:szCs w:val="20"/>
                <w:color w:val="auto"/>
              </w:rPr>
            </w:pPr>
            <w:r>
              <w:rPr>
                <w:rFonts w:ascii="Arial" w:cs="Arial" w:eastAsia="Arial" w:hAnsi="Arial"/>
                <w:sz w:val="23"/>
                <w:szCs w:val="23"/>
                <w:b w:val="1"/>
                <w:bCs w:val="1"/>
                <w:color w:val="23282B"/>
              </w:rPr>
              <w:t>Inventory</w:t>
            </w:r>
          </w:p>
        </w:tc>
        <w:tc>
          <w:tcPr>
            <w:tcW w:w="940" w:type="dxa"/>
            <w:vAlign w:val="bottom"/>
          </w:tcPr>
          <w:p>
            <w:pPr>
              <w:jc w:val="center"/>
              <w:spacing w:after="0"/>
              <w:rPr>
                <w:sz w:val="20"/>
                <w:szCs w:val="20"/>
                <w:color w:val="auto"/>
              </w:rPr>
            </w:pPr>
            <w:r>
              <w:rPr>
                <w:rFonts w:ascii="Arial" w:cs="Arial" w:eastAsia="Arial" w:hAnsi="Arial"/>
                <w:sz w:val="23"/>
                <w:szCs w:val="23"/>
                <w:color w:val="23282B"/>
              </w:rPr>
              <w:t>$92.9</w:t>
            </w:r>
          </w:p>
        </w:tc>
        <w:tc>
          <w:tcPr>
            <w:tcW w:w="1040" w:type="dxa"/>
            <w:vAlign w:val="bottom"/>
          </w:tcPr>
          <w:p>
            <w:pPr>
              <w:jc w:val="center"/>
              <w:spacing w:after="0"/>
              <w:rPr>
                <w:sz w:val="20"/>
                <w:szCs w:val="20"/>
                <w:color w:val="auto"/>
              </w:rPr>
            </w:pPr>
            <w:r>
              <w:rPr>
                <w:rFonts w:ascii="Arial" w:cs="Arial" w:eastAsia="Arial" w:hAnsi="Arial"/>
                <w:sz w:val="23"/>
                <w:szCs w:val="23"/>
                <w:color w:val="23282B"/>
                <w:w w:val="99"/>
              </w:rPr>
              <w:t>$104.2</w:t>
            </w:r>
          </w:p>
        </w:tc>
        <w:tc>
          <w:tcPr>
            <w:tcW w:w="1060" w:type="dxa"/>
            <w:vAlign w:val="bottom"/>
          </w:tcPr>
          <w:p>
            <w:pPr>
              <w:jc w:val="center"/>
              <w:spacing w:after="0"/>
              <w:rPr>
                <w:sz w:val="20"/>
                <w:szCs w:val="20"/>
                <w:color w:val="auto"/>
              </w:rPr>
            </w:pPr>
            <w:r>
              <w:rPr>
                <w:rFonts w:ascii="Arial" w:cs="Arial" w:eastAsia="Arial" w:hAnsi="Arial"/>
                <w:sz w:val="23"/>
                <w:szCs w:val="23"/>
                <w:color w:val="23282B"/>
                <w:w w:val="99"/>
              </w:rPr>
              <w:t>$104.2</w:t>
            </w:r>
          </w:p>
        </w:tc>
        <w:tc>
          <w:tcPr>
            <w:tcW w:w="1040" w:type="dxa"/>
            <w:vAlign w:val="bottom"/>
          </w:tcPr>
          <w:p>
            <w:pPr>
              <w:jc w:val="center"/>
              <w:spacing w:after="0"/>
              <w:rPr>
                <w:sz w:val="20"/>
                <w:szCs w:val="20"/>
                <w:color w:val="auto"/>
              </w:rPr>
            </w:pPr>
            <w:r>
              <w:rPr>
                <w:rFonts w:ascii="Arial" w:cs="Arial" w:eastAsia="Arial" w:hAnsi="Arial"/>
                <w:sz w:val="23"/>
                <w:szCs w:val="23"/>
                <w:color w:val="23282B"/>
              </w:rPr>
              <w:t>$105.6</w:t>
            </w:r>
          </w:p>
        </w:tc>
        <w:tc>
          <w:tcPr>
            <w:tcW w:w="880" w:type="dxa"/>
            <w:vAlign w:val="bottom"/>
          </w:tcPr>
          <w:p>
            <w:pPr>
              <w:jc w:val="center"/>
              <w:ind w:left="65"/>
              <w:spacing w:after="0"/>
              <w:rPr>
                <w:sz w:val="20"/>
                <w:szCs w:val="20"/>
                <w:color w:val="auto"/>
              </w:rPr>
            </w:pPr>
            <w:r>
              <w:rPr>
                <w:rFonts w:ascii="Arial" w:cs="Arial" w:eastAsia="Arial" w:hAnsi="Arial"/>
                <w:sz w:val="23"/>
                <w:szCs w:val="23"/>
                <w:b w:val="1"/>
                <w:bCs w:val="1"/>
                <w:color w:val="23282B"/>
                <w:w w:val="99"/>
              </w:rPr>
              <w:t>$116.0</w:t>
            </w:r>
          </w:p>
        </w:tc>
      </w:tr>
      <w:tr>
        <w:trPr>
          <w:trHeight w:val="416"/>
        </w:trPr>
        <w:tc>
          <w:tcPr>
            <w:tcW w:w="3620" w:type="dxa"/>
            <w:vAlign w:val="bottom"/>
          </w:tcPr>
          <w:p>
            <w:pPr>
              <w:ind w:left="80"/>
              <w:spacing w:after="0"/>
              <w:rPr>
                <w:sz w:val="20"/>
                <w:szCs w:val="20"/>
                <w:color w:val="auto"/>
              </w:rPr>
            </w:pPr>
            <w:r>
              <w:rPr>
                <w:rFonts w:ascii="Arial" w:cs="Arial" w:eastAsia="Arial" w:hAnsi="Arial"/>
                <w:sz w:val="23"/>
                <w:szCs w:val="23"/>
                <w:b w:val="1"/>
                <w:bCs w:val="1"/>
                <w:color w:val="23282B"/>
              </w:rPr>
              <w:t>Net borrowings under revolver</w:t>
            </w:r>
          </w:p>
        </w:tc>
        <w:tc>
          <w:tcPr>
            <w:tcW w:w="940" w:type="dxa"/>
            <w:vAlign w:val="bottom"/>
          </w:tcPr>
          <w:p>
            <w:pPr>
              <w:jc w:val="center"/>
              <w:spacing w:after="0"/>
              <w:rPr>
                <w:sz w:val="20"/>
                <w:szCs w:val="20"/>
                <w:color w:val="auto"/>
              </w:rPr>
            </w:pPr>
            <w:r>
              <w:rPr>
                <w:rFonts w:ascii="Arial" w:cs="Arial" w:eastAsia="Arial" w:hAnsi="Arial"/>
                <w:sz w:val="23"/>
                <w:szCs w:val="23"/>
                <w:color w:val="23282B"/>
              </w:rPr>
              <w:t>$0</w:t>
            </w:r>
          </w:p>
        </w:tc>
        <w:tc>
          <w:tcPr>
            <w:tcW w:w="1040" w:type="dxa"/>
            <w:vAlign w:val="bottom"/>
          </w:tcPr>
          <w:p>
            <w:pPr>
              <w:jc w:val="center"/>
              <w:spacing w:after="0"/>
              <w:rPr>
                <w:sz w:val="20"/>
                <w:szCs w:val="20"/>
                <w:color w:val="auto"/>
              </w:rPr>
            </w:pPr>
            <w:r>
              <w:rPr>
                <w:rFonts w:ascii="Arial" w:cs="Arial" w:eastAsia="Arial" w:hAnsi="Arial"/>
                <w:sz w:val="23"/>
                <w:szCs w:val="23"/>
                <w:color w:val="23282B"/>
              </w:rPr>
              <w:t>$0</w:t>
            </w:r>
          </w:p>
        </w:tc>
        <w:tc>
          <w:tcPr>
            <w:tcW w:w="1060" w:type="dxa"/>
            <w:vAlign w:val="bottom"/>
          </w:tcPr>
          <w:p>
            <w:pPr>
              <w:jc w:val="center"/>
              <w:spacing w:after="0"/>
              <w:rPr>
                <w:sz w:val="20"/>
                <w:szCs w:val="20"/>
                <w:color w:val="auto"/>
              </w:rPr>
            </w:pPr>
            <w:r>
              <w:rPr>
                <w:rFonts w:ascii="Arial" w:cs="Arial" w:eastAsia="Arial" w:hAnsi="Arial"/>
                <w:sz w:val="23"/>
                <w:szCs w:val="23"/>
                <w:color w:val="23282B"/>
              </w:rPr>
              <w:t>$0</w:t>
            </w:r>
          </w:p>
        </w:tc>
        <w:tc>
          <w:tcPr>
            <w:tcW w:w="1040" w:type="dxa"/>
            <w:vAlign w:val="bottom"/>
          </w:tcPr>
          <w:p>
            <w:pPr>
              <w:jc w:val="center"/>
              <w:spacing w:after="0"/>
              <w:rPr>
                <w:sz w:val="20"/>
                <w:szCs w:val="20"/>
                <w:color w:val="auto"/>
              </w:rPr>
            </w:pPr>
            <w:r>
              <w:rPr>
                <w:rFonts w:ascii="Arial" w:cs="Arial" w:eastAsia="Arial" w:hAnsi="Arial"/>
                <w:sz w:val="23"/>
                <w:szCs w:val="23"/>
                <w:color w:val="23282B"/>
                <w:w w:val="98"/>
              </w:rPr>
              <w:t>$9.0</w:t>
            </w:r>
          </w:p>
        </w:tc>
        <w:tc>
          <w:tcPr>
            <w:tcW w:w="880" w:type="dxa"/>
            <w:vAlign w:val="bottom"/>
          </w:tcPr>
          <w:p>
            <w:pPr>
              <w:jc w:val="center"/>
              <w:ind w:left="65"/>
              <w:spacing w:after="0"/>
              <w:rPr>
                <w:sz w:val="20"/>
                <w:szCs w:val="20"/>
                <w:color w:val="auto"/>
              </w:rPr>
            </w:pPr>
            <w:r>
              <w:rPr>
                <w:rFonts w:ascii="Arial" w:cs="Arial" w:eastAsia="Arial" w:hAnsi="Arial"/>
                <w:sz w:val="23"/>
                <w:szCs w:val="23"/>
                <w:b w:val="1"/>
                <w:bCs w:val="1"/>
                <w:color w:val="23282B"/>
              </w:rPr>
              <w:t>$25.7</w:t>
            </w:r>
          </w:p>
        </w:tc>
      </w:tr>
      <w:tr>
        <w:trPr>
          <w:trHeight w:val="427"/>
        </w:trPr>
        <w:tc>
          <w:tcPr>
            <w:tcW w:w="3620" w:type="dxa"/>
            <w:vAlign w:val="bottom"/>
          </w:tcPr>
          <w:p>
            <w:pPr>
              <w:ind w:left="80"/>
              <w:spacing w:after="0"/>
              <w:rPr>
                <w:sz w:val="20"/>
                <w:szCs w:val="20"/>
                <w:color w:val="auto"/>
              </w:rPr>
            </w:pPr>
            <w:r>
              <w:rPr>
                <w:rFonts w:ascii="Arial" w:cs="Arial" w:eastAsia="Arial" w:hAnsi="Arial"/>
                <w:sz w:val="23"/>
                <w:szCs w:val="23"/>
                <w:b w:val="1"/>
                <w:bCs w:val="1"/>
                <w:color w:val="23282B"/>
              </w:rPr>
              <w:t>Cash on hand</w:t>
            </w:r>
          </w:p>
        </w:tc>
        <w:tc>
          <w:tcPr>
            <w:tcW w:w="940" w:type="dxa"/>
            <w:vAlign w:val="bottom"/>
          </w:tcPr>
          <w:p>
            <w:pPr>
              <w:jc w:val="center"/>
              <w:spacing w:after="0"/>
              <w:rPr>
                <w:sz w:val="20"/>
                <w:szCs w:val="20"/>
                <w:color w:val="auto"/>
              </w:rPr>
            </w:pPr>
            <w:r>
              <w:rPr>
                <w:rFonts w:ascii="Arial" w:cs="Arial" w:eastAsia="Arial" w:hAnsi="Arial"/>
                <w:sz w:val="23"/>
                <w:szCs w:val="23"/>
                <w:color w:val="23282B"/>
              </w:rPr>
              <w:t>$4.1</w:t>
            </w:r>
          </w:p>
        </w:tc>
        <w:tc>
          <w:tcPr>
            <w:tcW w:w="1040" w:type="dxa"/>
            <w:vAlign w:val="bottom"/>
          </w:tcPr>
          <w:p>
            <w:pPr>
              <w:jc w:val="center"/>
              <w:spacing w:after="0"/>
              <w:rPr>
                <w:sz w:val="20"/>
                <w:szCs w:val="20"/>
                <w:color w:val="auto"/>
              </w:rPr>
            </w:pPr>
            <w:r>
              <w:rPr>
                <w:rFonts w:ascii="Arial" w:cs="Arial" w:eastAsia="Arial" w:hAnsi="Arial"/>
                <w:sz w:val="23"/>
                <w:szCs w:val="23"/>
                <w:color w:val="23282B"/>
              </w:rPr>
              <w:t>$10.4</w:t>
            </w:r>
          </w:p>
        </w:tc>
        <w:tc>
          <w:tcPr>
            <w:tcW w:w="1060" w:type="dxa"/>
            <w:vAlign w:val="bottom"/>
          </w:tcPr>
          <w:p>
            <w:pPr>
              <w:jc w:val="center"/>
              <w:spacing w:after="0"/>
              <w:rPr>
                <w:sz w:val="20"/>
                <w:szCs w:val="20"/>
                <w:color w:val="auto"/>
              </w:rPr>
            </w:pPr>
            <w:r>
              <w:rPr>
                <w:rFonts w:ascii="Arial" w:cs="Arial" w:eastAsia="Arial" w:hAnsi="Arial"/>
                <w:sz w:val="23"/>
                <w:szCs w:val="23"/>
                <w:color w:val="23282B"/>
              </w:rPr>
              <w:t>$8.2</w:t>
            </w:r>
          </w:p>
        </w:tc>
        <w:tc>
          <w:tcPr>
            <w:tcW w:w="1040" w:type="dxa"/>
            <w:vAlign w:val="bottom"/>
          </w:tcPr>
          <w:p>
            <w:pPr>
              <w:jc w:val="center"/>
              <w:spacing w:after="0"/>
              <w:rPr>
                <w:sz w:val="20"/>
                <w:szCs w:val="20"/>
                <w:color w:val="auto"/>
              </w:rPr>
            </w:pPr>
            <w:r>
              <w:rPr>
                <w:rFonts w:ascii="Arial" w:cs="Arial" w:eastAsia="Arial" w:hAnsi="Arial"/>
                <w:sz w:val="23"/>
                <w:szCs w:val="23"/>
                <w:color w:val="23282B"/>
                <w:w w:val="98"/>
              </w:rPr>
              <w:t>$4.5</w:t>
            </w:r>
          </w:p>
        </w:tc>
        <w:tc>
          <w:tcPr>
            <w:tcW w:w="880" w:type="dxa"/>
            <w:vAlign w:val="bottom"/>
          </w:tcPr>
          <w:p>
            <w:pPr>
              <w:jc w:val="center"/>
              <w:ind w:left="85"/>
              <w:spacing w:after="0"/>
              <w:rPr>
                <w:sz w:val="20"/>
                <w:szCs w:val="20"/>
                <w:color w:val="auto"/>
              </w:rPr>
            </w:pPr>
            <w:r>
              <w:rPr>
                <w:rFonts w:ascii="Arial" w:cs="Arial" w:eastAsia="Arial" w:hAnsi="Arial"/>
                <w:sz w:val="23"/>
                <w:szCs w:val="23"/>
                <w:b w:val="1"/>
                <w:bCs w:val="1"/>
                <w:color w:val="23282B"/>
                <w:w w:val="98"/>
              </w:rPr>
              <w:t>$5.6</w:t>
            </w:r>
          </w:p>
        </w:tc>
      </w:tr>
      <w:tr>
        <w:trPr>
          <w:trHeight w:val="416"/>
        </w:trPr>
        <w:tc>
          <w:tcPr>
            <w:tcW w:w="3620" w:type="dxa"/>
            <w:vAlign w:val="bottom"/>
          </w:tcPr>
          <w:p>
            <w:pPr>
              <w:ind w:left="80"/>
              <w:spacing w:after="0"/>
              <w:rPr>
                <w:sz w:val="20"/>
                <w:szCs w:val="20"/>
                <w:color w:val="auto"/>
              </w:rPr>
            </w:pPr>
            <w:r>
              <w:rPr>
                <w:rFonts w:ascii="Arial" w:cs="Arial" w:eastAsia="Arial" w:hAnsi="Arial"/>
                <w:sz w:val="23"/>
                <w:szCs w:val="23"/>
                <w:b w:val="1"/>
                <w:bCs w:val="1"/>
                <w:color w:val="23282B"/>
              </w:rPr>
              <w:t>Fixed term loan</w:t>
            </w:r>
          </w:p>
        </w:tc>
        <w:tc>
          <w:tcPr>
            <w:tcW w:w="940" w:type="dxa"/>
            <w:vAlign w:val="bottom"/>
          </w:tcPr>
          <w:p>
            <w:pPr>
              <w:jc w:val="center"/>
              <w:spacing w:after="0"/>
              <w:rPr>
                <w:sz w:val="20"/>
                <w:szCs w:val="20"/>
                <w:color w:val="auto"/>
              </w:rPr>
            </w:pPr>
            <w:r>
              <w:rPr>
                <w:rFonts w:ascii="Arial" w:cs="Arial" w:eastAsia="Arial" w:hAnsi="Arial"/>
                <w:sz w:val="23"/>
                <w:szCs w:val="23"/>
                <w:color w:val="23282B"/>
              </w:rPr>
              <w:t>$0</w:t>
            </w:r>
          </w:p>
        </w:tc>
        <w:tc>
          <w:tcPr>
            <w:tcW w:w="1040" w:type="dxa"/>
            <w:vAlign w:val="bottom"/>
          </w:tcPr>
          <w:p>
            <w:pPr>
              <w:jc w:val="center"/>
              <w:spacing w:after="0"/>
              <w:rPr>
                <w:sz w:val="20"/>
                <w:szCs w:val="20"/>
                <w:color w:val="auto"/>
              </w:rPr>
            </w:pPr>
            <w:r>
              <w:rPr>
                <w:rFonts w:ascii="Arial" w:cs="Arial" w:eastAsia="Arial" w:hAnsi="Arial"/>
                <w:sz w:val="23"/>
                <w:szCs w:val="23"/>
                <w:color w:val="23282B"/>
              </w:rPr>
              <w:t>$0</w:t>
            </w:r>
          </w:p>
        </w:tc>
        <w:tc>
          <w:tcPr>
            <w:tcW w:w="1060" w:type="dxa"/>
            <w:vAlign w:val="bottom"/>
          </w:tcPr>
          <w:p>
            <w:pPr>
              <w:jc w:val="center"/>
              <w:spacing w:after="0"/>
              <w:rPr>
                <w:sz w:val="20"/>
                <w:szCs w:val="20"/>
                <w:color w:val="auto"/>
              </w:rPr>
            </w:pPr>
            <w:r>
              <w:rPr>
                <w:rFonts w:ascii="Arial" w:cs="Arial" w:eastAsia="Arial" w:hAnsi="Arial"/>
                <w:sz w:val="23"/>
                <w:szCs w:val="23"/>
                <w:color w:val="23282B"/>
              </w:rPr>
              <w:t>$0</w:t>
            </w:r>
          </w:p>
        </w:tc>
        <w:tc>
          <w:tcPr>
            <w:tcW w:w="1040" w:type="dxa"/>
            <w:vAlign w:val="bottom"/>
          </w:tcPr>
          <w:p>
            <w:pPr>
              <w:jc w:val="center"/>
              <w:spacing w:after="0"/>
              <w:rPr>
                <w:sz w:val="20"/>
                <w:szCs w:val="20"/>
                <w:color w:val="auto"/>
              </w:rPr>
            </w:pPr>
            <w:r>
              <w:rPr>
                <w:rFonts w:ascii="Arial" w:cs="Arial" w:eastAsia="Arial" w:hAnsi="Arial"/>
                <w:sz w:val="23"/>
                <w:szCs w:val="23"/>
                <w:color w:val="23282B"/>
                <w:w w:val="97"/>
              </w:rPr>
              <w:t>$16.7</w:t>
            </w:r>
          </w:p>
        </w:tc>
        <w:tc>
          <w:tcPr>
            <w:tcW w:w="880" w:type="dxa"/>
            <w:vAlign w:val="bottom"/>
          </w:tcPr>
          <w:p>
            <w:pPr>
              <w:jc w:val="center"/>
              <w:ind w:left="65"/>
              <w:spacing w:after="0"/>
              <w:rPr>
                <w:sz w:val="20"/>
                <w:szCs w:val="20"/>
                <w:color w:val="auto"/>
              </w:rPr>
            </w:pPr>
            <w:r>
              <w:rPr>
                <w:rFonts w:ascii="Arial" w:cs="Arial" w:eastAsia="Arial" w:hAnsi="Arial"/>
                <w:sz w:val="23"/>
                <w:szCs w:val="23"/>
                <w:b w:val="1"/>
                <w:bCs w:val="1"/>
                <w:color w:val="23282B"/>
              </w:rPr>
              <w:t>$22.6</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39"/>
        <w:spacing w:after="0"/>
        <w:rPr>
          <w:sz w:val="20"/>
          <w:szCs w:val="20"/>
          <w:color w:val="auto"/>
        </w:rPr>
      </w:pPr>
      <w:r>
        <w:rPr>
          <w:rFonts w:ascii="Arial" w:cs="Arial" w:eastAsia="Arial" w:hAnsi="Arial"/>
          <w:sz w:val="26"/>
          <w:szCs w:val="26"/>
          <w:b w:val="1"/>
          <w:bCs w:val="1"/>
          <w:color w:val="354047"/>
        </w:rPr>
        <w:t>Unused excess availability under credit facility</w:t>
      </w:r>
    </w:p>
    <w:p>
      <w:pPr>
        <w:spacing w:after="0" w:line="49" w:lineRule="exact"/>
        <w:rPr>
          <w:sz w:val="20"/>
          <w:szCs w:val="20"/>
          <w:color w:val="auto"/>
        </w:rPr>
      </w:pPr>
    </w:p>
    <w:p>
      <w:pPr>
        <w:jc w:val="center"/>
        <w:ind w:right="739"/>
        <w:spacing w:after="0"/>
        <w:rPr>
          <w:sz w:val="20"/>
          <w:szCs w:val="20"/>
          <w:color w:val="auto"/>
        </w:rPr>
      </w:pPr>
      <w:r>
        <w:rPr>
          <w:rFonts w:ascii="Arial" w:cs="Arial" w:eastAsia="Arial" w:hAnsi="Arial"/>
          <w:sz w:val="26"/>
          <w:szCs w:val="26"/>
          <w:b w:val="1"/>
          <w:bCs w:val="1"/>
          <w:color w:val="354047"/>
        </w:rPr>
        <w:t>at August 2, 2014 was $71.0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29</w:t>
            </w:r>
          </w:p>
        </w:tc>
      </w:tr>
    </w:tbl>
    <w:p>
      <w:pPr>
        <w:sectPr>
          <w:pgSz w:w="11900" w:h="16838" w:orient="portrait"/>
          <w:cols w:equalWidth="0" w:num="1">
            <w:col w:w="9639"/>
          </w:cols>
          <w:pgMar w:left="820" w:top="238" w:right="1440" w:bottom="1440" w:gutter="0" w:footer="0" w:header="0"/>
        </w:sectPr>
      </w:pPr>
    </w:p>
    <w:bookmarkStart w:id="32" w:name="page33"/>
    <w:bookmarkEnd w:id="32"/>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CASH FLOW &amp;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97790</wp:posOffset>
            </wp:positionV>
            <wp:extent cx="6200775" cy="4189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($MM)</w:t>
      </w:r>
    </w:p>
    <w:p>
      <w:pPr>
        <w:spacing w:after="0" w:line="10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23282B"/>
        </w:rPr>
        <w:t>$54.1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34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5760" w:type="dxa"/>
            <w:vAlign w:val="bottom"/>
          </w:tcPr>
          <w:p>
            <w:pPr>
              <w:jc w:val="right"/>
              <w:ind w:right="3433"/>
              <w:spacing w:after="0"/>
              <w:rPr>
                <w:sz w:val="20"/>
                <w:szCs w:val="20"/>
                <w:color w:val="auto"/>
              </w:rPr>
            </w:pPr>
            <w:r>
              <w:rPr>
                <w:rFonts w:ascii="Arial" w:cs="Arial" w:eastAsia="Arial" w:hAnsi="Arial"/>
                <w:sz w:val="18"/>
                <w:szCs w:val="18"/>
                <w:b w:val="1"/>
                <w:bCs w:val="1"/>
                <w:color w:val="23282B"/>
              </w:rPr>
              <w:t>$32.4</w:t>
            </w:r>
          </w:p>
        </w:tc>
      </w:tr>
      <w:tr>
        <w:trPr>
          <w:trHeight w:val="200"/>
        </w:trPr>
        <w:tc>
          <w:tcPr>
            <w:tcW w:w="960" w:type="dxa"/>
            <w:vAlign w:val="bottom"/>
          </w:tcPr>
          <w:p>
            <w:pPr>
              <w:spacing w:after="0"/>
              <w:rPr>
                <w:sz w:val="17"/>
                <w:szCs w:val="17"/>
                <w:color w:val="auto"/>
              </w:rPr>
            </w:pPr>
          </w:p>
        </w:tc>
        <w:tc>
          <w:tcPr>
            <w:tcW w:w="5760" w:type="dxa"/>
            <w:vAlign w:val="bottom"/>
          </w:tcPr>
          <w:p>
            <w:pPr>
              <w:jc w:val="right"/>
              <w:ind w:right="2733"/>
              <w:spacing w:after="0" w:line="200" w:lineRule="exact"/>
              <w:rPr>
                <w:sz w:val="20"/>
                <w:szCs w:val="20"/>
                <w:color w:val="auto"/>
              </w:rPr>
            </w:pPr>
            <w:r>
              <w:rPr>
                <w:rFonts w:ascii="Arial" w:cs="Arial" w:eastAsia="Arial" w:hAnsi="Arial"/>
                <w:sz w:val="18"/>
                <w:szCs w:val="18"/>
                <w:b w:val="1"/>
                <w:bCs w:val="1"/>
                <w:color w:val="23282B"/>
              </w:rPr>
              <w:t>$29.9</w:t>
            </w:r>
          </w:p>
        </w:tc>
      </w:tr>
      <w:tr>
        <w:trPr>
          <w:trHeight w:val="175"/>
        </w:trPr>
        <w:tc>
          <w:tcPr>
            <w:tcW w:w="960" w:type="dxa"/>
            <w:vAlign w:val="bottom"/>
          </w:tcPr>
          <w:p>
            <w:pPr>
              <w:spacing w:after="0"/>
              <w:rPr>
                <w:sz w:val="15"/>
                <w:szCs w:val="15"/>
                <w:color w:val="auto"/>
              </w:rPr>
            </w:pPr>
          </w:p>
        </w:tc>
        <w:tc>
          <w:tcPr>
            <w:tcW w:w="5760" w:type="dxa"/>
            <w:vAlign w:val="bottom"/>
          </w:tcPr>
          <w:p>
            <w:pPr>
              <w:jc w:val="right"/>
              <w:ind w:right="1673"/>
              <w:spacing w:after="0" w:line="176" w:lineRule="exact"/>
              <w:rPr>
                <w:sz w:val="20"/>
                <w:szCs w:val="20"/>
                <w:color w:val="auto"/>
              </w:rPr>
            </w:pPr>
            <w:r>
              <w:rPr>
                <w:rFonts w:ascii="Arial" w:cs="Arial" w:eastAsia="Arial" w:hAnsi="Arial"/>
                <w:sz w:val="18"/>
                <w:szCs w:val="18"/>
                <w:b w:val="1"/>
                <w:bCs w:val="1"/>
                <w:color w:val="23282B"/>
              </w:rPr>
              <w:t>$24.9</w:t>
            </w:r>
          </w:p>
        </w:tc>
      </w:tr>
      <w:tr>
        <w:trPr>
          <w:trHeight w:val="153"/>
        </w:trPr>
        <w:tc>
          <w:tcPr>
            <w:tcW w:w="960" w:type="dxa"/>
            <w:vAlign w:val="bottom"/>
          </w:tcPr>
          <w:p>
            <w:pPr>
              <w:spacing w:after="0"/>
              <w:rPr>
                <w:sz w:val="13"/>
                <w:szCs w:val="13"/>
                <w:color w:val="auto"/>
              </w:rPr>
            </w:pPr>
          </w:p>
        </w:tc>
        <w:tc>
          <w:tcPr>
            <w:tcW w:w="5760" w:type="dxa"/>
            <w:vAlign w:val="bottom"/>
          </w:tcPr>
          <w:p>
            <w:pPr>
              <w:jc w:val="right"/>
              <w:ind w:right="4713"/>
              <w:spacing w:after="0" w:line="154" w:lineRule="exact"/>
              <w:rPr>
                <w:sz w:val="20"/>
                <w:szCs w:val="20"/>
                <w:color w:val="auto"/>
              </w:rPr>
            </w:pPr>
            <w:r>
              <w:rPr>
                <w:rFonts w:ascii="Arial" w:cs="Arial" w:eastAsia="Arial" w:hAnsi="Arial"/>
                <w:sz w:val="16"/>
                <w:szCs w:val="16"/>
                <w:b w:val="1"/>
                <w:bCs w:val="1"/>
                <w:color w:val="23282B"/>
              </w:rPr>
              <w:t>$23.4</w:t>
            </w:r>
          </w:p>
        </w:tc>
      </w:tr>
      <w:tr>
        <w:trPr>
          <w:trHeight w:val="260"/>
        </w:trPr>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23282B"/>
                <w:w w:val="93"/>
              </w:rPr>
              <w:t>$18.7</w:t>
            </w:r>
          </w:p>
        </w:tc>
        <w:tc>
          <w:tcPr>
            <w:tcW w:w="5760" w:type="dxa"/>
            <w:vAlign w:val="bottom"/>
          </w:tcPr>
          <w:p>
            <w:pPr>
              <w:jc w:val="right"/>
              <w:spacing w:after="0"/>
              <w:rPr>
                <w:sz w:val="20"/>
                <w:szCs w:val="20"/>
                <w:color w:val="auto"/>
              </w:rPr>
            </w:pPr>
            <w:r>
              <w:rPr>
                <w:rFonts w:ascii="Arial" w:cs="Arial" w:eastAsia="Arial" w:hAnsi="Arial"/>
                <w:sz w:val="18"/>
                <w:szCs w:val="18"/>
                <w:b w:val="1"/>
                <w:bCs w:val="1"/>
                <w:color w:val="23282B"/>
              </w:rPr>
              <w:t>$18.9</w:t>
            </w:r>
          </w:p>
        </w:tc>
      </w:tr>
      <w:tr>
        <w:trPr>
          <w:trHeight w:val="493"/>
        </w:trPr>
        <w:tc>
          <w:tcPr>
            <w:tcW w:w="960" w:type="dxa"/>
            <w:vAlign w:val="bottom"/>
          </w:tcPr>
          <w:p>
            <w:pPr>
              <w:jc w:val="right"/>
              <w:ind w:right="492"/>
              <w:spacing w:after="0"/>
              <w:rPr>
                <w:sz w:val="20"/>
                <w:szCs w:val="20"/>
                <w:color w:val="auto"/>
              </w:rPr>
            </w:pPr>
            <w:r>
              <w:rPr>
                <w:rFonts w:ascii="Arial" w:cs="Arial" w:eastAsia="Arial" w:hAnsi="Arial"/>
                <w:sz w:val="18"/>
                <w:szCs w:val="18"/>
                <w:b w:val="1"/>
                <w:bCs w:val="1"/>
                <w:color w:val="FFFFFF"/>
              </w:rPr>
              <w:t>$9.0</w:t>
            </w:r>
          </w:p>
        </w:tc>
        <w:tc>
          <w:tcPr>
            <w:tcW w:w="5760" w:type="dxa"/>
            <w:vAlign w:val="bottom"/>
          </w:tcPr>
          <w:p>
            <w:pPr>
              <w:jc w:val="right"/>
              <w:ind w:right="4653"/>
              <w:spacing w:after="0"/>
              <w:rPr>
                <w:sz w:val="20"/>
                <w:szCs w:val="20"/>
                <w:color w:val="auto"/>
              </w:rPr>
            </w:pPr>
            <w:r>
              <w:rPr>
                <w:rFonts w:ascii="Arial" w:cs="Arial" w:eastAsia="Arial" w:hAnsi="Arial"/>
                <w:sz w:val="18"/>
                <w:szCs w:val="18"/>
                <w:b w:val="1"/>
                <w:bCs w:val="1"/>
                <w:color w:val="FFFFFF"/>
              </w:rPr>
              <w:t>$18.0</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80" w:type="dxa"/>
        <w:tblCellMar>
          <w:top w:w="0" w:type="dxa"/>
          <w:left w:w="0" w:type="dxa"/>
          <w:bottom w:w="0" w:type="dxa"/>
          <w:right w:w="0" w:type="dxa"/>
        </w:tblCellMar>
      </w:tblPr>
      <w:tr>
        <w:trPr>
          <w:trHeight w:val="233"/>
        </w:trPr>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20" w:type="dxa"/>
            <w:vAlign w:val="bottom"/>
          </w:tcPr>
          <w:p>
            <w:pPr>
              <w:jc w:val="right"/>
              <w:ind w:right="1472"/>
              <w:spacing w:after="0"/>
              <w:rPr>
                <w:sz w:val="20"/>
                <w:szCs w:val="20"/>
                <w:color w:val="auto"/>
              </w:rPr>
            </w:pPr>
            <w:r>
              <w:rPr>
                <w:rFonts w:ascii="Arial" w:cs="Arial" w:eastAsia="Arial" w:hAnsi="Arial"/>
                <w:sz w:val="18"/>
                <w:szCs w:val="18"/>
                <w:b w:val="1"/>
                <w:bCs w:val="1"/>
                <w:color w:val="23282B"/>
              </w:rPr>
              <w:t>$(2.7)</w:t>
            </w:r>
          </w:p>
        </w:tc>
      </w:tr>
      <w:tr>
        <w:trPr>
          <w:trHeight w:val="416"/>
        </w:trPr>
        <w:tc>
          <w:tcPr>
            <w:tcW w:w="1740" w:type="dxa"/>
            <w:vAlign w:val="bottom"/>
          </w:tcPr>
          <w:p>
            <w:pPr>
              <w:jc w:val="right"/>
              <w:ind w:right="272"/>
              <w:spacing w:after="0"/>
              <w:rPr>
                <w:sz w:val="20"/>
                <w:szCs w:val="20"/>
                <w:color w:val="auto"/>
              </w:rPr>
            </w:pPr>
            <w:r>
              <w:rPr>
                <w:rFonts w:ascii="Arial" w:cs="Arial" w:eastAsia="Arial" w:hAnsi="Arial"/>
                <w:sz w:val="18"/>
                <w:szCs w:val="18"/>
                <w:b w:val="1"/>
                <w:bCs w:val="1"/>
                <w:color w:val="23282B"/>
              </w:rPr>
              <w:t>2010</w:t>
            </w:r>
          </w:p>
        </w:tc>
        <w:tc>
          <w:tcPr>
            <w:tcW w:w="1400" w:type="dxa"/>
            <w:vAlign w:val="bottom"/>
          </w:tcPr>
          <w:p>
            <w:pPr>
              <w:jc w:val="right"/>
              <w:ind w:right="172"/>
              <w:spacing w:after="0"/>
              <w:rPr>
                <w:sz w:val="20"/>
                <w:szCs w:val="20"/>
                <w:color w:val="auto"/>
              </w:rPr>
            </w:pPr>
            <w:r>
              <w:rPr>
                <w:rFonts w:ascii="Arial" w:cs="Arial" w:eastAsia="Arial" w:hAnsi="Arial"/>
                <w:sz w:val="18"/>
                <w:szCs w:val="18"/>
                <w:b w:val="1"/>
                <w:bCs w:val="1"/>
                <w:color w:val="23282B"/>
              </w:rPr>
              <w:t>2011</w:t>
            </w:r>
          </w:p>
        </w:tc>
        <w:tc>
          <w:tcPr>
            <w:tcW w:w="2140" w:type="dxa"/>
            <w:vAlign w:val="bottom"/>
          </w:tcPr>
          <w:p>
            <w:pPr>
              <w:jc w:val="right"/>
              <w:ind w:right="801"/>
              <w:spacing w:after="0"/>
              <w:rPr>
                <w:sz w:val="20"/>
                <w:szCs w:val="20"/>
                <w:color w:val="auto"/>
              </w:rPr>
            </w:pPr>
            <w:r>
              <w:rPr>
                <w:rFonts w:ascii="Arial" w:cs="Arial" w:eastAsia="Arial" w:hAnsi="Arial"/>
                <w:sz w:val="18"/>
                <w:szCs w:val="18"/>
                <w:b w:val="1"/>
                <w:bCs w:val="1"/>
                <w:color w:val="23282B"/>
              </w:rPr>
              <w:t>2012</w:t>
            </w:r>
          </w:p>
        </w:tc>
        <w:tc>
          <w:tcPr>
            <w:tcW w:w="1380" w:type="dxa"/>
            <w:vAlign w:val="bottom"/>
          </w:tcPr>
          <w:p>
            <w:pPr>
              <w:jc w:val="right"/>
              <w:ind w:right="672"/>
              <w:spacing w:after="0"/>
              <w:rPr>
                <w:sz w:val="20"/>
                <w:szCs w:val="20"/>
                <w:color w:val="auto"/>
              </w:rPr>
            </w:pPr>
            <w:r>
              <w:rPr>
                <w:rFonts w:ascii="Arial" w:cs="Arial" w:eastAsia="Arial" w:hAnsi="Arial"/>
                <w:sz w:val="18"/>
                <w:szCs w:val="18"/>
                <w:b w:val="1"/>
                <w:bCs w:val="1"/>
                <w:color w:val="23282B"/>
              </w:rPr>
              <w:t>2013</w:t>
            </w:r>
          </w:p>
        </w:tc>
        <w:tc>
          <w:tcPr>
            <w:tcW w:w="2320" w:type="dxa"/>
            <w:vAlign w:val="bottom"/>
          </w:tcPr>
          <w:p>
            <w:pPr>
              <w:jc w:val="center"/>
              <w:ind w:right="1152"/>
              <w:spacing w:after="0"/>
              <w:rPr>
                <w:sz w:val="20"/>
                <w:szCs w:val="20"/>
                <w:color w:val="auto"/>
              </w:rPr>
            </w:pPr>
            <w:r>
              <w:rPr>
                <w:rFonts w:ascii="Arial" w:cs="Arial" w:eastAsia="Arial" w:hAnsi="Arial"/>
                <w:sz w:val="18"/>
                <w:szCs w:val="18"/>
                <w:b w:val="1"/>
                <w:bCs w:val="1"/>
                <w:color w:val="23282B"/>
                <w:w w:val="98"/>
              </w:rPr>
              <w:t>2014 YTD</w:t>
            </w:r>
          </w:p>
        </w:tc>
      </w:tr>
      <w:tr>
        <w:trPr>
          <w:trHeight w:val="652"/>
        </w:trPr>
        <w:tc>
          <w:tcPr>
            <w:tcW w:w="1740" w:type="dxa"/>
            <w:vAlign w:val="bottom"/>
          </w:tcPr>
          <w:p>
            <w:pPr>
              <w:spacing w:after="0"/>
              <w:rPr>
                <w:sz w:val="24"/>
                <w:szCs w:val="24"/>
                <w:color w:val="auto"/>
              </w:rPr>
            </w:pPr>
          </w:p>
        </w:tc>
        <w:tc>
          <w:tcPr>
            <w:tcW w:w="3540" w:type="dxa"/>
            <w:vAlign w:val="bottom"/>
            <w:gridSpan w:val="2"/>
          </w:tcPr>
          <w:p>
            <w:pPr>
              <w:jc w:val="right"/>
              <w:ind w:right="301"/>
              <w:spacing w:after="0"/>
              <w:rPr>
                <w:sz w:val="20"/>
                <w:szCs w:val="20"/>
                <w:color w:val="auto"/>
              </w:rPr>
            </w:pPr>
            <w:r>
              <w:rPr>
                <w:rFonts w:ascii="Arial" w:cs="Arial" w:eastAsia="Arial" w:hAnsi="Arial"/>
                <w:sz w:val="18"/>
                <w:szCs w:val="18"/>
                <w:color w:val="23282B"/>
              </w:rPr>
              <w:t>Cash Flow from Operating Activities</w:t>
            </w:r>
          </w:p>
        </w:tc>
        <w:tc>
          <w:tcPr>
            <w:tcW w:w="1380" w:type="dxa"/>
            <w:vAlign w:val="bottom"/>
          </w:tcPr>
          <w:p>
            <w:pPr>
              <w:jc w:val="right"/>
              <w:ind w:right="72"/>
              <w:spacing w:after="0"/>
              <w:rPr>
                <w:sz w:val="20"/>
                <w:szCs w:val="20"/>
                <w:color w:val="auto"/>
              </w:rPr>
            </w:pPr>
            <w:r>
              <w:rPr>
                <w:rFonts w:ascii="Arial" w:cs="Arial" w:eastAsia="Arial" w:hAnsi="Arial"/>
                <w:sz w:val="18"/>
                <w:szCs w:val="18"/>
                <w:color w:val="23282B"/>
              </w:rPr>
              <w:t>CAPEX</w:t>
            </w:r>
            <w:r>
              <w:rPr>
                <w:rFonts w:ascii="Arial" w:cs="Arial" w:eastAsia="Arial" w:hAnsi="Arial"/>
                <w:sz w:val="24"/>
                <w:szCs w:val="24"/>
                <w:color w:val="23282B"/>
                <w:vertAlign w:val="superscript"/>
              </w:rPr>
              <w:t>1</w:t>
            </w:r>
          </w:p>
        </w:tc>
        <w:tc>
          <w:tcPr>
            <w:tcW w:w="2320" w:type="dxa"/>
            <w:vAlign w:val="bottom"/>
          </w:tcPr>
          <w:p>
            <w:pPr>
              <w:spacing w:after="0"/>
              <w:rPr>
                <w:sz w:val="24"/>
                <w:szCs w:val="24"/>
                <w:color w:val="auto"/>
              </w:rPr>
            </w:pPr>
          </w:p>
        </w:tc>
      </w:tr>
      <w:tr>
        <w:trPr>
          <w:trHeight w:val="395"/>
        </w:trPr>
        <w:tc>
          <w:tcPr>
            <w:tcW w:w="3140" w:type="dxa"/>
            <w:vAlign w:val="bottom"/>
            <w:gridSpan w:val="2"/>
          </w:tcPr>
          <w:p>
            <w:pPr>
              <w:jc w:val="right"/>
              <w:ind w:right="892"/>
              <w:spacing w:after="0"/>
              <w:rPr>
                <w:sz w:val="20"/>
                <w:szCs w:val="20"/>
                <w:color w:val="auto"/>
              </w:rPr>
            </w:pPr>
            <w:r>
              <w:rPr>
                <w:rFonts w:ascii="Arial" w:cs="Arial" w:eastAsia="Arial" w:hAnsi="Arial"/>
                <w:sz w:val="24"/>
                <w:szCs w:val="24"/>
                <w:b w:val="1"/>
                <w:bCs w:val="1"/>
                <w:color w:val="23282B"/>
                <w:w w:val="94"/>
                <w:vertAlign w:val="superscript"/>
              </w:rPr>
              <w:t>1</w:t>
            </w:r>
            <w:r>
              <w:rPr>
                <w:rFonts w:ascii="Arial" w:cs="Arial" w:eastAsia="Arial" w:hAnsi="Arial"/>
                <w:sz w:val="18"/>
                <w:szCs w:val="18"/>
                <w:b w:val="1"/>
                <w:bCs w:val="1"/>
                <w:color w:val="23282B"/>
                <w:w w:val="94"/>
              </w:rPr>
              <w:t>Before tenant allowances</w:t>
            </w:r>
          </w:p>
        </w:tc>
        <w:tc>
          <w:tcPr>
            <w:tcW w:w="2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9"/>
        </w:trPr>
        <w:tc>
          <w:tcPr>
            <w:tcW w:w="1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140" w:type="dxa"/>
            <w:vAlign w:val="bottom"/>
          </w:tcPr>
          <w:p>
            <w:pPr>
              <w:jc w:val="right"/>
              <w:ind w:right="121"/>
              <w:spacing w:after="0"/>
              <w:rPr>
                <w:sz w:val="20"/>
                <w:szCs w:val="20"/>
                <w:color w:val="auto"/>
              </w:rPr>
            </w:pPr>
            <w:r>
              <w:rPr>
                <w:rFonts w:ascii="Arial" w:cs="Arial" w:eastAsia="Arial" w:hAnsi="Arial"/>
                <w:sz w:val="14"/>
                <w:szCs w:val="14"/>
                <w:color w:val="4D5D67"/>
              </w:rPr>
              <w:t>Destination XL Group, Inc.</w:t>
            </w:r>
          </w:p>
        </w:tc>
        <w:tc>
          <w:tcPr>
            <w:tcW w:w="138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8CA1A5"/>
              </w:rPr>
              <w:t>30</w:t>
            </w:r>
          </w:p>
        </w:tc>
      </w:tr>
    </w:tbl>
    <w:p>
      <w:pPr>
        <w:sectPr>
          <w:pgSz w:w="11900" w:h="16838" w:orient="portrait"/>
          <w:cols w:equalWidth="0" w:num="1">
            <w:col w:w="9639"/>
          </w:cols>
          <w:pgMar w:left="820" w:top="238" w:right="1440" w:bottom="1440" w:gutter="0" w:footer="0" w:header="0"/>
        </w:sectPr>
      </w:pPr>
    </w:p>
    <w:bookmarkStart w:id="33" w:name="page34"/>
    <w:bookmarkEnd w:id="33"/>
    <w:p>
      <w:pPr>
        <w:ind w:left="80"/>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DXLG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104775</wp:posOffset>
            </wp:positionV>
            <wp:extent cx="6200775" cy="4189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39"/>
        <w:spacing w:after="0" w:line="292" w:lineRule="auto"/>
        <w:rPr>
          <w:sz w:val="20"/>
          <w:szCs w:val="20"/>
          <w:color w:val="auto"/>
        </w:rPr>
      </w:pPr>
      <w:r>
        <w:rPr>
          <w:rFonts w:ascii="Arial" w:cs="Arial" w:eastAsia="Arial" w:hAnsi="Arial"/>
          <w:sz w:val="35"/>
          <w:szCs w:val="35"/>
          <w:b w:val="1"/>
          <w:bCs w:val="1"/>
          <w:color w:val="23282B"/>
        </w:rPr>
        <w:t>Transformation to DXL concept creates compelling investment opportunity</w:t>
      </w:r>
    </w:p>
    <w:p>
      <w:pPr>
        <w:spacing w:after="0" w:line="281" w:lineRule="exact"/>
        <w:rPr>
          <w:sz w:val="20"/>
          <w:szCs w:val="20"/>
          <w:color w:val="auto"/>
        </w:rPr>
      </w:pPr>
    </w:p>
    <w:p>
      <w:pPr>
        <w:ind w:right="1359"/>
        <w:spacing w:after="0" w:line="503" w:lineRule="auto"/>
        <w:rPr>
          <w:sz w:val="20"/>
          <w:szCs w:val="20"/>
          <w:color w:val="auto"/>
        </w:rPr>
      </w:pPr>
      <w:r>
        <w:rPr>
          <w:rFonts w:ascii="Arial" w:cs="Arial" w:eastAsia="Arial" w:hAnsi="Arial"/>
          <w:sz w:val="35"/>
          <w:szCs w:val="35"/>
          <w:b w:val="1"/>
          <w:bCs w:val="1"/>
          <w:color w:val="23282B"/>
        </w:rPr>
        <w:t>Significant market share/sales growth opportunity Strong gross margins</w:t>
      </w:r>
    </w:p>
    <w:p>
      <w:pPr>
        <w:spacing w:after="0" w:line="1" w:lineRule="exact"/>
        <w:rPr>
          <w:sz w:val="20"/>
          <w:szCs w:val="20"/>
          <w:color w:val="auto"/>
        </w:rPr>
      </w:pPr>
    </w:p>
    <w:p>
      <w:pPr>
        <w:ind w:right="1459"/>
        <w:spacing w:after="0" w:line="534" w:lineRule="auto"/>
        <w:rPr>
          <w:sz w:val="20"/>
          <w:szCs w:val="20"/>
          <w:color w:val="auto"/>
        </w:rPr>
      </w:pPr>
      <w:r>
        <w:rPr>
          <w:rFonts w:ascii="Arial" w:cs="Arial" w:eastAsia="Arial" w:hAnsi="Arial"/>
          <w:sz w:val="35"/>
          <w:szCs w:val="35"/>
          <w:b w:val="1"/>
          <w:bCs w:val="1"/>
          <w:color w:val="23282B"/>
        </w:rPr>
        <w:t xml:space="preserve">Ability to significantly improve operating margins </w:t>
      </w:r>
      <w:r>
        <w:rPr>
          <w:rFonts w:ascii="Arial" w:cs="Arial" w:eastAsia="Arial" w:hAnsi="Arial"/>
          <w:sz w:val="35"/>
          <w:szCs w:val="35"/>
          <w:b w:val="1"/>
          <w:bCs w:val="1"/>
          <w:color w:val="000000"/>
        </w:rPr>
        <w:t>Solid balance sheet with borrowing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86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31</w:t>
            </w:r>
          </w:p>
        </w:tc>
      </w:tr>
    </w:tbl>
    <w:p>
      <w:pPr>
        <w:sectPr>
          <w:pgSz w:w="11900" w:h="16838" w:orient="portrait"/>
          <w:cols w:equalWidth="0" w:num="1">
            <w:col w:w="9719"/>
          </w:cols>
          <w:pgMar w:left="740" w:top="238" w:right="1440" w:bottom="1440" w:gutter="0" w:footer="0" w:header="0"/>
        </w:sectPr>
      </w:pPr>
    </w:p>
    <w:bookmarkStart w:id="34" w:name="page35"/>
    <w:bookmarkEnd w:id="34"/>
    <w:p>
      <w:pPr>
        <w:jc w:val="right"/>
        <w:ind w:right="139"/>
        <w:spacing w:after="0"/>
        <w:rPr>
          <w:sz w:val="20"/>
          <w:szCs w:val="20"/>
          <w:color w:val="auto"/>
        </w:rPr>
      </w:pPr>
      <w:r>
        <w:rPr>
          <w:rFonts w:ascii="Arial" w:cs="Arial" w:eastAsia="Arial" w:hAnsi="Arial"/>
          <w:sz w:val="14"/>
          <w:szCs w:val="14"/>
          <w:color w:val="23282B"/>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Appendix A</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41"/>
          <w:szCs w:val="41"/>
          <w:b w:val="1"/>
          <w:bCs w:val="1"/>
          <w:color w:val="354047"/>
        </w:rPr>
        <w:t>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111760</wp:posOffset>
            </wp:positionV>
            <wp:extent cx="6200775" cy="4175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00775" cy="41757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0" w:right="399" w:hanging="396"/>
        <w:spacing w:after="0" w:line="256" w:lineRule="auto"/>
        <w:tabs>
          <w:tab w:leader="none" w:pos="400" w:val="left"/>
        </w:tabs>
        <w:numPr>
          <w:ilvl w:val="0"/>
          <w:numId w:val="4"/>
        </w:numPr>
        <w:rPr>
          <w:rFonts w:ascii="Arial" w:cs="Arial" w:eastAsia="Arial" w:hAnsi="Arial"/>
          <w:sz w:val="13"/>
          <w:szCs w:val="13"/>
          <w:color w:val="23282B"/>
        </w:rPr>
      </w:pPr>
      <w:r>
        <w:rPr>
          <w:rFonts w:ascii="Arial" w:cs="Arial" w:eastAsia="Arial" w:hAnsi="Arial"/>
          <w:sz w:val="13"/>
          <w:szCs w:val="13"/>
          <w:color w:val="23282B"/>
        </w:rPr>
        <w:t>In addition to Operating Income (Loss) determined in accordance with United States Generally Accepted Accounting Principles (GAAP), the Company uses certain non-GAAP financial measures, such as “EBITDA,” “Adjusted EBITDA,”EBITDA Margin” and “Adjusted EBITDA Margin” in assessing its operating performance. The Company believes that these non-GAAP measures serve as appropriate measures to be used in evaluating the performance of its business.</w:t>
      </w:r>
    </w:p>
    <w:p>
      <w:pPr>
        <w:spacing w:after="0" w:line="206" w:lineRule="exact"/>
        <w:rPr>
          <w:rFonts w:ascii="Arial" w:cs="Arial" w:eastAsia="Arial" w:hAnsi="Arial"/>
          <w:sz w:val="13"/>
          <w:szCs w:val="13"/>
          <w:color w:val="23282B"/>
        </w:rPr>
      </w:pPr>
    </w:p>
    <w:p>
      <w:pPr>
        <w:ind w:left="400" w:right="459" w:hanging="396"/>
        <w:spacing w:after="0" w:line="261" w:lineRule="auto"/>
        <w:tabs>
          <w:tab w:leader="none" w:pos="400" w:val="left"/>
        </w:tabs>
        <w:numPr>
          <w:ilvl w:val="0"/>
          <w:numId w:val="4"/>
        </w:numPr>
        <w:rPr>
          <w:rFonts w:ascii="Arial" w:cs="Arial" w:eastAsia="Arial" w:hAnsi="Arial"/>
          <w:sz w:val="13"/>
          <w:szCs w:val="13"/>
          <w:color w:val="23282B"/>
        </w:rPr>
      </w:pPr>
      <w:r>
        <w:rPr>
          <w:rFonts w:ascii="Arial" w:cs="Arial" w:eastAsia="Arial" w:hAnsi="Arial"/>
          <w:sz w:val="13"/>
          <w:szCs w:val="13"/>
          <w:color w:val="23282B"/>
        </w:rPr>
        <w:t>The Company defines EBITDA as Operating Income (Loss) before Depreciation and Amortization. In addition, Adjusted EBITDA for fiscal 2011 excludes the impact of a non-recurring trademark impairment charge. The Company defines EBITDA Margin and Adjusted EBITDA Margin as EBITDA or Adjusted EBITDA divided by Sales.</w:t>
      </w:r>
    </w:p>
    <w:p>
      <w:pPr>
        <w:spacing w:after="0" w:line="202" w:lineRule="exact"/>
        <w:rPr>
          <w:rFonts w:ascii="Arial" w:cs="Arial" w:eastAsia="Arial" w:hAnsi="Arial"/>
          <w:sz w:val="13"/>
          <w:szCs w:val="13"/>
          <w:color w:val="23282B"/>
        </w:rPr>
      </w:pPr>
    </w:p>
    <w:p>
      <w:pPr>
        <w:ind w:left="400" w:right="379" w:hanging="396"/>
        <w:spacing w:after="0" w:line="276" w:lineRule="auto"/>
        <w:tabs>
          <w:tab w:leader="none" w:pos="400" w:val="left"/>
        </w:tabs>
        <w:numPr>
          <w:ilvl w:val="0"/>
          <w:numId w:val="4"/>
        </w:numPr>
        <w:rPr>
          <w:rFonts w:ascii="Arial" w:cs="Arial" w:eastAsia="Arial" w:hAnsi="Arial"/>
          <w:sz w:val="13"/>
          <w:szCs w:val="13"/>
          <w:color w:val="23282B"/>
        </w:rPr>
      </w:pPr>
      <w:r>
        <w:rPr>
          <w:rFonts w:ascii="Arial" w:cs="Arial" w:eastAsia="Arial" w:hAnsi="Arial"/>
          <w:sz w:val="13"/>
          <w:szCs w:val="13"/>
          <w:color w:val="23282B"/>
        </w:rPr>
        <w:t>EBITDA and Adjusted EBITDA as defined by the Company may not be comparable to similarly titled measures reported by other companies. The Company does not intend for non-GAAP financial measures to be considered in isolation or as a substitute for other measures prepared in accordance with GAAP.</w:t>
      </w:r>
    </w:p>
    <w:p>
      <w:pPr>
        <w:spacing w:after="0" w:line="193" w:lineRule="exact"/>
        <w:rPr>
          <w:rFonts w:ascii="Arial" w:cs="Arial" w:eastAsia="Arial" w:hAnsi="Arial"/>
          <w:sz w:val="13"/>
          <w:szCs w:val="13"/>
          <w:color w:val="23282B"/>
        </w:rPr>
      </w:pPr>
    </w:p>
    <w:p>
      <w:pPr>
        <w:ind w:left="400" w:right="599" w:hanging="396"/>
        <w:spacing w:after="0" w:line="258" w:lineRule="auto"/>
        <w:tabs>
          <w:tab w:leader="none" w:pos="400" w:val="left"/>
        </w:tabs>
        <w:numPr>
          <w:ilvl w:val="0"/>
          <w:numId w:val="4"/>
        </w:numPr>
        <w:rPr>
          <w:rFonts w:ascii="Arial" w:cs="Arial" w:eastAsia="Arial" w:hAnsi="Arial"/>
          <w:sz w:val="13"/>
          <w:szCs w:val="13"/>
          <w:color w:val="23282B"/>
        </w:rPr>
      </w:pPr>
      <w:r>
        <w:rPr>
          <w:rFonts w:ascii="Arial" w:cs="Arial" w:eastAsia="Arial" w:hAnsi="Arial"/>
          <w:sz w:val="13"/>
          <w:szCs w:val="13"/>
          <w:color w:val="23282B"/>
        </w:rPr>
        <w:t>The following table provides a reconciliation of Operating Income (Loss), on a GAAP basis, to EBITDA and Adjusted EBITDA, on a non-GAAP basis (in millions, except percentages)</w:t>
      </w:r>
    </w:p>
    <w:p>
      <w:pPr>
        <w:spacing w:after="0" w:line="55"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right"/>
              <w:ind w:right="189"/>
              <w:spacing w:after="0"/>
              <w:rPr>
                <w:sz w:val="20"/>
                <w:szCs w:val="20"/>
                <w:color w:val="auto"/>
              </w:rPr>
            </w:pPr>
            <w:r>
              <w:rPr>
                <w:rFonts w:ascii="Arial" w:cs="Arial" w:eastAsia="Arial" w:hAnsi="Arial"/>
                <w:sz w:val="18"/>
                <w:szCs w:val="18"/>
                <w:b w:val="1"/>
                <w:bCs w:val="1"/>
                <w:color w:val="23282B"/>
              </w:rPr>
              <w:t>2014</w:t>
            </w:r>
          </w:p>
        </w:tc>
      </w:tr>
      <w:tr>
        <w:trPr>
          <w:trHeight w:val="233"/>
        </w:trPr>
        <w:tc>
          <w:tcPr>
            <w:tcW w:w="3100" w:type="dxa"/>
            <w:vAlign w:val="bottom"/>
          </w:tcPr>
          <w:p>
            <w:pPr>
              <w:spacing w:after="0"/>
              <w:rPr>
                <w:sz w:val="20"/>
                <w:szCs w:val="20"/>
                <w:color w:val="auto"/>
              </w:rPr>
            </w:pPr>
            <w:r>
              <w:rPr>
                <w:rFonts w:ascii="Arial" w:cs="Arial" w:eastAsia="Arial" w:hAnsi="Arial"/>
                <w:sz w:val="18"/>
                <w:szCs w:val="18"/>
                <w:b w:val="1"/>
                <w:bCs w:val="1"/>
                <w:color w:val="23282B"/>
              </w:rPr>
              <w:t>Fiscal year:</w:t>
            </w:r>
          </w:p>
        </w:tc>
        <w:tc>
          <w:tcPr>
            <w:tcW w:w="152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23282B"/>
              </w:rPr>
              <w:t>2010</w:t>
            </w:r>
          </w:p>
        </w:tc>
        <w:tc>
          <w:tcPr>
            <w:tcW w:w="1120" w:type="dxa"/>
            <w:vAlign w:val="bottom"/>
            <w:gridSpan w:val="2"/>
          </w:tcPr>
          <w:p>
            <w:pPr>
              <w:jc w:val="right"/>
              <w:ind w:right="429"/>
              <w:spacing w:after="0"/>
              <w:rPr>
                <w:sz w:val="20"/>
                <w:szCs w:val="20"/>
                <w:color w:val="auto"/>
              </w:rPr>
            </w:pPr>
            <w:r>
              <w:rPr>
                <w:rFonts w:ascii="Arial" w:cs="Arial" w:eastAsia="Arial" w:hAnsi="Arial"/>
                <w:sz w:val="18"/>
                <w:szCs w:val="18"/>
                <w:b w:val="1"/>
                <w:bCs w:val="1"/>
                <w:color w:val="23282B"/>
              </w:rPr>
              <w:t>2011</w:t>
            </w: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23282B"/>
              </w:rPr>
              <w:t>2012</w:t>
            </w:r>
          </w:p>
        </w:tc>
        <w:tc>
          <w:tcPr>
            <w:tcW w:w="1120" w:type="dxa"/>
            <w:vAlign w:val="bottom"/>
            <w:gridSpan w:val="2"/>
          </w:tcPr>
          <w:p>
            <w:pPr>
              <w:jc w:val="right"/>
              <w:ind w:right="429"/>
              <w:spacing w:after="0"/>
              <w:rPr>
                <w:sz w:val="20"/>
                <w:szCs w:val="20"/>
                <w:color w:val="auto"/>
              </w:rPr>
            </w:pPr>
            <w:r>
              <w:rPr>
                <w:rFonts w:ascii="Arial" w:cs="Arial" w:eastAsia="Arial" w:hAnsi="Arial"/>
                <w:sz w:val="18"/>
                <w:szCs w:val="18"/>
                <w:b w:val="1"/>
                <w:bCs w:val="1"/>
                <w:color w:val="23282B"/>
              </w:rPr>
              <w:t>2013</w:t>
            </w: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23282B"/>
                <w:w w:val="99"/>
              </w:rPr>
              <w:t>YTD</w:t>
            </w:r>
          </w:p>
        </w:tc>
      </w:tr>
      <w:tr>
        <w:trPr>
          <w:trHeight w:val="275"/>
        </w:trPr>
        <w:tc>
          <w:tcPr>
            <w:tcW w:w="3100" w:type="dxa"/>
            <w:vAlign w:val="bottom"/>
          </w:tcPr>
          <w:p>
            <w:pPr>
              <w:spacing w:after="0"/>
              <w:rPr>
                <w:sz w:val="20"/>
                <w:szCs w:val="20"/>
                <w:color w:val="auto"/>
              </w:rPr>
            </w:pPr>
            <w:r>
              <w:rPr>
                <w:rFonts w:ascii="Arial" w:cs="Arial" w:eastAsia="Arial" w:hAnsi="Arial"/>
                <w:sz w:val="14"/>
                <w:szCs w:val="14"/>
                <w:color w:val="23282B"/>
              </w:rPr>
              <w:t>Sales</w:t>
            </w:r>
          </w:p>
        </w:tc>
        <w:tc>
          <w:tcPr>
            <w:tcW w:w="9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49"/>
              <w:spacing w:after="0"/>
              <w:rPr>
                <w:sz w:val="20"/>
                <w:szCs w:val="20"/>
                <w:color w:val="auto"/>
              </w:rPr>
            </w:pPr>
            <w:r>
              <w:rPr>
                <w:rFonts w:ascii="Arial" w:cs="Arial" w:eastAsia="Arial" w:hAnsi="Arial"/>
                <w:sz w:val="14"/>
                <w:szCs w:val="14"/>
                <w:color w:val="23282B"/>
              </w:rPr>
              <w:t>392.0</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395.9</w:t>
            </w:r>
          </w:p>
        </w:tc>
        <w:tc>
          <w:tcPr>
            <w:tcW w:w="460" w:type="dxa"/>
            <w:vAlign w:val="bottom"/>
          </w:tcPr>
          <w:p>
            <w:pPr>
              <w:jc w:val="right"/>
              <w:spacing w:after="0"/>
              <w:rPr>
                <w:sz w:val="20"/>
                <w:szCs w:val="20"/>
                <w:color w:val="auto"/>
              </w:rPr>
            </w:pPr>
            <w:r>
              <w:rPr>
                <w:rFonts w:ascii="Arial" w:cs="Arial" w:eastAsia="Arial" w:hAnsi="Arial"/>
                <w:sz w:val="14"/>
                <w:szCs w:val="14"/>
                <w:color w:val="23282B"/>
              </w:rPr>
              <w:t>$</w:t>
            </w:r>
          </w:p>
        </w:tc>
        <w:tc>
          <w:tcPr>
            <w:tcW w:w="640" w:type="dxa"/>
            <w:vAlign w:val="bottom"/>
          </w:tcPr>
          <w:p>
            <w:pPr>
              <w:jc w:val="right"/>
              <w:ind w:right="169"/>
              <w:spacing w:after="0"/>
              <w:rPr>
                <w:sz w:val="20"/>
                <w:szCs w:val="20"/>
                <w:color w:val="auto"/>
              </w:rPr>
            </w:pPr>
            <w:r>
              <w:rPr>
                <w:rFonts w:ascii="Arial" w:cs="Arial" w:eastAsia="Arial" w:hAnsi="Arial"/>
                <w:sz w:val="14"/>
                <w:szCs w:val="14"/>
                <w:color w:val="23282B"/>
              </w:rPr>
              <w:t>399.6</w:t>
            </w:r>
          </w:p>
        </w:tc>
        <w:tc>
          <w:tcPr>
            <w:tcW w:w="500" w:type="dxa"/>
            <w:vAlign w:val="bottom"/>
          </w:tcPr>
          <w:p>
            <w:pPr>
              <w:jc w:val="right"/>
              <w:ind w:right="25"/>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388.0</w:t>
            </w:r>
          </w:p>
        </w:tc>
        <w:tc>
          <w:tcPr>
            <w:tcW w:w="480" w:type="dxa"/>
            <w:vAlign w:val="bottom"/>
          </w:tcPr>
          <w:p>
            <w:pPr>
              <w:jc w:val="right"/>
              <w:ind w:right="23"/>
              <w:spacing w:after="0"/>
              <w:rPr>
                <w:sz w:val="20"/>
                <w:szCs w:val="20"/>
                <w:color w:val="auto"/>
              </w:rPr>
            </w:pPr>
            <w:r>
              <w:rPr>
                <w:rFonts w:ascii="Arial" w:cs="Arial" w:eastAsia="Arial" w:hAnsi="Arial"/>
                <w:sz w:val="14"/>
                <w:szCs w:val="14"/>
                <w:color w:val="23282B"/>
              </w:rPr>
              <w:t>$</w:t>
            </w:r>
          </w:p>
        </w:tc>
        <w:tc>
          <w:tcPr>
            <w:tcW w:w="380" w:type="dxa"/>
            <w:vAlign w:val="bottom"/>
          </w:tcPr>
          <w:p>
            <w:pPr>
              <w:jc w:val="right"/>
              <w:spacing w:after="0"/>
              <w:rPr>
                <w:sz w:val="20"/>
                <w:szCs w:val="20"/>
                <w:color w:val="auto"/>
              </w:rPr>
            </w:pPr>
            <w:r>
              <w:rPr>
                <w:rFonts w:ascii="Arial" w:cs="Arial" w:eastAsia="Arial" w:hAnsi="Arial"/>
                <w:sz w:val="14"/>
                <w:szCs w:val="14"/>
                <w:color w:val="23282B"/>
              </w:rPr>
              <w:t>200.5</w:t>
            </w:r>
          </w:p>
        </w:tc>
      </w:tr>
      <w:tr>
        <w:trPr>
          <w:trHeight w:val="285"/>
        </w:trPr>
        <w:tc>
          <w:tcPr>
            <w:tcW w:w="3100" w:type="dxa"/>
            <w:vAlign w:val="bottom"/>
          </w:tcPr>
          <w:p>
            <w:pPr>
              <w:spacing w:after="0"/>
              <w:rPr>
                <w:sz w:val="20"/>
                <w:szCs w:val="20"/>
                <w:color w:val="auto"/>
              </w:rPr>
            </w:pPr>
            <w:r>
              <w:rPr>
                <w:rFonts w:ascii="Arial" w:cs="Arial" w:eastAsia="Arial" w:hAnsi="Arial"/>
                <w:sz w:val="14"/>
                <w:szCs w:val="14"/>
                <w:color w:val="23282B"/>
              </w:rPr>
              <w:t>Operating Income (Loss), GAAP Basis</w:t>
            </w:r>
          </w:p>
        </w:tc>
        <w:tc>
          <w:tcPr>
            <w:tcW w:w="9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18.2</w:t>
            </w:r>
          </w:p>
        </w:tc>
        <w:tc>
          <w:tcPr>
            <w:tcW w:w="500" w:type="dxa"/>
            <w:vAlign w:val="bottom"/>
          </w:tcPr>
          <w:p>
            <w:pPr>
              <w:jc w:val="right"/>
              <w:ind w:right="6"/>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(4.4)</w:t>
            </w:r>
          </w:p>
        </w:tc>
        <w:tc>
          <w:tcPr>
            <w:tcW w:w="460" w:type="dxa"/>
            <w:vAlign w:val="bottom"/>
          </w:tcPr>
          <w:p>
            <w:pPr>
              <w:jc w:val="right"/>
              <w:ind w:right="5"/>
              <w:spacing w:after="0"/>
              <w:rPr>
                <w:sz w:val="20"/>
                <w:szCs w:val="20"/>
                <w:color w:val="auto"/>
              </w:rPr>
            </w:pPr>
            <w:r>
              <w:rPr>
                <w:rFonts w:ascii="Arial" w:cs="Arial" w:eastAsia="Arial" w:hAnsi="Arial"/>
                <w:sz w:val="14"/>
                <w:szCs w:val="14"/>
                <w:color w:val="23282B"/>
              </w:rPr>
              <w:t>$</w:t>
            </w:r>
          </w:p>
        </w:tc>
        <w:tc>
          <w:tcPr>
            <w:tcW w:w="640" w:type="dxa"/>
            <w:vAlign w:val="bottom"/>
          </w:tcPr>
          <w:p>
            <w:pPr>
              <w:jc w:val="right"/>
              <w:ind w:right="169"/>
              <w:spacing w:after="0"/>
              <w:rPr>
                <w:sz w:val="20"/>
                <w:szCs w:val="20"/>
                <w:color w:val="auto"/>
              </w:rPr>
            </w:pPr>
            <w:r>
              <w:rPr>
                <w:rFonts w:ascii="Arial" w:cs="Arial" w:eastAsia="Arial" w:hAnsi="Arial"/>
                <w:sz w:val="14"/>
                <w:szCs w:val="14"/>
                <w:color w:val="23282B"/>
              </w:rPr>
              <w:t>13.9</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w w:val="98"/>
              </w:rPr>
              <w:t>(13.1)</w:t>
            </w:r>
          </w:p>
        </w:tc>
        <w:tc>
          <w:tcPr>
            <w:tcW w:w="480" w:type="dxa"/>
            <w:vAlign w:val="bottom"/>
          </w:tcPr>
          <w:p>
            <w:pPr>
              <w:jc w:val="right"/>
              <w:spacing w:after="0"/>
              <w:rPr>
                <w:sz w:val="20"/>
                <w:szCs w:val="20"/>
                <w:color w:val="auto"/>
              </w:rPr>
            </w:pPr>
            <w:r>
              <w:rPr>
                <w:rFonts w:ascii="Arial" w:cs="Arial" w:eastAsia="Arial" w:hAnsi="Arial"/>
                <w:sz w:val="14"/>
                <w:szCs w:val="14"/>
                <w:color w:val="23282B"/>
              </w:rPr>
              <w:t>$</w:t>
            </w:r>
          </w:p>
        </w:tc>
        <w:tc>
          <w:tcPr>
            <w:tcW w:w="380" w:type="dxa"/>
            <w:vAlign w:val="bottom"/>
          </w:tcPr>
          <w:p>
            <w:pPr>
              <w:jc w:val="right"/>
              <w:spacing w:after="0"/>
              <w:rPr>
                <w:sz w:val="20"/>
                <w:szCs w:val="20"/>
                <w:color w:val="auto"/>
              </w:rPr>
            </w:pPr>
            <w:r>
              <w:rPr>
                <w:rFonts w:ascii="Arial" w:cs="Arial" w:eastAsia="Arial" w:hAnsi="Arial"/>
                <w:sz w:val="14"/>
                <w:szCs w:val="14"/>
                <w:color w:val="23282B"/>
              </w:rPr>
              <w:t>(6.6)</w:t>
            </w:r>
          </w:p>
        </w:tc>
      </w:tr>
      <w:tr>
        <w:trPr>
          <w:trHeight w:val="285"/>
        </w:trPr>
        <w:tc>
          <w:tcPr>
            <w:tcW w:w="3100" w:type="dxa"/>
            <w:vAlign w:val="bottom"/>
          </w:tcPr>
          <w:p>
            <w:pPr>
              <w:spacing w:after="0"/>
              <w:rPr>
                <w:sz w:val="20"/>
                <w:szCs w:val="20"/>
                <w:color w:val="auto"/>
              </w:rPr>
            </w:pPr>
            <w:r>
              <w:rPr>
                <w:rFonts w:ascii="Arial" w:cs="Arial" w:eastAsia="Arial" w:hAnsi="Arial"/>
                <w:sz w:val="14"/>
                <w:szCs w:val="14"/>
                <w:color w:val="23282B"/>
              </w:rPr>
              <w:t>Add back:</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4"/>
        </w:trPr>
        <w:tc>
          <w:tcPr>
            <w:tcW w:w="3100" w:type="dxa"/>
            <w:vAlign w:val="bottom"/>
          </w:tcPr>
          <w:p>
            <w:pPr>
              <w:spacing w:after="0"/>
              <w:rPr>
                <w:sz w:val="20"/>
                <w:szCs w:val="20"/>
                <w:color w:val="auto"/>
              </w:rPr>
            </w:pPr>
            <w:r>
              <w:rPr>
                <w:rFonts w:ascii="Arial" w:cs="Arial" w:eastAsia="Arial" w:hAnsi="Arial"/>
                <w:sz w:val="14"/>
                <w:szCs w:val="14"/>
                <w:color w:val="23282B"/>
              </w:rPr>
              <w:t>Depreciation and Amortization</w:t>
            </w:r>
          </w:p>
        </w:tc>
        <w:tc>
          <w:tcPr>
            <w:tcW w:w="9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13.2</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12.5</w:t>
            </w:r>
          </w:p>
        </w:tc>
        <w:tc>
          <w:tcPr>
            <w:tcW w:w="460" w:type="dxa"/>
            <w:vAlign w:val="bottom"/>
          </w:tcPr>
          <w:p>
            <w:pPr>
              <w:jc w:val="right"/>
              <w:ind w:right="45"/>
              <w:spacing w:after="0"/>
              <w:rPr>
                <w:sz w:val="20"/>
                <w:szCs w:val="20"/>
                <w:color w:val="auto"/>
              </w:rPr>
            </w:pPr>
            <w:r>
              <w:rPr>
                <w:rFonts w:ascii="Arial" w:cs="Arial" w:eastAsia="Arial" w:hAnsi="Arial"/>
                <w:sz w:val="14"/>
                <w:szCs w:val="14"/>
                <w:color w:val="23282B"/>
              </w:rPr>
              <w:t>$</w:t>
            </w:r>
          </w:p>
        </w:tc>
        <w:tc>
          <w:tcPr>
            <w:tcW w:w="640" w:type="dxa"/>
            <w:vAlign w:val="bottom"/>
          </w:tcPr>
          <w:p>
            <w:pPr>
              <w:jc w:val="right"/>
              <w:ind w:right="169"/>
              <w:spacing w:after="0"/>
              <w:rPr>
                <w:sz w:val="20"/>
                <w:szCs w:val="20"/>
                <w:color w:val="auto"/>
              </w:rPr>
            </w:pPr>
            <w:r>
              <w:rPr>
                <w:rFonts w:ascii="Arial" w:cs="Arial" w:eastAsia="Arial" w:hAnsi="Arial"/>
                <w:sz w:val="14"/>
                <w:szCs w:val="14"/>
                <w:color w:val="23282B"/>
              </w:rPr>
              <w:t>15.5</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20.8</w:t>
            </w:r>
          </w:p>
        </w:tc>
        <w:tc>
          <w:tcPr>
            <w:tcW w:w="480" w:type="dxa"/>
            <w:vAlign w:val="bottom"/>
          </w:tcPr>
          <w:p>
            <w:pPr>
              <w:jc w:val="right"/>
              <w:spacing w:after="0"/>
              <w:rPr>
                <w:sz w:val="20"/>
                <w:szCs w:val="20"/>
                <w:color w:val="auto"/>
              </w:rPr>
            </w:pPr>
            <w:r>
              <w:rPr>
                <w:rFonts w:ascii="Arial" w:cs="Arial" w:eastAsia="Arial" w:hAnsi="Arial"/>
                <w:sz w:val="14"/>
                <w:szCs w:val="14"/>
                <w:color w:val="23282B"/>
              </w:rPr>
              <w:t>$</w:t>
            </w:r>
          </w:p>
        </w:tc>
        <w:tc>
          <w:tcPr>
            <w:tcW w:w="380" w:type="dxa"/>
            <w:vAlign w:val="bottom"/>
          </w:tcPr>
          <w:p>
            <w:pPr>
              <w:jc w:val="right"/>
              <w:spacing w:after="0"/>
              <w:rPr>
                <w:sz w:val="20"/>
                <w:szCs w:val="20"/>
                <w:color w:val="auto"/>
              </w:rPr>
            </w:pPr>
            <w:r>
              <w:rPr>
                <w:rFonts w:ascii="Arial" w:cs="Arial" w:eastAsia="Arial" w:hAnsi="Arial"/>
                <w:sz w:val="14"/>
                <w:szCs w:val="14"/>
                <w:color w:val="23282B"/>
              </w:rPr>
              <w:t>11.1</w:t>
            </w:r>
          </w:p>
        </w:tc>
      </w:tr>
      <w:tr>
        <w:trPr>
          <w:trHeight w:val="285"/>
        </w:trPr>
        <w:tc>
          <w:tcPr>
            <w:tcW w:w="3100" w:type="dxa"/>
            <w:vAlign w:val="bottom"/>
          </w:tcPr>
          <w:p>
            <w:pPr>
              <w:spacing w:after="0"/>
              <w:rPr>
                <w:sz w:val="20"/>
                <w:szCs w:val="20"/>
                <w:color w:val="auto"/>
              </w:rPr>
            </w:pPr>
            <w:r>
              <w:rPr>
                <w:rFonts w:ascii="Arial" w:cs="Arial" w:eastAsia="Arial" w:hAnsi="Arial"/>
                <w:sz w:val="14"/>
                <w:szCs w:val="14"/>
                <w:color w:val="23282B"/>
              </w:rPr>
              <w:t>EBITDA</w:t>
            </w:r>
          </w:p>
        </w:tc>
        <w:tc>
          <w:tcPr>
            <w:tcW w:w="9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31.4</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89"/>
              <w:spacing w:after="0"/>
              <w:rPr>
                <w:sz w:val="20"/>
                <w:szCs w:val="20"/>
                <w:color w:val="auto"/>
              </w:rPr>
            </w:pPr>
            <w:r>
              <w:rPr>
                <w:rFonts w:ascii="Arial" w:cs="Arial" w:eastAsia="Arial" w:hAnsi="Arial"/>
                <w:sz w:val="14"/>
                <w:szCs w:val="14"/>
                <w:color w:val="23282B"/>
              </w:rPr>
              <w:t>8.1</w:t>
            </w:r>
          </w:p>
        </w:tc>
        <w:tc>
          <w:tcPr>
            <w:tcW w:w="460" w:type="dxa"/>
            <w:vAlign w:val="bottom"/>
          </w:tcPr>
          <w:p>
            <w:pPr>
              <w:ind w:left="220"/>
              <w:spacing w:after="0"/>
              <w:rPr>
                <w:sz w:val="20"/>
                <w:szCs w:val="20"/>
                <w:color w:val="auto"/>
              </w:rPr>
            </w:pPr>
            <w:r>
              <w:rPr>
                <w:rFonts w:ascii="Arial" w:cs="Arial" w:eastAsia="Arial" w:hAnsi="Arial"/>
                <w:sz w:val="14"/>
                <w:szCs w:val="14"/>
                <w:color w:val="23282B"/>
              </w:rPr>
              <w:t>$</w:t>
            </w:r>
          </w:p>
        </w:tc>
        <w:tc>
          <w:tcPr>
            <w:tcW w:w="640" w:type="dxa"/>
            <w:vAlign w:val="bottom"/>
          </w:tcPr>
          <w:p>
            <w:pPr>
              <w:jc w:val="right"/>
              <w:ind w:right="169"/>
              <w:spacing w:after="0"/>
              <w:rPr>
                <w:sz w:val="20"/>
                <w:szCs w:val="20"/>
                <w:color w:val="auto"/>
              </w:rPr>
            </w:pPr>
            <w:r>
              <w:rPr>
                <w:rFonts w:ascii="Arial" w:cs="Arial" w:eastAsia="Arial" w:hAnsi="Arial"/>
                <w:sz w:val="14"/>
                <w:szCs w:val="14"/>
                <w:color w:val="23282B"/>
              </w:rPr>
              <w:t>29.4</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89"/>
              <w:spacing w:after="0"/>
              <w:rPr>
                <w:sz w:val="20"/>
                <w:szCs w:val="20"/>
                <w:color w:val="auto"/>
              </w:rPr>
            </w:pPr>
            <w:r>
              <w:rPr>
                <w:rFonts w:ascii="Arial" w:cs="Arial" w:eastAsia="Arial" w:hAnsi="Arial"/>
                <w:sz w:val="14"/>
                <w:szCs w:val="14"/>
                <w:color w:val="23282B"/>
              </w:rPr>
              <w:t>7.7</w:t>
            </w:r>
          </w:p>
        </w:tc>
        <w:tc>
          <w:tcPr>
            <w:tcW w:w="860" w:type="dxa"/>
            <w:vAlign w:val="bottom"/>
            <w:gridSpan w:val="2"/>
          </w:tcPr>
          <w:p>
            <w:pPr>
              <w:jc w:val="right"/>
              <w:spacing w:after="0"/>
              <w:rPr>
                <w:sz w:val="20"/>
                <w:szCs w:val="20"/>
                <w:color w:val="auto"/>
              </w:rPr>
            </w:pPr>
            <w:r>
              <w:rPr>
                <w:rFonts w:ascii="Arial" w:cs="Arial" w:eastAsia="Arial" w:hAnsi="Arial"/>
                <w:sz w:val="14"/>
                <w:szCs w:val="14"/>
                <w:color w:val="23282B"/>
              </w:rPr>
              <w:t>$  4.5</w:t>
            </w:r>
          </w:p>
        </w:tc>
      </w:tr>
      <w:tr>
        <w:trPr>
          <w:trHeight w:val="274"/>
        </w:trPr>
        <w:tc>
          <w:tcPr>
            <w:tcW w:w="3100" w:type="dxa"/>
            <w:vAlign w:val="bottom"/>
          </w:tcPr>
          <w:p>
            <w:pPr>
              <w:spacing w:after="0"/>
              <w:rPr>
                <w:sz w:val="20"/>
                <w:szCs w:val="20"/>
                <w:color w:val="auto"/>
              </w:rPr>
            </w:pPr>
            <w:r>
              <w:rPr>
                <w:rFonts w:ascii="Arial" w:cs="Arial" w:eastAsia="Arial" w:hAnsi="Arial"/>
                <w:sz w:val="14"/>
                <w:szCs w:val="14"/>
                <w:color w:val="23282B"/>
              </w:rPr>
              <w:t>Adjustment for Trademark Impairment</w:t>
            </w:r>
          </w:p>
        </w:tc>
        <w:tc>
          <w:tcPr>
            <w:tcW w:w="900" w:type="dxa"/>
            <w:vAlign w:val="bottom"/>
          </w:tcPr>
          <w:p>
            <w:pPr>
              <w:spacing w:after="0"/>
              <w:rPr>
                <w:sz w:val="23"/>
                <w:szCs w:val="23"/>
                <w:color w:val="auto"/>
              </w:rPr>
            </w:pPr>
          </w:p>
        </w:tc>
        <w:tc>
          <w:tcPr>
            <w:tcW w:w="620" w:type="dxa"/>
            <w:vAlign w:val="bottom"/>
          </w:tcPr>
          <w:p>
            <w:pPr>
              <w:jc w:val="right"/>
              <w:ind w:right="149"/>
              <w:spacing w:after="0"/>
              <w:rPr>
                <w:sz w:val="20"/>
                <w:szCs w:val="20"/>
                <w:color w:val="auto"/>
              </w:rPr>
            </w:pPr>
            <w:r>
              <w:rPr>
                <w:rFonts w:ascii="Arial" w:cs="Arial" w:eastAsia="Arial" w:hAnsi="Arial"/>
                <w:sz w:val="14"/>
                <w:szCs w:val="14"/>
                <w:color w:val="23282B"/>
              </w:rPr>
              <w:t>-</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23.1</w:t>
            </w:r>
          </w:p>
        </w:tc>
        <w:tc>
          <w:tcPr>
            <w:tcW w:w="460" w:type="dxa"/>
            <w:vAlign w:val="bottom"/>
          </w:tcPr>
          <w:p>
            <w:pPr>
              <w:spacing w:after="0"/>
              <w:rPr>
                <w:sz w:val="23"/>
                <w:szCs w:val="2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23282B"/>
              </w:rPr>
              <w:t>-</w:t>
            </w:r>
          </w:p>
        </w:tc>
        <w:tc>
          <w:tcPr>
            <w:tcW w:w="500" w:type="dxa"/>
            <w:vAlign w:val="bottom"/>
          </w:tcPr>
          <w:p>
            <w:pPr>
              <w:spacing w:after="0"/>
              <w:rPr>
                <w:sz w:val="23"/>
                <w:szCs w:val="23"/>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w:t>
            </w:r>
          </w:p>
        </w:tc>
        <w:tc>
          <w:tcPr>
            <w:tcW w:w="4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23282B"/>
              </w:rPr>
              <w:t>-</w:t>
            </w:r>
          </w:p>
        </w:tc>
      </w:tr>
      <w:tr>
        <w:trPr>
          <w:trHeight w:val="285"/>
        </w:trPr>
        <w:tc>
          <w:tcPr>
            <w:tcW w:w="3100" w:type="dxa"/>
            <w:vAlign w:val="bottom"/>
          </w:tcPr>
          <w:p>
            <w:pPr>
              <w:spacing w:after="0"/>
              <w:rPr>
                <w:sz w:val="20"/>
                <w:szCs w:val="20"/>
                <w:color w:val="auto"/>
              </w:rPr>
            </w:pPr>
            <w:r>
              <w:rPr>
                <w:rFonts w:ascii="Arial" w:cs="Arial" w:eastAsia="Arial" w:hAnsi="Arial"/>
                <w:sz w:val="14"/>
                <w:szCs w:val="14"/>
                <w:color w:val="23282B"/>
              </w:rPr>
              <w:t>ADJUSTED EBITDA</w:t>
            </w:r>
          </w:p>
        </w:tc>
        <w:tc>
          <w:tcPr>
            <w:tcW w:w="900" w:type="dxa"/>
            <w:vAlign w:val="bottom"/>
          </w:tcPr>
          <w:p>
            <w:pPr>
              <w:spacing w:after="0"/>
              <w:rPr>
                <w:sz w:val="24"/>
                <w:szCs w:val="24"/>
                <w:color w:val="auto"/>
              </w:rPr>
            </w:pPr>
          </w:p>
        </w:tc>
        <w:tc>
          <w:tcPr>
            <w:tcW w:w="620" w:type="dxa"/>
            <w:vAlign w:val="bottom"/>
          </w:tcPr>
          <w:p>
            <w:pPr>
              <w:jc w:val="right"/>
              <w:ind w:right="149"/>
              <w:spacing w:after="0"/>
              <w:rPr>
                <w:sz w:val="20"/>
                <w:szCs w:val="20"/>
                <w:color w:val="auto"/>
              </w:rPr>
            </w:pPr>
            <w:r>
              <w:rPr>
                <w:rFonts w:ascii="Arial" w:cs="Arial" w:eastAsia="Arial" w:hAnsi="Arial"/>
                <w:sz w:val="14"/>
                <w:szCs w:val="14"/>
                <w:color w:val="23282B"/>
              </w:rPr>
              <w:t>-</w:t>
            </w:r>
          </w:p>
        </w:tc>
        <w:tc>
          <w:tcPr>
            <w:tcW w:w="500" w:type="dxa"/>
            <w:vAlign w:val="bottom"/>
          </w:tcPr>
          <w:p>
            <w:pPr>
              <w:jc w:val="right"/>
              <w:spacing w:after="0"/>
              <w:rPr>
                <w:sz w:val="20"/>
                <w:szCs w:val="20"/>
                <w:color w:val="auto"/>
              </w:rPr>
            </w:pPr>
            <w:r>
              <w:rPr>
                <w:rFonts w:ascii="Arial" w:cs="Arial" w:eastAsia="Arial" w:hAnsi="Arial"/>
                <w:sz w:val="14"/>
                <w:szCs w:val="14"/>
                <w:color w:val="23282B"/>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31.2</w:t>
            </w:r>
          </w:p>
        </w:tc>
        <w:tc>
          <w:tcPr>
            <w:tcW w:w="460" w:type="dxa"/>
            <w:vAlign w:val="bottom"/>
          </w:tcPr>
          <w:p>
            <w:pPr>
              <w:spacing w:after="0"/>
              <w:rPr>
                <w:sz w:val="24"/>
                <w:szCs w:val="24"/>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23282B"/>
              </w:rPr>
              <w:t>-</w:t>
            </w:r>
          </w:p>
        </w:tc>
        <w:tc>
          <w:tcPr>
            <w:tcW w:w="500" w:type="dxa"/>
            <w:vAlign w:val="bottom"/>
          </w:tcPr>
          <w:p>
            <w:pPr>
              <w:spacing w:after="0"/>
              <w:rPr>
                <w:sz w:val="24"/>
                <w:szCs w:val="24"/>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w:t>
            </w: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23282B"/>
              </w:rPr>
              <w:t>-</w:t>
            </w:r>
          </w:p>
        </w:tc>
      </w:tr>
      <w:tr>
        <w:trPr>
          <w:trHeight w:val="559"/>
        </w:trPr>
        <w:tc>
          <w:tcPr>
            <w:tcW w:w="3100" w:type="dxa"/>
            <w:vAlign w:val="bottom"/>
          </w:tcPr>
          <w:p>
            <w:pPr>
              <w:spacing w:after="0"/>
              <w:rPr>
                <w:sz w:val="20"/>
                <w:szCs w:val="20"/>
                <w:color w:val="auto"/>
              </w:rPr>
            </w:pPr>
            <w:r>
              <w:rPr>
                <w:rFonts w:ascii="Arial" w:cs="Arial" w:eastAsia="Arial" w:hAnsi="Arial"/>
                <w:sz w:val="14"/>
                <w:szCs w:val="14"/>
                <w:color w:val="23282B"/>
              </w:rPr>
              <w:t>EBITDA MARGIN</w:t>
            </w:r>
          </w:p>
        </w:tc>
        <w:tc>
          <w:tcPr>
            <w:tcW w:w="900" w:type="dxa"/>
            <w:vAlign w:val="bottom"/>
          </w:tcPr>
          <w:p>
            <w:pPr>
              <w:spacing w:after="0"/>
              <w:rPr>
                <w:sz w:val="24"/>
                <w:szCs w:val="24"/>
                <w:color w:val="auto"/>
              </w:rPr>
            </w:pPr>
          </w:p>
        </w:tc>
        <w:tc>
          <w:tcPr>
            <w:tcW w:w="620" w:type="dxa"/>
            <w:vAlign w:val="bottom"/>
          </w:tcPr>
          <w:p>
            <w:pPr>
              <w:jc w:val="right"/>
              <w:ind w:right="149"/>
              <w:spacing w:after="0"/>
              <w:rPr>
                <w:sz w:val="20"/>
                <w:szCs w:val="20"/>
                <w:color w:val="auto"/>
              </w:rPr>
            </w:pPr>
            <w:r>
              <w:rPr>
                <w:rFonts w:ascii="Arial" w:cs="Arial" w:eastAsia="Arial" w:hAnsi="Arial"/>
                <w:sz w:val="14"/>
                <w:szCs w:val="14"/>
                <w:color w:val="23282B"/>
              </w:rPr>
              <w:t>8.0%</w:t>
            </w:r>
          </w:p>
        </w:tc>
        <w:tc>
          <w:tcPr>
            <w:tcW w:w="500" w:type="dxa"/>
            <w:vAlign w:val="bottom"/>
          </w:tcPr>
          <w:p>
            <w:pPr>
              <w:spacing w:after="0"/>
              <w:rPr>
                <w:sz w:val="24"/>
                <w:szCs w:val="24"/>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2.0%</w:t>
            </w:r>
          </w:p>
        </w:tc>
        <w:tc>
          <w:tcPr>
            <w:tcW w:w="460" w:type="dxa"/>
            <w:vAlign w:val="bottom"/>
          </w:tcPr>
          <w:p>
            <w:pPr>
              <w:spacing w:after="0"/>
              <w:rPr>
                <w:sz w:val="24"/>
                <w:szCs w:val="24"/>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color w:val="23282B"/>
              </w:rPr>
              <w:t>7.4%</w:t>
            </w:r>
          </w:p>
        </w:tc>
        <w:tc>
          <w:tcPr>
            <w:tcW w:w="500" w:type="dxa"/>
            <w:vAlign w:val="bottom"/>
          </w:tcPr>
          <w:p>
            <w:pPr>
              <w:spacing w:after="0"/>
              <w:rPr>
                <w:sz w:val="24"/>
                <w:szCs w:val="24"/>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2.0%</w:t>
            </w: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23282B"/>
              </w:rPr>
              <w:t>2.2%</w:t>
            </w:r>
          </w:p>
        </w:tc>
      </w:tr>
      <w:tr>
        <w:trPr>
          <w:trHeight w:val="285"/>
        </w:trPr>
        <w:tc>
          <w:tcPr>
            <w:tcW w:w="3100" w:type="dxa"/>
            <w:vAlign w:val="bottom"/>
          </w:tcPr>
          <w:p>
            <w:pPr>
              <w:spacing w:after="0"/>
              <w:rPr>
                <w:sz w:val="20"/>
                <w:szCs w:val="20"/>
                <w:color w:val="auto"/>
              </w:rPr>
            </w:pPr>
            <w:r>
              <w:rPr>
                <w:rFonts w:ascii="Arial" w:cs="Arial" w:eastAsia="Arial" w:hAnsi="Arial"/>
                <w:sz w:val="14"/>
                <w:szCs w:val="14"/>
                <w:color w:val="23282B"/>
              </w:rPr>
              <w:t>ADJUSTED EBITDA MARGIN</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color w:val="23282B"/>
              </w:rPr>
              <w:t>7.9%</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D5D67"/>
        </w:rPr>
        <w:t>Destination XL Group, Inc.</w:t>
      </w:r>
    </w:p>
    <w:p>
      <w:pPr>
        <w:sectPr>
          <w:pgSz w:w="11900" w:h="16838" w:orient="portrait"/>
          <w:cols w:equalWidth="0" w:num="1">
            <w:col w:w="9819"/>
          </w:cols>
          <w:pgMar w:left="640" w:top="350" w:right="1440" w:bottom="1440" w:gutter="0" w:footer="0" w:header="0"/>
        </w:sectPr>
      </w:pPr>
    </w:p>
    <w:bookmarkStart w:id="35" w:name="page36"/>
    <w:bookmarkEnd w:id="35"/>
    <w:p>
      <w:pPr>
        <w:spacing w:after="0"/>
        <w:rPr>
          <w:sz w:val="20"/>
          <w:szCs w:val="20"/>
          <w:color w:val="auto"/>
        </w:rPr>
      </w:pPr>
      <w:r>
        <w:rPr>
          <w:rFonts w:ascii="Arial" w:cs="Arial" w:eastAsia="Arial" w:hAnsi="Arial"/>
          <w:sz w:val="41"/>
          <w:szCs w:val="41"/>
          <w:b w:val="1"/>
          <w:bCs w:val="1"/>
          <w:color w:val="354047"/>
        </w:rPr>
        <w:drawing>
          <wp:anchor simplePos="0" relativeHeight="251657728" behindDoc="1" locked="0" layoutInCell="0" allowOverlap="1">
            <wp:simplePos x="0" y="0"/>
            <wp:positionH relativeFrom="page">
              <wp:posOffset>132080</wp:posOffset>
            </wp:positionH>
            <wp:positionV relativeFrom="page">
              <wp:posOffset>88900</wp:posOffset>
            </wp:positionV>
            <wp:extent cx="731202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104775</wp:posOffset>
            </wp:positionV>
            <wp:extent cx="6200775" cy="4189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00775" cy="418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b w:val="1"/>
          <w:bCs w:val="1"/>
          <w:color w:val="417C27"/>
        </w:rPr>
        <w:t>Jeffrey Unger</w:t>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color w:val="354047"/>
        </w:rPr>
        <w:t>V. P.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color w:val="354047"/>
        </w:rPr>
        <w:t>Destination XL Group,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color w:val="353C41"/>
        </w:rPr>
        <w:t>jeffunger@usa.net</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color w:val="354047"/>
        </w:rPr>
        <w:t>561-482-9715 (o)561-543-9806 (c)</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color w:val="353C41"/>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3780" w:type="dxa"/>
        <w:tblCellMar>
          <w:top w:w="0" w:type="dxa"/>
          <w:left w:w="0" w:type="dxa"/>
          <w:bottom w:w="0" w:type="dxa"/>
          <w:right w:w="0" w:type="dxa"/>
        </w:tblCellMar>
      </w:tblPr>
      <w:tr>
        <w:trPr>
          <w:trHeight w:val="212"/>
        </w:trPr>
        <w:tc>
          <w:tcPr>
            <w:tcW w:w="3540" w:type="dxa"/>
            <w:vAlign w:val="bottom"/>
          </w:tcPr>
          <w:p>
            <w:pPr>
              <w:spacing w:after="0"/>
              <w:rPr>
                <w:sz w:val="20"/>
                <w:szCs w:val="20"/>
                <w:color w:val="auto"/>
              </w:rPr>
            </w:pPr>
            <w:r>
              <w:rPr>
                <w:rFonts w:ascii="Arial" w:cs="Arial" w:eastAsia="Arial" w:hAnsi="Arial"/>
                <w:sz w:val="14"/>
                <w:szCs w:val="14"/>
                <w:color w:val="4D5D67"/>
              </w:rPr>
              <w:t>Destination XL Group, Inc.</w:t>
            </w:r>
          </w:p>
        </w:tc>
        <w:tc>
          <w:tcPr>
            <w:tcW w:w="2040" w:type="dxa"/>
            <w:vAlign w:val="bottom"/>
          </w:tcPr>
          <w:p>
            <w:pPr>
              <w:jc w:val="right"/>
              <w:spacing w:after="0"/>
              <w:rPr>
                <w:sz w:val="20"/>
                <w:szCs w:val="20"/>
                <w:color w:val="auto"/>
              </w:rPr>
            </w:pPr>
            <w:r>
              <w:rPr>
                <w:rFonts w:ascii="Arial" w:cs="Arial" w:eastAsia="Arial" w:hAnsi="Arial"/>
                <w:sz w:val="18"/>
                <w:szCs w:val="18"/>
                <w:color w:val="8CA1A5"/>
              </w:rPr>
              <w:t>33</w:t>
            </w:r>
          </w:p>
        </w:tc>
      </w:tr>
    </w:tbl>
    <w:p>
      <w:pPr>
        <w:spacing w:after="0" w:line="1" w:lineRule="exact"/>
        <w:rPr>
          <w:sz w:val="20"/>
          <w:szCs w:val="20"/>
          <w:color w:val="auto"/>
        </w:rPr>
      </w:pPr>
    </w:p>
    <w:sectPr>
      <w:pgSz w:w="11900" w:h="16838" w:orient="portrait"/>
      <w:cols w:equalWidth="0" w:num="1">
        <w:col w:w="9639"/>
      </w:cols>
      <w:pgMar w:left="8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2019-12-06T00:34:06Z</dcterms:created>
  <dcterms:modified xsi:type="dcterms:W3CDTF">2019-12-06T00:34:06Z</dcterms:modified>
</cp:coreProperties>
</file>